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Senior Investment Manager</w:t>
      </w:r>
    </w:p>
    <w:p>
      <w:pPr>
        <w:pStyle w:val="ListParagraph"/>
        <w:numPr>
          <w:ilvl w:val="0"/>
          <w:numId w:val="2"/>
        </w:numPr>
        <w:rPr/>
      </w:pPr>
      <w:r>
        <w:rPr>
          <w:rFonts w:cs="Arial"/>
          <w:b/>
          <w:bCs/>
          <w:szCs w:val="24"/>
        </w:rPr>
        <w:t>Grade:</w:t>
      </w:r>
      <w:r>
        <w:rPr>
          <w:rFonts w:cs="Arial"/>
          <w:szCs w:val="24"/>
        </w:rPr>
        <w:t xml:space="preserve"> SM6</w:t>
      </w:r>
    </w:p>
    <w:p>
      <w:pPr>
        <w:pStyle w:val="ListParagraph"/>
        <w:numPr>
          <w:ilvl w:val="0"/>
          <w:numId w:val="2"/>
        </w:numPr>
        <w:rPr/>
      </w:pPr>
      <w:r>
        <w:rPr>
          <w:rFonts w:cs="Arial"/>
          <w:b/>
          <w:bCs/>
          <w:szCs w:val="24"/>
        </w:rPr>
        <w:t>Business area:</w:t>
      </w:r>
      <w:r>
        <w:rPr>
          <w:rFonts w:cs="Arial"/>
          <w:szCs w:val="24"/>
        </w:rPr>
        <w:t xml:space="preserve"> Finance</w:t>
      </w:r>
    </w:p>
    <w:p>
      <w:pPr>
        <w:pStyle w:val="ListParagraph"/>
        <w:numPr>
          <w:ilvl w:val="0"/>
          <w:numId w:val="2"/>
        </w:numPr>
        <w:rPr/>
      </w:pPr>
      <w:r>
        <w:rPr>
          <w:rFonts w:cs="Arial"/>
          <w:b/>
          <w:bCs/>
          <w:szCs w:val="24"/>
        </w:rPr>
        <w:t>Reporting line:</w:t>
      </w:r>
      <w:r>
        <w:rPr>
          <w:rFonts w:cs="Arial"/>
          <w:szCs w:val="24"/>
        </w:rPr>
        <w:t xml:space="preserve"> Deputy Director of Investment</w:t>
      </w:r>
    </w:p>
    <w:p>
      <w:pPr>
        <w:pStyle w:val="ListParagraph"/>
        <w:numPr>
          <w:ilvl w:val="0"/>
          <w:numId w:val="2"/>
        </w:numPr>
        <w:rPr/>
      </w:pPr>
      <w:r>
        <w:rPr>
          <w:rFonts w:cs="Arial"/>
          <w:b/>
          <w:bCs/>
          <w:szCs w:val="24"/>
        </w:rPr>
        <w:t>Team:</w:t>
      </w:r>
      <w:r>
        <w:rPr>
          <w:rFonts w:cs="Arial"/>
          <w:szCs w:val="24"/>
        </w:rPr>
        <w:t xml:space="preserve"> Investment</w:t>
      </w:r>
    </w:p>
    <w:p>
      <w:pPr>
        <w:pStyle w:val="Heading2"/>
        <w:shd w:fill="004F6E" w:val="clear"/>
        <w:rPr>
          <w:rFonts w:cs="Arial"/>
          <w:sz w:val="24"/>
          <w:szCs w:val="24"/>
        </w:rPr>
      </w:pPr>
      <w:r>
        <w:rPr>
          <w:rFonts w:cs="Arial"/>
          <w:sz w:val="24"/>
          <w:szCs w:val="24"/>
        </w:rPr>
        <w:t>Job Purpose</w:t>
      </w:r>
    </w:p>
    <w:p>
      <w:pPr>
        <w:pStyle w:val="Default"/>
        <w:rPr/>
      </w:pPr>
      <w:r>
        <w:rPr/>
      </w:r>
    </w:p>
    <w:p>
      <w:pPr>
        <w:pStyle w:val="Normal"/>
        <w:jc w:val="both"/>
        <w:rPr>
          <w:rFonts w:cs="Arial"/>
          <w:color w:val="000000"/>
          <w:lang w:eastAsia="en-GB"/>
        </w:rPr>
      </w:pPr>
      <w:r>
        <w:rPr>
          <w:rFonts w:cs="Arial"/>
          <w:color w:val="000000"/>
          <w:lang w:eastAsia="en-GB"/>
        </w:rPr>
        <w:t>The Investment Team manages a series of Investment Funds totalling almost £2bn across business, commercial property and housing. The team supports the development of business cases for investment and develops a pipeline of future projects to support the regeneration of the City Region as a whole and of specific neighbourhoods through its Good Growth Fund.</w:t>
      </w:r>
    </w:p>
    <w:p>
      <w:pPr>
        <w:pStyle w:val="Normal"/>
        <w:jc w:val="both"/>
        <w:rPr>
          <w:rFonts w:cs="Arial"/>
          <w:color w:val="000000"/>
          <w:lang w:eastAsia="en-GB"/>
        </w:rPr>
      </w:pPr>
      <w:r>
        <w:rPr>
          <w:rFonts w:cs="Arial"/>
          <w:color w:val="000000"/>
          <w:lang w:eastAsia="en-GB"/>
        </w:rPr>
        <w:t>As a member of the Investment Team, you will be required to work with private-sector developers, businesses, local authorities and a variety of strategic partners to develop and manage a portfolio of investments to businesses and developers across Greater Manchester.</w:t>
      </w:r>
    </w:p>
    <w:p>
      <w:pPr>
        <w:pStyle w:val="Normal"/>
        <w:jc w:val="both"/>
        <w:rPr>
          <w:rFonts w:cs="Arial"/>
          <w:color w:val="000000"/>
          <w:lang w:eastAsia="en-GB"/>
        </w:rPr>
      </w:pPr>
      <w:r>
        <w:rPr>
          <w:rFonts w:cs="Arial"/>
          <w:color w:val="000000"/>
          <w:lang w:eastAsia="en-GB"/>
        </w:rPr>
        <w:t>You will lead on the assessment and structuring investments, producing detailed financial analysis and risk assessments to make clear, robust recommendations to the Director of Investment and Funds’ Committees, and managing the successful performance of investments made by the Funds.</w:t>
      </w:r>
    </w:p>
    <w:p>
      <w:pPr>
        <w:pStyle w:val="Normal"/>
        <w:numPr>
          <w:ilvl w:val="0"/>
          <w:numId w:val="0"/>
        </w:numPr>
        <w:ind w:left="0" w:hanging="0"/>
        <w:jc w:val="both"/>
        <w:rPr>
          <w:rFonts w:cs="Arial"/>
          <w:color w:val="000000"/>
          <w:lang w:eastAsia="en-GB"/>
        </w:rPr>
      </w:pPr>
      <w:r>
        <w:rPr>
          <w:rFonts w:cs="Arial"/>
          <w:color w:val="000000"/>
          <w:lang w:eastAsia="en-GB"/>
        </w:rPr>
        <w:t>This role will also involve the assessment and development of investment frameworks and business cases for both GMCA and Local Authorities capital projects.  The role is critical to supporting Greater Manchester’s strategic ambitions specifically, but not limited to, its Housing First strategy.</w:t>
      </w:r>
    </w:p>
    <w:p>
      <w:pPr>
        <w:pStyle w:val="Normal"/>
        <w:numPr>
          <w:ilvl w:val="0"/>
          <w:numId w:val="0"/>
        </w:numPr>
        <w:ind w:left="0" w:hanging="0"/>
        <w:jc w:val="both"/>
        <w:rPr>
          <w:rFonts w:cs="Arial"/>
        </w:rPr>
      </w:pPr>
      <w:r>
        <w:rPr>
          <w:rFonts w:cs="Arial"/>
        </w:rPr>
      </w:r>
    </w:p>
    <w:p>
      <w:pPr>
        <w:pStyle w:val="Normal"/>
        <w:numPr>
          <w:ilvl w:val="0"/>
          <w:numId w:val="0"/>
        </w:numPr>
        <w:ind w:left="0" w:hanging="0"/>
        <w:jc w:val="both"/>
        <w:rPr>
          <w:rFonts w:cs="Arial"/>
        </w:rPr>
      </w:pPr>
      <w:r>
        <w:rPr>
          <w:rFonts w:cs="Arial"/>
        </w:rPr>
      </w:r>
    </w:p>
    <w:p>
      <w:pPr>
        <w:pStyle w:val="Normal"/>
        <w:numPr>
          <w:ilvl w:val="0"/>
          <w:numId w:val="0"/>
        </w:numPr>
        <w:ind w:left="0" w:hanging="0"/>
        <w:jc w:val="both"/>
        <w:rPr>
          <w:rFonts w:cs="Arial"/>
        </w:rPr>
      </w:pPr>
      <w:r>
        <w:rPr>
          <w:rFonts w:cs="Arial"/>
        </w:rPr>
      </w:r>
    </w:p>
    <w:p>
      <w:pPr>
        <w:pStyle w:val="Heading2"/>
        <w:shd w:fill="004F6E" w:val="clear"/>
        <w:jc w:val="both"/>
        <w:rPr>
          <w:rFonts w:cs="Arial"/>
          <w:sz w:val="24"/>
          <w:szCs w:val="24"/>
        </w:rPr>
      </w:pPr>
      <w:r>
        <w:rPr>
          <w:rFonts w:cs="Arial"/>
          <w:sz w:val="24"/>
          <w:szCs w:val="24"/>
        </w:rPr>
        <w:t>Key working relationships</w:t>
      </w:r>
    </w:p>
    <w:p>
      <w:pPr>
        <w:pStyle w:val="Normal"/>
        <w:widowControl/>
        <w:spacing w:lineRule="auto" w:line="276" w:before="0" w:after="0"/>
        <w:jc w:val="both"/>
        <w:rPr>
          <w:rFonts w:cs="Arial"/>
        </w:rPr>
      </w:pPr>
      <w:r>
        <w:rPr>
          <w:rFonts w:cs="Arial"/>
        </w:rPr>
        <w:t>The roleholder will be expected to work directly with Corporate Directors, Heads of Service, Planning (&amp; related technical) Officers, and Members in Local Authorities.</w:t>
      </w:r>
    </w:p>
    <w:p>
      <w:pPr>
        <w:pStyle w:val="Normal"/>
        <w:widowControl/>
        <w:spacing w:lineRule="auto" w:line="276" w:before="0" w:after="0"/>
        <w:jc w:val="both"/>
        <w:rPr>
          <w:rFonts w:cs="Arial"/>
        </w:rPr>
      </w:pPr>
      <w:r>
        <w:rPr>
          <w:rFonts w:cs="Arial"/>
        </w:rPr>
      </w:r>
    </w:p>
    <w:p>
      <w:pPr>
        <w:pStyle w:val="Normal"/>
        <w:widowControl/>
        <w:spacing w:lineRule="auto" w:line="276" w:before="0" w:after="0"/>
        <w:jc w:val="both"/>
        <w:rPr>
          <w:rFonts w:cs="Arial"/>
        </w:rPr>
      </w:pPr>
      <w:r>
        <w:rPr>
          <w:rFonts w:cs="Arial"/>
        </w:rPr>
        <w:t>Establish good working relationships with key senior representatives of external stakeholders including other Government Departments, housebuilders, private developers, landowners, financiers, National organisations such as Homes England and the National Wealth Fund.</w:t>
      </w:r>
    </w:p>
    <w:p>
      <w:pPr>
        <w:pStyle w:val="Heading2"/>
        <w:shd w:fill="004F6E" w:val="clear"/>
        <w:jc w:val="both"/>
        <w:rPr>
          <w:rFonts w:cs="Arial"/>
          <w:sz w:val="24"/>
          <w:szCs w:val="24"/>
        </w:rPr>
      </w:pPr>
      <w:r>
        <w:rPr>
          <w:rFonts w:cs="Arial"/>
          <w:sz w:val="24"/>
          <w:szCs w:val="24"/>
        </w:rPr>
        <w:t>Key Responsibilities</w:t>
      </w:r>
    </w:p>
    <w:p>
      <w:pPr>
        <w:pStyle w:val="Normal"/>
        <w:jc w:val="both"/>
        <w:rPr>
          <w:rFonts w:cs="Arial"/>
          <w:color w:val="000000"/>
          <w:lang w:eastAsia="en-GB"/>
        </w:rPr>
      </w:pPr>
      <w:r>
        <w:rPr>
          <w:rFonts w:cs="Arial"/>
          <w:color w:val="000000"/>
          <w:lang w:eastAsia="en-GB"/>
        </w:rPr>
        <w:t>Develop and manage a portfolio of loan and equity investments across Greater Manchester, in line with an agreed Investment Strategy and Risk Management Framework. The roleholder should prepare detailed critical analysis to assess risks, perform gap analysis and illustrate sensitivities and options in order to negotiate robust funding structures.</w:t>
      </w:r>
    </w:p>
    <w:p>
      <w:pPr>
        <w:pStyle w:val="Normal"/>
        <w:jc w:val="both"/>
        <w:rPr>
          <w:rFonts w:cs="Arial"/>
          <w:color w:val="000000"/>
          <w:lang w:eastAsia="en-GB"/>
        </w:rPr>
      </w:pPr>
      <w:r>
        <w:rPr>
          <w:rFonts w:cs="Arial"/>
          <w:color w:val="000000"/>
          <w:lang w:eastAsia="en-GB"/>
        </w:rPr>
        <w:t>Lead on capital project development and development of business cases for strategically significant projects being brought forward by the GMCA and Local Authorities.</w:t>
      </w:r>
    </w:p>
    <w:p>
      <w:pPr>
        <w:pStyle w:val="Normal"/>
        <w:jc w:val="both"/>
        <w:rPr>
          <w:rFonts w:cs="Arial"/>
          <w:color w:val="000000"/>
          <w:lang w:eastAsia="en-GB"/>
        </w:rPr>
      </w:pPr>
      <w:r>
        <w:rPr>
          <w:rFonts w:cs="Arial"/>
          <w:color w:val="000000"/>
          <w:lang w:eastAsia="en-GB"/>
        </w:rPr>
        <w:t>Monitor the performance of investments and projects to ensure they are in line with agreed milestones, financial and impact metrics, and to identify any financial and/or reputational exposure to the GMCA.</w:t>
      </w:r>
    </w:p>
    <w:p>
      <w:pPr>
        <w:pStyle w:val="Normal"/>
        <w:jc w:val="both"/>
        <w:rPr>
          <w:rFonts w:cs="Arial"/>
          <w:color w:val="000000"/>
          <w:lang w:eastAsia="en-GB"/>
        </w:rPr>
      </w:pPr>
      <w:r>
        <w:rPr>
          <w:rFonts w:cs="Arial"/>
          <w:color w:val="000000"/>
          <w:lang w:eastAsia="en-GB"/>
        </w:rPr>
        <w:t>Report to relevant Committees on investment propositions and pricing, identifying risks and mitigation strategies.</w:t>
      </w:r>
    </w:p>
    <w:p>
      <w:pPr>
        <w:pStyle w:val="Normal"/>
        <w:jc w:val="both"/>
        <w:rPr>
          <w:rFonts w:cs="Arial"/>
          <w:color w:val="000000"/>
          <w:lang w:eastAsia="en-GB"/>
        </w:rPr>
      </w:pPr>
      <w:r>
        <w:rPr>
          <w:rFonts w:cs="Arial"/>
          <w:color w:val="000000"/>
          <w:lang w:eastAsia="en-GB"/>
        </w:rPr>
        <w:t>Instruct and manage external financial, technical, property, construction, and legal advisors to support due diligence, investment documentation development, contracting and monitoring of investments.</w:t>
      </w:r>
    </w:p>
    <w:p>
      <w:pPr>
        <w:pStyle w:val="Normal"/>
        <w:jc w:val="both"/>
        <w:rPr>
          <w:rFonts w:cs="Arial"/>
          <w:color w:val="000000"/>
          <w:lang w:eastAsia="en-GB"/>
        </w:rPr>
      </w:pPr>
      <w:r>
        <w:rPr>
          <w:rFonts w:cs="Arial"/>
          <w:color w:val="000000"/>
          <w:lang w:eastAsia="en-GB"/>
        </w:rPr>
        <w:t>Ensure effective communication through high quality reports, informal briefings and presentations to key stakeholders as required, and in line with reporting deadlines and scheduled credit committee meetings.</w:t>
      </w:r>
    </w:p>
    <w:p>
      <w:pPr>
        <w:pStyle w:val="Normal"/>
        <w:jc w:val="both"/>
        <w:rPr>
          <w:rFonts w:cs="Arial"/>
          <w:color w:val="000000"/>
          <w:lang w:eastAsia="en-GB"/>
        </w:rPr>
      </w:pPr>
      <w:r>
        <w:rPr>
          <w:rFonts w:cs="Arial"/>
          <w:color w:val="000000"/>
          <w:lang w:eastAsia="en-GB"/>
        </w:rPr>
        <w:t>Present to senior leaders – distilling the need to know and highlighting risks and issues.</w:t>
      </w:r>
    </w:p>
    <w:p>
      <w:pPr>
        <w:pStyle w:val="Normal"/>
        <w:jc w:val="both"/>
        <w:rPr>
          <w:rFonts w:cs="Arial"/>
          <w:color w:val="000000"/>
          <w:lang w:eastAsia="en-GB"/>
        </w:rPr>
      </w:pPr>
      <w:r>
        <w:rPr>
          <w:rFonts w:cs="Arial"/>
          <w:color w:val="000000"/>
          <w:lang w:eastAsia="en-GB"/>
        </w:rPr>
        <w:t>Line manage members of the team, providing effective management and leadership to staff within the team, including all aspects of performance management and staff development.</w:t>
      </w:r>
    </w:p>
    <w:p>
      <w:pPr>
        <w:pStyle w:val="Normal"/>
        <w:jc w:val="both"/>
        <w:rPr>
          <w:rFonts w:cs="Arial"/>
          <w:color w:val="000000"/>
          <w:lang w:eastAsia="en-GB"/>
        </w:rPr>
      </w:pPr>
      <w:r>
        <w:rPr>
          <w:rFonts w:cs="Arial"/>
          <w:color w:val="000000"/>
          <w:lang w:eastAsia="en-GB"/>
        </w:rPr>
        <w:t>Use professional judgement to ensure that resources for investments are commissioned and co-ordinated in a well-planned and controlled manner, whilst ensuring these are aligned to GMCA procurement requirements and provide value for money in line with the team budget and, where recharged, to the borrowers.</w:t>
      </w:r>
    </w:p>
    <w:p>
      <w:pPr>
        <w:pStyle w:val="Normal"/>
        <w:jc w:val="both"/>
        <w:rPr>
          <w:rFonts w:cs="Arial"/>
          <w:color w:val="000000"/>
          <w:lang w:eastAsia="en-GB"/>
        </w:rPr>
      </w:pPr>
      <w:r>
        <w:rPr>
          <w:rFonts w:cs="Arial"/>
          <w:color w:val="000000"/>
          <w:lang w:eastAsia="en-GB"/>
        </w:rPr>
        <w:t>Take responsibility for drawdowns and repayment ensuring all conditions are met and providing portfolio updates on a monthly basis.  Ensure that GMCA corporate requirements are consistently met, including for business planning, performance management and budget monitoring.</w:t>
      </w:r>
    </w:p>
    <w:p>
      <w:pPr>
        <w:pStyle w:val="Normal"/>
        <w:jc w:val="both"/>
        <w:rPr>
          <w:rFonts w:cs="Arial"/>
          <w:color w:val="000000"/>
          <w:lang w:eastAsia="en-GB"/>
        </w:rPr>
      </w:pPr>
      <w:r>
        <w:rPr>
          <w:rFonts w:cs="Arial"/>
          <w:color w:val="000000"/>
          <w:lang w:eastAsia="en-GB"/>
        </w:rPr>
        <w:t>Be prepared to work collaboratively across teams and undertake work as necessary to fulfil the objectives of GMCA.</w:t>
      </w:r>
    </w:p>
    <w:p>
      <w:pPr>
        <w:pStyle w:val="Normal"/>
        <w:widowControl/>
        <w:numPr>
          <w:ilvl w:val="0"/>
          <w:numId w:val="0"/>
        </w:numPr>
        <w:pBdr/>
        <w:spacing w:lineRule="auto" w:line="240" w:before="0" w:after="0"/>
        <w:ind w:left="0" w:hanging="0"/>
        <w:jc w:val="both"/>
        <w:rPr>
          <w:rFonts w:ascii="Calibri" w:hAnsi="Calibri" w:cs="Calibri"/>
          <w:szCs w:val="24"/>
        </w:rPr>
      </w:pPr>
      <w:r>
        <w:rPr>
          <w:rFonts w:cs="Calibri" w:ascii="Calibri" w:hAnsi="Calibri"/>
          <w:szCs w:val="24"/>
        </w:rPr>
      </w:r>
    </w:p>
    <w:p>
      <w:pPr>
        <w:pStyle w:val="Normal"/>
        <w:jc w:val="both"/>
        <w:rPr/>
      </w:pPr>
      <w:r>
        <w:rPr>
          <w:rFonts w:cs="Calibri" w:ascii="Calibri" w:hAnsi="Calibri"/>
          <w:b/>
          <w:bCs/>
        </w:rPr>
        <w:t xml:space="preserve">NB: </w:t>
      </w:r>
      <w:r>
        <w:rPr>
          <w:rFonts w:cs="Calibri" w:ascii="Calibri" w:hAnsi="Calibri"/>
        </w:rPr>
        <w:t>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General</w:t>
      </w:r>
    </w:p>
    <w:p>
      <w:pPr>
        <w:pStyle w:val="Normal"/>
        <w:widowControl/>
        <w:spacing w:lineRule="auto" w:line="276" w:before="0" w:after="0"/>
        <w:jc w:val="both"/>
        <w:rPr>
          <w:rFonts w:eastAsia="Calibri" w:cs="Arial"/>
          <w:b/>
          <w:b/>
          <w:bCs/>
          <w:color w:val="000000"/>
          <w:szCs w:val="24"/>
        </w:rPr>
      </w:pPr>
      <w:r>
        <w:rPr>
          <w:rFonts w:eastAsia="Calibri" w:cs="Arial"/>
          <w:b/>
          <w:bCs/>
          <w:color w:val="000000"/>
          <w:szCs w:val="24"/>
        </w:rPr>
        <w:t>Qualifications:</w:t>
      </w:r>
    </w:p>
    <w:p>
      <w:pPr>
        <w:pStyle w:val="ListParagraph"/>
        <w:widowControl/>
        <w:numPr>
          <w:ilvl w:val="0"/>
          <w:numId w:val="4"/>
        </w:numPr>
        <w:spacing w:lineRule="auto" w:line="276" w:before="60" w:after="64"/>
        <w:jc w:val="both"/>
        <w:rPr>
          <w:rFonts w:eastAsia="Calibri" w:cs="Arial"/>
          <w:color w:val="000000"/>
          <w:szCs w:val="24"/>
        </w:rPr>
      </w:pPr>
      <w:r>
        <w:rPr>
          <w:rFonts w:eastAsia="Calibri" w:cs="Arial"/>
          <w:color w:val="000000"/>
          <w:szCs w:val="24"/>
        </w:rPr>
        <w:t xml:space="preserve">Degree level education/equivalent (essential) </w:t>
      </w:r>
    </w:p>
    <w:p>
      <w:pPr>
        <w:pStyle w:val="ListParagraph"/>
        <w:widowControl/>
        <w:numPr>
          <w:ilvl w:val="0"/>
          <w:numId w:val="4"/>
        </w:numPr>
        <w:spacing w:lineRule="auto" w:line="276" w:before="60" w:after="64"/>
        <w:jc w:val="both"/>
        <w:rPr>
          <w:rFonts w:eastAsia="Calibri" w:cs="Arial"/>
          <w:color w:val="000000"/>
          <w:szCs w:val="24"/>
        </w:rPr>
      </w:pPr>
      <w:r>
        <w:rPr>
          <w:rFonts w:eastAsia="Calibri" w:cs="Arial"/>
          <w:color w:val="000000"/>
          <w:szCs w:val="24"/>
        </w:rPr>
        <w:t>Relevant professional qualification, e.g. Chartered Accountant, Chartered Financial Analyst, Chartered Alternative Investment Analyst. (preferred)</w:t>
      </w:r>
    </w:p>
    <w:p>
      <w:pPr>
        <w:pStyle w:val="Normal"/>
        <w:widowControl/>
        <w:spacing w:lineRule="auto" w:line="276" w:before="0" w:after="0"/>
        <w:jc w:val="both"/>
        <w:rPr>
          <w:rFonts w:eastAsia="Calibri" w:cs="Arial"/>
          <w:color w:val="000000"/>
          <w:szCs w:val="24"/>
        </w:rPr>
      </w:pPr>
      <w:r>
        <w:rPr>
          <w:rFonts w:eastAsia="Calibri" w:cs="Arial"/>
          <w:color w:val="000000"/>
          <w:szCs w:val="24"/>
        </w:rPr>
      </w:r>
    </w:p>
    <w:p>
      <w:pPr>
        <w:pStyle w:val="Normal"/>
        <w:spacing w:lineRule="auto" w:line="276"/>
        <w:jc w:val="both"/>
        <w:rPr>
          <w:rFonts w:cs="Arial"/>
          <w:b/>
          <w:b/>
          <w:color w:val="auto"/>
          <w:szCs w:val="24"/>
        </w:rPr>
      </w:pPr>
      <w:r>
        <w:rPr>
          <w:rFonts w:cs="Arial"/>
          <w:b/>
          <w:color w:val="auto"/>
          <w:szCs w:val="24"/>
        </w:rPr>
        <w:t>Essential:</w:t>
      </w:r>
    </w:p>
    <w:p>
      <w:pPr>
        <w:pStyle w:val="Normal"/>
        <w:jc w:val="both"/>
        <w:rPr>
          <w:rFonts w:cs="Arial"/>
          <w:color w:val="000000"/>
          <w:lang w:eastAsia="en-GB"/>
        </w:rPr>
      </w:pPr>
      <w:r>
        <w:rPr>
          <w:rFonts w:cs="Arial"/>
          <w:color w:val="000000"/>
          <w:lang w:eastAsia="en-GB"/>
        </w:rPr>
        <w:t>To hold yourself and others to a high standard of professionalism at all times, demonstrating your commitment to our values and behaviours as well as ensuring service confidentiality is maintained throughout all we do.</w:t>
      </w:r>
    </w:p>
    <w:p>
      <w:pPr>
        <w:pStyle w:val="Normal"/>
        <w:jc w:val="both"/>
        <w:rPr>
          <w:rFonts w:cs="Arial"/>
          <w:color w:val="000000"/>
          <w:lang w:eastAsia="en-GB"/>
        </w:rPr>
      </w:pPr>
      <w:r>
        <w:rPr>
          <w:rFonts w:cs="Arial"/>
          <w:color w:val="000000"/>
          <w:lang w:eastAsia="en-GB"/>
        </w:rPr>
        <w:t>Working with other teams internally and externally collaboration is maximised and supporting on activity where appropriate.</w:t>
      </w:r>
    </w:p>
    <w:p>
      <w:pPr>
        <w:pStyle w:val="Normal"/>
        <w:jc w:val="both"/>
        <w:rPr>
          <w:rFonts w:cs="Arial"/>
          <w:color w:val="000000"/>
          <w:lang w:eastAsia="en-GB"/>
        </w:rPr>
      </w:pPr>
      <w:r>
        <w:rPr>
          <w:rFonts w:cs="Arial"/>
          <w:color w:val="000000"/>
          <w:lang w:eastAsia="en-GB"/>
        </w:rPr>
        <w:t>Ensure the services delivered internally and externally are inclusive and accessible, integrated with the service.</w:t>
      </w:r>
    </w:p>
    <w:p>
      <w:pPr>
        <w:pStyle w:val="Normal"/>
        <w:jc w:val="both"/>
        <w:rPr>
          <w:rFonts w:cs="Arial"/>
          <w:color w:val="000000"/>
          <w:lang w:eastAsia="en-GB"/>
        </w:rPr>
      </w:pPr>
      <w:r>
        <w:rPr>
          <w:rFonts w:cs="Arial"/>
          <w:color w:val="000000"/>
          <w:lang w:eastAsia="en-GB"/>
        </w:rPr>
        <w:t>To align work area to the Sustainability Strategy and ensure work practices are inclusive of this value &amp; strategic intent.</w:t>
      </w:r>
    </w:p>
    <w:p>
      <w:pPr>
        <w:pStyle w:val="Normal"/>
        <w:jc w:val="both"/>
        <w:rPr>
          <w:rFonts w:cs="Arial"/>
          <w:color w:val="000000"/>
          <w:lang w:eastAsia="en-GB"/>
        </w:rPr>
      </w:pPr>
      <w:r>
        <w:rPr>
          <w:rFonts w:cs="Arial"/>
          <w:color w:val="000000"/>
          <w:lang w:eastAsia="en-GB"/>
        </w:rPr>
      </w:r>
    </w:p>
    <w:p>
      <w:pPr>
        <w:pStyle w:val="Normal"/>
        <w:jc w:val="both"/>
        <w:rPr>
          <w:rFonts w:cs="Arial"/>
          <w:color w:val="000000"/>
          <w:lang w:eastAsia="en-GB"/>
        </w:rPr>
      </w:pPr>
      <w:r>
        <w:rPr>
          <w:rFonts w:cs="Arial"/>
          <w:color w:val="000000"/>
          <w:lang w:eastAsia="en-GB"/>
        </w:rPr>
      </w:r>
    </w:p>
    <w:p>
      <w:pPr>
        <w:pStyle w:val="Heading2"/>
        <w:shd w:fill="004F6E" w:val="clear"/>
        <w:rPr>
          <w:rFonts w:cs="Arial"/>
          <w:sz w:val="24"/>
          <w:szCs w:val="24"/>
        </w:rPr>
      </w:pPr>
      <w:r>
        <w:rPr>
          <w:rFonts w:cs="Arial"/>
          <w:sz w:val="24"/>
          <w:szCs w:val="24"/>
        </w:rPr>
        <w:t>Knowledge, Skills, and Experience</w:t>
      </w:r>
    </w:p>
    <w:p>
      <w:pPr>
        <w:pStyle w:val="DefaultText"/>
        <w:ind w:left="58" w:right="0" w:hanging="0"/>
        <w:jc w:val="both"/>
        <w:rPr/>
      </w:pPr>
      <w:r>
        <w:rPr>
          <w:rFonts w:cs="Arial"/>
          <w:b/>
          <w:szCs w:val="24"/>
        </w:rPr>
        <w:t>Experience:</w:t>
      </w:r>
      <w:r>
        <w:rPr>
          <w:rFonts w:cs="Arial"/>
          <w:szCs w:val="24"/>
        </w:rPr>
        <w:t xml:space="preserve"> </w:t>
      </w:r>
    </w:p>
    <w:p>
      <w:pPr>
        <w:pStyle w:val="DefaultText"/>
        <w:ind w:left="58" w:right="0" w:hanging="0"/>
        <w:jc w:val="both"/>
        <w:rPr>
          <w:rFonts w:cs="Arial"/>
          <w:szCs w:val="24"/>
        </w:rPr>
      </w:pPr>
      <w:r>
        <w:rPr>
          <w:rFonts w:cs="Arial"/>
          <w:szCs w:val="24"/>
        </w:rPr>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Direct experience of scoping, structuring and monitoring funding (including recoverable investment), specifically in business and real estate developments, including appropriate credit and risk management practices;</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Experience of scoping, structuring and negotiating Project Finance investment structures;</w:t>
      </w:r>
    </w:p>
    <w:p>
      <w:pPr>
        <w:pStyle w:val="ListParagraph"/>
        <w:widowControl/>
        <w:numPr>
          <w:ilvl w:val="0"/>
          <w:numId w:val="3"/>
        </w:numPr>
        <w:spacing w:lineRule="auto" w:line="276" w:before="60" w:after="0"/>
        <w:jc w:val="both"/>
        <w:rPr>
          <w:rFonts w:eastAsia="Calibri" w:cs="Arial"/>
          <w:color w:val="000000"/>
          <w:szCs w:val="24"/>
        </w:rPr>
      </w:pPr>
      <w:r>
        <w:rPr>
          <w:rFonts w:eastAsia="Calibri" w:cs="Arial"/>
          <w:color w:val="000000"/>
          <w:szCs w:val="24"/>
        </w:rPr>
        <w:t xml:space="preserve">Experience of working across the private and public sector;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Specification, interpretation and constructive challenging of business plans, financial models, and construction, property market, valuation, financial and legal advice;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Significant experience of managing complex long-term projects from scoping through to implementation;</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Negotiation with funding recipients, funding partners and key stakeholders;</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Sound knowledge of the Public, Private and Voluntary sector investment climates;</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Finance legislation, statutory guidance and regulations in relation to the transactional finance;</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Knowledge of the real estate and building contract industry;</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An understanding of the national policy context for local government; and</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Experience of managing and leading others, and developing a high performing team.</w:t>
      </w:r>
    </w:p>
    <w:p>
      <w:pPr>
        <w:pStyle w:val="Normal"/>
        <w:widowControl/>
        <w:spacing w:lineRule="auto" w:line="276" w:before="0" w:after="0"/>
        <w:jc w:val="both"/>
        <w:rPr>
          <w:rFonts w:eastAsia="Calibri" w:cs="Arial"/>
          <w:b/>
          <w:b/>
          <w:bCs/>
          <w:color w:val="000000"/>
          <w:sz w:val="20"/>
          <w:szCs w:val="20"/>
        </w:rPr>
      </w:pPr>
      <w:r>
        <w:rPr>
          <w:rFonts w:eastAsia="Calibri" w:cs="Arial"/>
          <w:b/>
          <w:bCs/>
          <w:color w:val="000000"/>
          <w:sz w:val="20"/>
          <w:szCs w:val="20"/>
        </w:rPr>
      </w:r>
    </w:p>
    <w:p>
      <w:pPr>
        <w:pStyle w:val="Normal"/>
        <w:widowControl/>
        <w:spacing w:lineRule="auto" w:line="276" w:before="0" w:after="0"/>
        <w:jc w:val="both"/>
        <w:rPr>
          <w:rFonts w:eastAsia="Calibri" w:cs="Arial"/>
          <w:b/>
          <w:b/>
          <w:bCs/>
          <w:color w:val="000000"/>
          <w:szCs w:val="24"/>
        </w:rPr>
      </w:pPr>
      <w:r>
        <w:rPr>
          <w:rFonts w:eastAsia="Calibri" w:cs="Arial"/>
          <w:b/>
          <w:bCs/>
          <w:color w:val="000000"/>
          <w:szCs w:val="24"/>
        </w:rPr>
        <w:t xml:space="preserve">Skills &amp; Behaviours </w:t>
      </w:r>
    </w:p>
    <w:p>
      <w:pPr>
        <w:pStyle w:val="Normal"/>
        <w:widowControl/>
        <w:spacing w:lineRule="auto" w:line="276" w:before="0" w:after="0"/>
        <w:jc w:val="both"/>
        <w:rPr>
          <w:rFonts w:eastAsia="Calibri" w:cs="Arial"/>
          <w:color w:val="000000"/>
          <w:sz w:val="20"/>
          <w:szCs w:val="20"/>
        </w:rPr>
      </w:pPr>
      <w:r>
        <w:rPr>
          <w:rFonts w:eastAsia="Calibri" w:cs="Arial"/>
          <w:color w:val="000000"/>
          <w:sz w:val="20"/>
          <w:szCs w:val="20"/>
        </w:rPr>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Able to effectively transfer key and complex information to all levels of staff, adapting the style of communication as necessary and ensuring that this information is understood.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Application of strong analytical reasoning skills and intellectual focus, taking in the wider external and internal environments. Proactively think through problems rather than reactively following a procedure-driven approach.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Demonstrates sound business intelligence and ability to identify commercially viable opportunities.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Ability to react to immediate problems of a highly complex nature with associated risk factors and deliver pragmatic solutions.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Ability to represent the organisation at a senior level in financial, commercial, and general management relationships with other organisations in both public and private sectors.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Thinks and acts cross-functionally and cross-organisationally, beyond one’s own professional areas of specialism, perceiving the wider picture and the implications of short-term decisions for the achievement of long-term strategic goals.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 xml:space="preserve">Excellent project management skills and the ability to manage multiple complex projects simultaneously. </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Well-developed communication and interpersonal skills, including written, oral and multi-media presentation.</w:t>
      </w:r>
    </w:p>
    <w:p>
      <w:pPr>
        <w:pStyle w:val="ListParagraph"/>
        <w:widowControl/>
        <w:numPr>
          <w:ilvl w:val="0"/>
          <w:numId w:val="3"/>
        </w:numPr>
        <w:spacing w:lineRule="auto" w:line="276" w:before="60" w:after="64"/>
        <w:jc w:val="both"/>
        <w:rPr>
          <w:rFonts w:eastAsia="Calibri" w:cs="Arial"/>
          <w:color w:val="000000"/>
          <w:szCs w:val="24"/>
        </w:rPr>
      </w:pPr>
      <w:r>
        <w:rPr>
          <w:rFonts w:eastAsia="Calibri" w:cs="Arial"/>
          <w:color w:val="000000"/>
          <w:szCs w:val="24"/>
        </w:rPr>
        <w:t>Advanced financial modelling skills. Experience in building and evaluating financial models, able to model and structure multi-level cash waterfall cashflows, design and conduct sensitivity analysis (desirable).</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
    <w:name w:val="Body"/>
    <w:qFormat/>
    <w:pPr>
      <w:widowControl/>
      <w:pBdr/>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paragraph" w:styleId="DefaultText">
    <w:name w:val="Default Text"/>
    <w:basedOn w:val="Normal"/>
    <w:qFormat/>
    <w:pPr>
      <w:widowControl/>
      <w:overflowPunct w:val="true"/>
      <w:spacing w:lineRule="auto" w:line="240" w:before="0" w:after="0"/>
      <w:textAlignment w:val="baseline"/>
    </w:pPr>
    <w:rPr>
      <w:rFonts w:eastAsia="Times New Roman" w:cs="Times New Roman"/>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106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2026-06-23T13:13:00Z</dcterms:created>
  <dc:creator>Caddy-Dale, Anna (Manchester Growth Company)</dc:creator>
  <dc:description/>
  <dc:language>en-US</dc:language>
  <cp:lastModifiedBy>Edwards, Robert</cp:lastModifiedBy>
  <cp:lastPrinted>1995-11-21T17:41:00Z</cp:lastPrinted>
  <dcterms:modified xsi:type="dcterms:W3CDTF">2026-06-23T16:14:00Z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