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xml:space="preserve">: </w:t>
      </w:r>
      <w:r>
        <w:rPr/>
        <w:t>Senior Contracts and Performance Manager – Safer and Stronger Communities</w:t>
      </w:r>
    </w:p>
    <w:p>
      <w:pPr>
        <w:pStyle w:val="ListParagraph"/>
        <w:numPr>
          <w:ilvl w:val="0"/>
          <w:numId w:val="2"/>
        </w:numPr>
        <w:rPr/>
      </w:pPr>
      <w:r>
        <w:rPr>
          <w:rFonts w:cs="Arial"/>
          <w:b/>
          <w:bCs/>
          <w:szCs w:val="24"/>
        </w:rPr>
        <w:t>Grade:</w:t>
      </w:r>
      <w:r>
        <w:rPr>
          <w:rFonts w:cs="Arial"/>
          <w:szCs w:val="24"/>
        </w:rPr>
        <w:t xml:space="preserve"> G9 (subject to audit panel moderation and final sign-off).</w:t>
      </w:r>
    </w:p>
    <w:p>
      <w:pPr>
        <w:pStyle w:val="ListParagraph"/>
        <w:numPr>
          <w:ilvl w:val="0"/>
          <w:numId w:val="2"/>
        </w:numPr>
        <w:rPr/>
      </w:pPr>
      <w:r>
        <w:rPr>
          <w:rFonts w:cs="Arial"/>
          <w:b/>
          <w:bCs/>
          <w:szCs w:val="24"/>
        </w:rPr>
        <w:t>Business area:</w:t>
      </w:r>
      <w:r>
        <w:rPr>
          <w:rFonts w:cs="Arial"/>
          <w:szCs w:val="24"/>
        </w:rPr>
        <w:t xml:space="preserve"> Safer and Stronger Communities</w:t>
      </w:r>
    </w:p>
    <w:p>
      <w:pPr>
        <w:pStyle w:val="ListParagraph"/>
        <w:numPr>
          <w:ilvl w:val="0"/>
          <w:numId w:val="2"/>
        </w:numPr>
        <w:rPr/>
      </w:pPr>
      <w:r>
        <w:rPr>
          <w:rFonts w:cs="Arial"/>
          <w:b/>
          <w:bCs/>
          <w:szCs w:val="24"/>
        </w:rPr>
        <w:t>Reporting line:</w:t>
      </w:r>
      <w:r>
        <w:rPr>
          <w:rFonts w:cs="Arial"/>
          <w:szCs w:val="24"/>
        </w:rPr>
        <w:t xml:space="preserve"> Head of Oversight and Performance </w:t>
      </w:r>
    </w:p>
    <w:p>
      <w:pPr>
        <w:pStyle w:val="ListParagraph"/>
        <w:numPr>
          <w:ilvl w:val="0"/>
          <w:numId w:val="2"/>
        </w:numPr>
        <w:rPr/>
      </w:pPr>
      <w:r>
        <w:rPr>
          <w:rFonts w:cs="Arial"/>
          <w:b/>
          <w:bCs/>
          <w:szCs w:val="24"/>
        </w:rPr>
        <w:t>Team:</w:t>
      </w:r>
      <w:r>
        <w:rPr>
          <w:rFonts w:cs="Arial"/>
          <w:szCs w:val="24"/>
        </w:rPr>
        <w:t xml:space="preserve"> Contracts and Performance </w:t>
      </w:r>
    </w:p>
    <w:p>
      <w:pPr>
        <w:pStyle w:val="Heading2"/>
        <w:shd w:fill="004F6E" w:val="clear"/>
        <w:rPr>
          <w:rFonts w:cs="Arial"/>
          <w:sz w:val="24"/>
          <w:szCs w:val="24"/>
        </w:rPr>
      </w:pPr>
      <w:r>
        <w:rPr>
          <w:rFonts w:cs="Arial"/>
          <w:sz w:val="24"/>
          <w:szCs w:val="24"/>
        </w:rPr>
        <w:t>Job Purpose</w:t>
      </w:r>
    </w:p>
    <w:p>
      <w:pPr>
        <w:pStyle w:val="Normal"/>
        <w:spacing w:before="0" w:after="0"/>
        <w:rPr/>
      </w:pPr>
      <w:r>
        <w:rPr/>
        <w:t>The Safer and Stronger Communities directorate delivers a substantial programme of commissioned and grant-funded activity, with Senior Policy and Partnership staff leading on contract management, provider relationships, and the development of specifications and delivery models across their service areas.</w:t>
      </w:r>
    </w:p>
    <w:p>
      <w:pPr>
        <w:pStyle w:val="Normal"/>
        <w:spacing w:before="0" w:after="0"/>
        <w:rPr/>
      </w:pPr>
      <w:r>
        <w:rPr/>
      </w:r>
    </w:p>
    <w:p>
      <w:pPr>
        <w:pStyle w:val="Normal"/>
        <w:spacing w:before="0" w:after="0"/>
        <w:rPr/>
      </w:pPr>
      <w:r>
        <w:rPr/>
        <w:t>This role has been created to strengthen the coordination, consistency and oversight of that activity, providing in-directorate enabling support and strengthening accountability across a commissioning portfolio of more than £50m. It will ensure that commissioning, contract management and grant delivery are planned, managed and reported in a coherent and structured way, enabling stronger assurance and clearer visibility for senior leaders.</w:t>
      </w:r>
    </w:p>
    <w:p>
      <w:pPr>
        <w:pStyle w:val="Normal"/>
        <w:spacing w:before="0" w:after="0"/>
        <w:rPr/>
      </w:pPr>
      <w:r>
        <w:rPr/>
      </w:r>
    </w:p>
    <w:p>
      <w:pPr>
        <w:pStyle w:val="Normal"/>
        <w:spacing w:before="0" w:after="0"/>
        <w:rPr/>
      </w:pPr>
      <w:r>
        <w:rPr/>
        <w:t>The postholder will work across Safer and Stronger Communities teams to guide and support colleagues in delivering the full commissioning cycle, from early-stage design and specification through to contract oversight, performance monitoring and review. They will act as the central point of coordination between directorate teams and GMCA commercial, finance and legal functions, ensuring that commissioning activity meets required standards, is delivered with appropriate due diligence, and progresses in a timely and consistent manner. Strong partnership and relationship-building will be critical to the role, enabling effective collaboration across organisational boundaries and supporting the smooth and joined-up delivery of commissioned services. In doing so, they will establish a clear and consistent approach across the directorate, supporting staff to apply appropriate models, processes and standards in line with organisational expectations.</w:t>
      </w:r>
    </w:p>
    <w:p>
      <w:pPr>
        <w:pStyle w:val="Normal"/>
        <w:spacing w:before="0" w:after="0"/>
        <w:rPr/>
      </w:pPr>
      <w:r>
        <w:rPr/>
      </w:r>
    </w:p>
    <w:p>
      <w:pPr>
        <w:pStyle w:val="Normal"/>
        <w:spacing w:before="0" w:after="0"/>
        <w:rPr/>
      </w:pPr>
      <w:r>
        <w:rPr/>
        <w:t>The postholder will take a leading role in shaping, creating and embedding the directorate’s approach to commissioning and contract management. This will include assessing current activity, identifying opportunities to improve coordination and consistency, and developing practical tools, processes and ways of working that support effective delivery across a complex portfolio of services. The role will also establish and maintain proportionate systems for pipeline planning, performance oversight and reporting, ensuring the Senior Management Team has a clear, accurate and up-to-date view of delivery, risks and outcomes across the directorate’s commissioned services.</w:t>
      </w:r>
    </w:p>
    <w:p>
      <w:pPr>
        <w:pStyle w:val="Normal"/>
        <w:spacing w:before="0" w:after="0"/>
        <w:rPr/>
      </w:pPr>
      <w:r>
        <w:rPr/>
      </w:r>
    </w:p>
    <w:p>
      <w:pPr>
        <w:pStyle w:val="Normal"/>
        <w:spacing w:before="0" w:after="0"/>
        <w:rPr/>
      </w:pPr>
      <w:r>
        <w:rPr/>
        <w:t>Alongside its primary focus on strengthening commissioning and contract management across the directorate, the role will also contribute to wider performance oversight activity. This will include supporting the Head of Oversight and Performance in the assessment and interpretation of performance across Greater Manchester Police and Greater Manchester Fire and Rescue Service, ensuring that insights are aligned to directorate priorities and commissioned outcomes. The role will strengthen the connection between funded activity, service delivery and performance across GMP and GMFRS, supporting the directorate’s ability to scrutinise performance and hold services to account, and enabling a more coherent and joined-up view of outcomes for senior leaders.</w:t>
      </w:r>
    </w:p>
    <w:p>
      <w:pPr>
        <w:pStyle w:val="Heading2"/>
        <w:shd w:fill="004F6E" w:val="clear"/>
        <w:rPr>
          <w:rFonts w:cs="Arial"/>
          <w:sz w:val="24"/>
          <w:szCs w:val="24"/>
        </w:rPr>
      </w:pPr>
      <w:r>
        <w:rPr>
          <w:rFonts w:cs="Arial"/>
          <w:sz w:val="24"/>
          <w:szCs w:val="24"/>
        </w:rPr>
        <w:t>Key working relationships</w:t>
      </w:r>
    </w:p>
    <w:p>
      <w:pPr>
        <w:pStyle w:val="Normal"/>
        <w:widowControl/>
        <w:numPr>
          <w:ilvl w:val="0"/>
          <w:numId w:val="4"/>
        </w:numPr>
        <w:spacing w:lineRule="auto" w:line="276"/>
        <w:rPr/>
      </w:pPr>
      <w:r>
        <w:rPr/>
        <w:t>Head of Oversight and Performance</w:t>
      </w:r>
    </w:p>
    <w:p>
      <w:pPr>
        <w:pStyle w:val="Normal"/>
        <w:widowControl/>
        <w:numPr>
          <w:ilvl w:val="0"/>
          <w:numId w:val="4"/>
        </w:numPr>
        <w:spacing w:lineRule="auto" w:line="276"/>
        <w:rPr/>
      </w:pPr>
      <w:r>
        <w:rPr/>
        <w:t>Safer and Stronger Communities Senior Management Team</w:t>
      </w:r>
    </w:p>
    <w:p>
      <w:pPr>
        <w:pStyle w:val="Normal"/>
        <w:widowControl/>
        <w:numPr>
          <w:ilvl w:val="0"/>
          <w:numId w:val="4"/>
        </w:numPr>
        <w:spacing w:lineRule="auto" w:line="276"/>
        <w:rPr/>
      </w:pPr>
      <w:r>
        <w:rPr/>
        <w:t>Principal leads across Safer and Stronger Communities</w:t>
      </w:r>
    </w:p>
    <w:p>
      <w:pPr>
        <w:pStyle w:val="Normal"/>
        <w:widowControl/>
        <w:numPr>
          <w:ilvl w:val="0"/>
          <w:numId w:val="4"/>
        </w:numPr>
        <w:spacing w:lineRule="auto" w:line="276"/>
        <w:rPr/>
      </w:pPr>
      <w:r>
        <w:rPr/>
        <w:t>Strategic Business and Planning Manager</w:t>
      </w:r>
    </w:p>
    <w:p>
      <w:pPr>
        <w:pStyle w:val="Normal"/>
        <w:widowControl/>
        <w:numPr>
          <w:ilvl w:val="0"/>
          <w:numId w:val="4"/>
        </w:numPr>
        <w:spacing w:lineRule="auto" w:line="276"/>
        <w:rPr/>
      </w:pPr>
      <w:r>
        <w:rPr/>
        <w:t>Senior Policy and Partnership staff</w:t>
      </w:r>
    </w:p>
    <w:p>
      <w:pPr>
        <w:pStyle w:val="Normal"/>
        <w:widowControl/>
        <w:numPr>
          <w:ilvl w:val="0"/>
          <w:numId w:val="4"/>
        </w:numPr>
        <w:spacing w:lineRule="auto" w:line="276"/>
        <w:rPr/>
      </w:pPr>
      <w:r>
        <w:rPr/>
        <w:t>GMCA commercial, finance and legal functions</w:t>
      </w:r>
    </w:p>
    <w:p>
      <w:pPr>
        <w:pStyle w:val="Normal"/>
        <w:widowControl/>
        <w:numPr>
          <w:ilvl w:val="0"/>
          <w:numId w:val="4"/>
        </w:numPr>
        <w:spacing w:lineRule="auto" w:line="276"/>
        <w:rPr/>
      </w:pPr>
      <w:r>
        <w:rPr/>
        <w:t>Commissioned service providers and grant-funded delivery partners</w:t>
      </w:r>
    </w:p>
    <w:p>
      <w:pPr>
        <w:pStyle w:val="Normal"/>
        <w:widowControl/>
        <w:numPr>
          <w:ilvl w:val="0"/>
          <w:numId w:val="4"/>
        </w:numPr>
        <w:spacing w:lineRule="auto" w:line="276"/>
        <w:rPr/>
      </w:pPr>
      <w:r>
        <w:rPr/>
        <w:t>Greater Manchester Police</w:t>
      </w:r>
    </w:p>
    <w:p>
      <w:pPr>
        <w:pStyle w:val="Normal"/>
        <w:widowControl/>
        <w:numPr>
          <w:ilvl w:val="0"/>
          <w:numId w:val="4"/>
        </w:numPr>
        <w:spacing w:lineRule="auto" w:line="276"/>
        <w:rPr/>
      </w:pPr>
      <w:r>
        <w:rPr/>
        <w:t>Greater Manchester Fire and Rescue Service</w:t>
      </w:r>
    </w:p>
    <w:p>
      <w:pPr>
        <w:pStyle w:val="Normal"/>
        <w:widowControl/>
        <w:numPr>
          <w:ilvl w:val="0"/>
          <w:numId w:val="4"/>
        </w:numPr>
        <w:spacing w:lineRule="auto" w:line="276"/>
        <w:rPr/>
      </w:pPr>
      <w:r>
        <w:rPr/>
        <w:t>Local authority, criminal justice, community safety and wider partnership colleagues</w:t>
      </w:r>
    </w:p>
    <w:p>
      <w:pPr>
        <w:pStyle w:val="Heading2"/>
        <w:shd w:fill="004F6E" w:val="clear"/>
        <w:rPr>
          <w:rFonts w:cs="Arial"/>
          <w:sz w:val="24"/>
          <w:szCs w:val="24"/>
        </w:rPr>
      </w:pPr>
      <w:r>
        <w:rPr>
          <w:rFonts w:cs="Arial"/>
          <w:sz w:val="24"/>
          <w:szCs w:val="24"/>
        </w:rPr>
        <w:t>Key Responsibilities</w:t>
      </w:r>
    </w:p>
    <w:p>
      <w:pPr>
        <w:pStyle w:val="Normal"/>
        <w:widowControl/>
        <w:numPr>
          <w:ilvl w:val="0"/>
          <w:numId w:val="5"/>
        </w:numPr>
        <w:spacing w:lineRule="auto" w:line="276"/>
        <w:rPr/>
      </w:pPr>
      <w:r>
        <w:rPr/>
        <w:t>Provide central coordination of commissioning, contract management and grant-funded activity across the directorate</w:t>
      </w:r>
    </w:p>
    <w:p>
      <w:pPr>
        <w:pStyle w:val="Normal"/>
        <w:widowControl/>
        <w:numPr>
          <w:ilvl w:val="0"/>
          <w:numId w:val="5"/>
        </w:numPr>
        <w:spacing w:lineRule="auto" w:line="276"/>
        <w:rPr/>
      </w:pPr>
      <w:r>
        <w:rPr/>
        <w:t>Recognise and reinforce the role of Senior Policy and Partnership staff as contract managers and relationship leads, supporting consistent approaches to specification development, provider management and delivery oversight</w:t>
      </w:r>
    </w:p>
    <w:p>
      <w:pPr>
        <w:pStyle w:val="Normal"/>
        <w:widowControl/>
        <w:numPr>
          <w:ilvl w:val="0"/>
          <w:numId w:val="5"/>
        </w:numPr>
        <w:spacing w:lineRule="auto" w:line="276"/>
        <w:rPr/>
      </w:pPr>
      <w:r>
        <w:rPr/>
        <w:t>Guide, support and challenge Senior Policy and Partnership Officers to plan, design and deliver commissioning activity, including developing specifications, delivery models and performance frameworks</w:t>
      </w:r>
    </w:p>
    <w:p>
      <w:pPr>
        <w:pStyle w:val="Normal"/>
        <w:widowControl/>
        <w:numPr>
          <w:ilvl w:val="0"/>
          <w:numId w:val="5"/>
        </w:numPr>
        <w:spacing w:lineRule="auto" w:line="276"/>
        <w:rPr/>
      </w:pPr>
      <w:r>
        <w:rPr/>
        <w:t>Shape, develop and embed practical tools and processes to support commissioning, contract management and grant oversight across multiple service areas</w:t>
      </w:r>
    </w:p>
    <w:p>
      <w:pPr>
        <w:pStyle w:val="Normal"/>
        <w:widowControl/>
        <w:numPr>
          <w:ilvl w:val="0"/>
          <w:numId w:val="5"/>
        </w:numPr>
        <w:spacing w:lineRule="auto" w:line="276"/>
        <w:rPr/>
      </w:pPr>
      <w:r>
        <w:rPr/>
        <w:t>Establish and maintain a forward pipeline of commissioning and grant activity, aligned to directorate priorities, resource planning and business planning processes</w:t>
      </w:r>
    </w:p>
    <w:p>
      <w:pPr>
        <w:pStyle w:val="Normal"/>
        <w:widowControl/>
        <w:numPr>
          <w:ilvl w:val="0"/>
          <w:numId w:val="5"/>
        </w:numPr>
        <w:spacing w:lineRule="auto" w:line="276"/>
        <w:rPr/>
      </w:pPr>
      <w:r>
        <w:rPr/>
        <w:t>Strengthen directorate-wide approaches to contract management, provider oversight and performance monitoring, improving consistency and quality of delivery and reporting</w:t>
      </w:r>
    </w:p>
    <w:p>
      <w:pPr>
        <w:pStyle w:val="Normal"/>
        <w:widowControl/>
        <w:numPr>
          <w:ilvl w:val="0"/>
          <w:numId w:val="5"/>
        </w:numPr>
        <w:spacing w:lineRule="auto" w:line="276"/>
        <w:rPr/>
      </w:pPr>
      <w:r>
        <w:rPr/>
        <w:t>Provide oversight of performance across commissioned services, identifying risks, gaps and areas requiring intervention</w:t>
      </w:r>
    </w:p>
    <w:p>
      <w:pPr>
        <w:pStyle w:val="Normal"/>
        <w:widowControl/>
        <w:numPr>
          <w:ilvl w:val="0"/>
          <w:numId w:val="5"/>
        </w:numPr>
        <w:spacing w:lineRule="auto" w:line="276"/>
        <w:rPr/>
      </w:pPr>
      <w:r>
        <w:rPr/>
        <w:t>Provide a single, coherent view of performance, risk and delivery across commissioned services for the five Principal leads and SMT</w:t>
      </w:r>
    </w:p>
    <w:p>
      <w:pPr>
        <w:pStyle w:val="Normal"/>
        <w:widowControl/>
        <w:numPr>
          <w:ilvl w:val="0"/>
          <w:numId w:val="5"/>
        </w:numPr>
        <w:spacing w:lineRule="auto" w:line="276"/>
        <w:rPr/>
      </w:pPr>
      <w:r>
        <w:rPr/>
        <w:t>Support business planning processes, linking commissioning activity to strategic priorities, outcomes and financial planning</w:t>
      </w:r>
    </w:p>
    <w:p>
      <w:pPr>
        <w:pStyle w:val="Normal"/>
        <w:widowControl/>
        <w:numPr>
          <w:ilvl w:val="0"/>
          <w:numId w:val="5"/>
        </w:numPr>
        <w:spacing w:lineRule="auto" w:line="276"/>
        <w:rPr/>
      </w:pPr>
      <w:r>
        <w:rPr/>
        <w:t>Act as a key interface between the directorate and GMCA commercial, finance and legal functions, coordinating activity, resolving issues and escalating where necessary to ensure commissioning processes are progressed efficiently and in line with organisational requirements</w:t>
      </w:r>
    </w:p>
    <w:p>
      <w:pPr>
        <w:pStyle w:val="Normal"/>
        <w:widowControl/>
        <w:numPr>
          <w:ilvl w:val="0"/>
          <w:numId w:val="5"/>
        </w:numPr>
        <w:spacing w:lineRule="auto" w:line="276"/>
        <w:rPr/>
      </w:pPr>
      <w:r>
        <w:rPr/>
        <w:t>Provide advice and challenge to ensure commissioned activity delivers value for money and intended outcomes</w:t>
      </w:r>
    </w:p>
    <w:p>
      <w:pPr>
        <w:pStyle w:val="Normal"/>
        <w:widowControl/>
        <w:numPr>
          <w:ilvl w:val="0"/>
          <w:numId w:val="5"/>
        </w:numPr>
        <w:spacing w:lineRule="auto" w:line="276"/>
        <w:rPr/>
      </w:pPr>
      <w:r>
        <w:rPr/>
        <w:t>Support the Head of Oversight and Performance in the analysis and interpretation of performance across Greater Manchester Police and Greater Manchester Fire and Rescue Service, supporting the directorate’s scrutiny role</w:t>
      </w:r>
    </w:p>
    <w:p>
      <w:pPr>
        <w:pStyle w:val="Normal"/>
        <w:widowControl/>
        <w:numPr>
          <w:ilvl w:val="0"/>
          <w:numId w:val="5"/>
        </w:numPr>
        <w:spacing w:lineRule="auto" w:line="276"/>
        <w:rPr/>
      </w:pPr>
      <w:r>
        <w:rPr/>
        <w:t>Contribute to the development of performance insight, bringing together information from commissioned services, grant-funded activity and performance across Greater Manchester Police and Greater Manchester Fire and Rescue Service to support a clear and coherent view for scrutiny and oversight</w:t>
      </w:r>
    </w:p>
    <w:p>
      <w:pPr>
        <w:pStyle w:val="Normal"/>
        <w:widowControl/>
        <w:numPr>
          <w:ilvl w:val="0"/>
          <w:numId w:val="5"/>
        </w:numPr>
        <w:spacing w:lineRule="auto" w:line="276"/>
        <w:rPr/>
      </w:pPr>
      <w:r>
        <w:rPr/>
        <w:t>Strengthen the link between commissioning and performance by aligning analysis with contract and grant oversight, ensuring that funded activity, service delivery and outcomes are clearly understood and transparently reported</w:t>
      </w:r>
    </w:p>
    <w:p>
      <w:pPr>
        <w:pStyle w:val="Normal"/>
        <w:widowControl/>
        <w:numPr>
          <w:ilvl w:val="0"/>
          <w:numId w:val="5"/>
        </w:numPr>
        <w:spacing w:lineRule="auto" w:line="276"/>
        <w:rPr/>
      </w:pPr>
      <w:r>
        <w:rPr/>
        <w:t>Support the production of clear and concise performance reporting for SMT, providing insight that supports challenge, assurance and decision-making</w:t>
      </w:r>
    </w:p>
    <w:p>
      <w:pPr>
        <w:pStyle w:val="Normal"/>
        <w:ind w:left="360" w:right="0" w:hanging="0"/>
        <w:rPr>
          <w:rFonts w:eastAsia="Arial" w:cs="Arial"/>
          <w:szCs w:val="24"/>
        </w:rPr>
      </w:pPr>
      <w:r>
        <w:rPr>
          <w:rFonts w:eastAsia="Arial" w:cs="Arial"/>
          <w:szCs w:val="24"/>
        </w:rPr>
        <w:t xml:space="preserve"> </w:t>
      </w:r>
    </w:p>
    <w:p>
      <w:pPr>
        <w:pStyle w:val="Heading2"/>
        <w:shd w:fill="004F6E" w:val="clear"/>
        <w:rPr>
          <w:rFonts w:cs="Arial"/>
          <w:sz w:val="24"/>
          <w:szCs w:val="24"/>
        </w:rPr>
      </w:pPr>
      <w:r>
        <w:rPr>
          <w:rFonts w:cs="Arial"/>
          <w:sz w:val="24"/>
          <w:szCs w:val="24"/>
        </w:rPr>
        <w:t>General</w:t>
      </w:r>
    </w:p>
    <w:p>
      <w:pPr>
        <w:pStyle w:val="Normal"/>
        <w:widowControl/>
        <w:numPr>
          <w:ilvl w:val="0"/>
          <w:numId w:val="6"/>
        </w:numPr>
        <w:spacing w:lineRule="auto" w:line="276"/>
        <w:rPr/>
      </w:pPr>
      <w:r>
        <w:rPr/>
        <w:t>Build structure and consistency across a complex and diverse portfolio, without duplicating existing corporate functions</w:t>
      </w:r>
    </w:p>
    <w:p>
      <w:pPr>
        <w:pStyle w:val="Normal"/>
        <w:widowControl/>
        <w:numPr>
          <w:ilvl w:val="0"/>
          <w:numId w:val="6"/>
        </w:numPr>
        <w:spacing w:lineRule="auto" w:line="276"/>
        <w:rPr/>
      </w:pPr>
      <w:r>
        <w:rPr/>
        <w:t>Work through influence, coaching and coordination to strengthen ownership within service teams</w:t>
      </w:r>
    </w:p>
    <w:p>
      <w:pPr>
        <w:pStyle w:val="Normal"/>
        <w:widowControl/>
        <w:numPr>
          <w:ilvl w:val="0"/>
          <w:numId w:val="6"/>
        </w:numPr>
        <w:spacing w:lineRule="auto" w:line="276"/>
        <w:rPr/>
      </w:pPr>
      <w:r>
        <w:rPr/>
        <w:t>Provide structured support without removing local accountability</w:t>
      </w:r>
    </w:p>
    <w:p>
      <w:pPr>
        <w:pStyle w:val="Normal"/>
        <w:widowControl/>
        <w:numPr>
          <w:ilvl w:val="0"/>
          <w:numId w:val="6"/>
        </w:numPr>
        <w:spacing w:lineRule="auto" w:line="276"/>
        <w:rPr/>
      </w:pPr>
      <w:r>
        <w:rPr/>
        <w:t>Take a pragmatic, delivery-focused approach to improving ways of working</w:t>
      </w:r>
    </w:p>
    <w:p>
      <w:pPr>
        <w:pStyle w:val="Normal"/>
        <w:widowControl/>
        <w:numPr>
          <w:ilvl w:val="0"/>
          <w:numId w:val="6"/>
        </w:numPr>
        <w:spacing w:lineRule="auto" w:line="276"/>
        <w:rPr/>
      </w:pPr>
      <w:r>
        <w:rPr/>
        <w:t>Balance establishing new approaches with working effectively within existing corporate frameworks</w:t>
      </w:r>
    </w:p>
    <w:p>
      <w:pPr>
        <w:pStyle w:val="Normal"/>
        <w:widowControl/>
        <w:numPr>
          <w:ilvl w:val="0"/>
          <w:numId w:val="6"/>
        </w:numPr>
        <w:spacing w:lineRule="auto" w:line="276"/>
        <w:rPr/>
      </w:pPr>
      <w:r>
        <w:rPr/>
        <w:t>Focus on improving visibility, assurance and decision-making for senior leaders</w:t>
      </w:r>
    </w:p>
    <w:p>
      <w:pPr>
        <w:pStyle w:val="Normal"/>
        <w:widowControl/>
        <w:numPr>
          <w:ilvl w:val="0"/>
          <w:numId w:val="6"/>
        </w:numPr>
        <w:spacing w:lineRule="auto" w:line="276"/>
        <w:rPr/>
      </w:pPr>
      <w:r>
        <w:rPr/>
        <w:t>Support the Head of Oversight and Performance and deputise at appropriate meetings where required</w:t>
      </w:r>
    </w:p>
    <w:p>
      <w:pPr>
        <w:pStyle w:val="Normal"/>
        <w:widowControl/>
        <w:numPr>
          <w:ilvl w:val="0"/>
          <w:numId w:val="6"/>
        </w:numPr>
        <w:spacing w:lineRule="auto" w:line="276"/>
        <w:rPr/>
      </w:pPr>
      <w:r>
        <w:rPr/>
        <w:t>Undertake other duties and responsibilities commensurate with the grade and nature of the role as required</w:t>
      </w:r>
    </w:p>
    <w:p>
      <w:pPr>
        <w:pStyle w:val="ListParagraph"/>
        <w:numPr>
          <w:ilvl w:val="0"/>
          <w:numId w:val="7"/>
        </w:numPr>
        <w:rPr>
          <w:rFonts w:cs="Arial"/>
          <w:color w:val="auto"/>
        </w:rPr>
      </w:pPr>
      <w:r>
        <w:rPr>
          <w:rFonts w:cs="Arial"/>
          <w:color w:val="auto"/>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7"/>
        </w:numPr>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7"/>
        </w:numPr>
        <w:rPr>
          <w:color w:val="auto"/>
        </w:rPr>
      </w:pPr>
      <w:r>
        <w:rPr>
          <w:color w:val="auto"/>
        </w:rPr>
        <w:t>Ensure the services delivered internally and externally are inclusive and accessible.</w:t>
      </w:r>
    </w:p>
    <w:p>
      <w:pPr>
        <w:pStyle w:val="ListParagraph"/>
        <w:numPr>
          <w:ilvl w:val="0"/>
          <w:numId w:val="7"/>
        </w:numPr>
        <w:rPr>
          <w:rFonts w:cs="Arial"/>
          <w:color w:val="auto"/>
        </w:rPr>
      </w:pPr>
      <w:r>
        <w:rPr>
          <w:rFonts w:cs="Arial"/>
          <w:color w:val="auto"/>
        </w:rPr>
        <w:t xml:space="preserve">To align work area to the Sustainability Strategy and ensure work practices are inclusive of this value &amp; strategic intent.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Normal"/>
        <w:widowControl/>
        <w:numPr>
          <w:ilvl w:val="0"/>
          <w:numId w:val="8"/>
        </w:numPr>
        <w:spacing w:lineRule="auto" w:line="276"/>
        <w:rPr/>
      </w:pPr>
      <w:r>
        <w:rPr/>
        <w:t>Strong experience of commissioning, contract management or grant-funded programme delivery, ideally within a public sector or similarly complex organisational environment</w:t>
      </w:r>
    </w:p>
    <w:p>
      <w:pPr>
        <w:pStyle w:val="Normal"/>
        <w:widowControl/>
        <w:numPr>
          <w:ilvl w:val="0"/>
          <w:numId w:val="8"/>
        </w:numPr>
        <w:spacing w:lineRule="auto" w:line="276"/>
        <w:rPr/>
      </w:pPr>
      <w:r>
        <w:rPr/>
        <w:t>Experience of operating across multiple service areas, coordinating delivery without direct line management</w:t>
      </w:r>
    </w:p>
    <w:p>
      <w:pPr>
        <w:pStyle w:val="Normal"/>
        <w:widowControl/>
        <w:numPr>
          <w:ilvl w:val="0"/>
          <w:numId w:val="8"/>
        </w:numPr>
        <w:spacing w:lineRule="auto" w:line="276"/>
        <w:rPr/>
      </w:pPr>
      <w:r>
        <w:rPr/>
        <w:t>Experience of establishing or improving functions, processes or delivery models within complex organisational settings</w:t>
      </w:r>
    </w:p>
    <w:p>
      <w:pPr>
        <w:pStyle w:val="Normal"/>
        <w:widowControl/>
        <w:numPr>
          <w:ilvl w:val="0"/>
          <w:numId w:val="8"/>
        </w:numPr>
        <w:spacing w:lineRule="auto" w:line="276"/>
        <w:rPr/>
      </w:pPr>
      <w:r>
        <w:rPr/>
        <w:t>Strong understanding of the full commissioning cycle, including needs assessment, service design, procurement, contract management and performance review</w:t>
      </w:r>
    </w:p>
    <w:p>
      <w:pPr>
        <w:pStyle w:val="Normal"/>
        <w:widowControl/>
        <w:numPr>
          <w:ilvl w:val="0"/>
          <w:numId w:val="8"/>
        </w:numPr>
        <w:spacing w:lineRule="auto" w:line="276"/>
        <w:rPr/>
      </w:pPr>
      <w:r>
        <w:rPr/>
        <w:t>Ability to design and implement practical, proportionate systems that improve coordination, consistency and oversight</w:t>
      </w:r>
    </w:p>
    <w:p>
      <w:pPr>
        <w:pStyle w:val="Normal"/>
        <w:widowControl/>
        <w:numPr>
          <w:ilvl w:val="0"/>
          <w:numId w:val="8"/>
        </w:numPr>
        <w:spacing w:lineRule="auto" w:line="276"/>
        <w:rPr/>
      </w:pPr>
      <w:r>
        <w:rPr/>
        <w:t>Experience of supporting, influencing and constructively challenging senior staff to strengthen delivery, performance and assurance</w:t>
      </w:r>
    </w:p>
    <w:p>
      <w:pPr>
        <w:pStyle w:val="Normal"/>
        <w:widowControl/>
        <w:numPr>
          <w:ilvl w:val="0"/>
          <w:numId w:val="8"/>
        </w:numPr>
        <w:spacing w:lineRule="auto" w:line="276"/>
        <w:rPr/>
      </w:pPr>
      <w:r>
        <w:rPr/>
        <w:t>Strong analytical capability, with the ability to interpret performance data and translate it into clear insight and action</w:t>
      </w:r>
    </w:p>
    <w:p>
      <w:pPr>
        <w:pStyle w:val="Normal"/>
        <w:widowControl/>
        <w:numPr>
          <w:ilvl w:val="0"/>
          <w:numId w:val="8"/>
        </w:numPr>
        <w:spacing w:lineRule="auto" w:line="276"/>
        <w:rPr/>
      </w:pPr>
      <w:r>
        <w:rPr/>
        <w:t>Experience of developing performance frameworks, KPIs and reporting structures to support senior leadership oversight</w:t>
      </w:r>
    </w:p>
    <w:p>
      <w:pPr>
        <w:pStyle w:val="Normal"/>
        <w:widowControl/>
        <w:numPr>
          <w:ilvl w:val="0"/>
          <w:numId w:val="8"/>
        </w:numPr>
        <w:spacing w:lineRule="auto" w:line="276"/>
        <w:rPr/>
      </w:pPr>
      <w:r>
        <w:rPr/>
        <w:t>Strong stakeholder management skills, including working with commercial, finance and legal functions</w:t>
      </w:r>
    </w:p>
    <w:p>
      <w:pPr>
        <w:pStyle w:val="Normal"/>
        <w:widowControl/>
        <w:numPr>
          <w:ilvl w:val="0"/>
          <w:numId w:val="8"/>
        </w:numPr>
        <w:spacing w:lineRule="auto" w:line="276"/>
        <w:rPr/>
      </w:pPr>
      <w:r>
        <w:rPr/>
        <w:t>Ability to operate with credibility at senior level, providing both support and constructive challenge</w:t>
      </w:r>
    </w:p>
    <w:p>
      <w:pPr>
        <w:pStyle w:val="Default"/>
        <w:rPr/>
      </w:pPr>
      <w:r>
        <w:rPr/>
      </w:r>
    </w:p>
    <w:p>
      <w:pPr>
        <w:pStyle w:val="Default"/>
        <w:rPr/>
      </w:pPr>
      <w:r>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Normal"/>
        <w:widowControl/>
        <w:numPr>
          <w:ilvl w:val="0"/>
          <w:numId w:val="9"/>
        </w:numPr>
        <w:spacing w:lineRule="auto" w:line="276" w:before="0" w:after="0"/>
        <w:rPr/>
      </w:pPr>
      <w:r>
        <w:rPr/>
        <w:t>Strong partnership and relationship-building skills, with the ability to work effectively across organisational and professional boundaries</w:t>
      </w:r>
    </w:p>
    <w:p>
      <w:pPr>
        <w:pStyle w:val="Normal"/>
        <w:widowControl/>
        <w:numPr>
          <w:ilvl w:val="0"/>
          <w:numId w:val="9"/>
        </w:numPr>
        <w:spacing w:lineRule="auto" w:line="276" w:before="0" w:after="0"/>
        <w:rPr/>
      </w:pPr>
      <w:r>
        <w:rPr/>
        <w:t>Ability to build visibility and credibility across a complex organisation</w:t>
      </w:r>
    </w:p>
    <w:p>
      <w:pPr>
        <w:pStyle w:val="Normal"/>
        <w:widowControl/>
        <w:numPr>
          <w:ilvl w:val="0"/>
          <w:numId w:val="9"/>
        </w:numPr>
        <w:spacing w:lineRule="auto" w:line="276" w:before="0" w:after="0"/>
        <w:rPr/>
      </w:pPr>
      <w:r>
        <w:rPr/>
        <w:t>Committed to public service and delivering high-quality commissioned services that improve outcomes for residents and communities</w:t>
      </w:r>
    </w:p>
    <w:p>
      <w:pPr>
        <w:pStyle w:val="Normal"/>
        <w:widowControl/>
        <w:numPr>
          <w:ilvl w:val="0"/>
          <w:numId w:val="9"/>
        </w:numPr>
        <w:spacing w:lineRule="auto" w:line="276" w:before="0" w:after="0"/>
        <w:rPr/>
      </w:pPr>
      <w:r>
        <w:rPr/>
        <w:t>High standard of integrity and ethics, and ability to maintain professional standards</w:t>
      </w:r>
    </w:p>
    <w:p>
      <w:pPr>
        <w:pStyle w:val="Normal"/>
        <w:widowControl/>
        <w:numPr>
          <w:ilvl w:val="0"/>
          <w:numId w:val="9"/>
        </w:numPr>
        <w:spacing w:lineRule="auto" w:line="276" w:before="0" w:after="0"/>
        <w:rPr/>
      </w:pPr>
      <w:r>
        <w:rPr/>
        <w:t>Politically astute, with an understanding of working in a governance and scrutiny environment</w:t>
      </w:r>
    </w:p>
    <w:p>
      <w:pPr>
        <w:pStyle w:val="Normal"/>
        <w:widowControl/>
        <w:numPr>
          <w:ilvl w:val="0"/>
          <w:numId w:val="9"/>
        </w:numPr>
        <w:spacing w:lineRule="auto" w:line="276" w:before="0" w:after="0"/>
        <w:rPr/>
      </w:pPr>
      <w:r>
        <w:rPr/>
        <w:t>Pragmatic, organised and delivery-focused, with the ability to manage competing priorities</w:t>
      </w:r>
    </w:p>
    <w:p>
      <w:pPr>
        <w:pStyle w:val="Normal"/>
        <w:widowControl/>
        <w:numPr>
          <w:ilvl w:val="0"/>
          <w:numId w:val="9"/>
        </w:numPr>
        <w:spacing w:lineRule="auto" w:line="276" w:before="0" w:after="0"/>
        <w:rPr/>
      </w:pPr>
      <w:r>
        <w:rPr/>
        <w:t>Confident in using evidence, data and insight to support decision-making, assurance and improvement</w:t>
      </w:r>
    </w:p>
    <w:p>
      <w:pPr>
        <w:pStyle w:val="Normal"/>
        <w:widowControl/>
        <w:numPr>
          <w:ilvl w:val="0"/>
          <w:numId w:val="9"/>
        </w:numPr>
        <w:spacing w:lineRule="auto" w:line="276" w:before="0" w:after="0"/>
        <w:rPr/>
      </w:pPr>
      <w:r>
        <w:rPr/>
        <w:t>Able to work with care and consideration for others, while providing constructive challenge</w:t>
      </w:r>
    </w:p>
    <w:p>
      <w:pPr>
        <w:pStyle w:val="Normal"/>
        <w:widowControl/>
        <w:numPr>
          <w:ilvl w:val="0"/>
          <w:numId w:val="9"/>
        </w:numPr>
        <w:spacing w:lineRule="auto" w:line="276" w:before="0" w:after="0"/>
        <w:rPr/>
      </w:pPr>
      <w:r>
        <w:rPr/>
        <w:t>Committed to equality, diversity and inclusion</w:t>
      </w:r>
    </w:p>
    <w:p>
      <w:pPr>
        <w:pStyle w:val="Normal"/>
        <w:spacing w:before="240" w:after="240"/>
        <w:rPr>
          <w:rFonts w:cs="Arial"/>
          <w:b/>
          <w:b/>
          <w:color w:val="FF0000"/>
          <w:sz w:val="22"/>
        </w:rPr>
      </w:pPr>
      <w:r>
        <w:rPr>
          <w:rFonts w:cs="Arial"/>
          <w:b/>
          <w:color w:val="FF0000"/>
          <w:sz w:val="22"/>
        </w:rPr>
        <w:t>FOR ROLES EXEMPT FROM THE REHABILITATION OF OFFENDERS ACT:</w:t>
      </w:r>
    </w:p>
    <w:p>
      <w:pPr>
        <w:pStyle w:val="Normal"/>
        <w:rPr>
          <w:rFonts w:cs="Arial"/>
          <w:color w:val="FF0000"/>
          <w:sz w:val="22"/>
        </w:rPr>
      </w:pPr>
      <w:r>
        <w:rPr>
          <w:rFonts w:cs="Arial"/>
          <w:color w:val="FF0000"/>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 w:val="22"/>
        </w:rPr>
      </w:pPr>
      <w:r>
        <w:rPr>
          <w:rFonts w:cs="Arial"/>
          <w:color w:val="FF0000"/>
          <w:sz w:val="22"/>
        </w:rPr>
      </w:r>
    </w:p>
    <w:p>
      <w:pPr>
        <w:pStyle w:val="Normal"/>
        <w:spacing w:before="240" w:after="240"/>
        <w:rPr>
          <w:rFonts w:cs="Arial"/>
          <w:b/>
          <w:b/>
          <w:color w:val="FF0000"/>
          <w:sz w:val="22"/>
        </w:rPr>
      </w:pPr>
      <w:r>
        <w:rPr>
          <w:rFonts w:cs="Arial"/>
          <w:b/>
          <w:color w:val="FF0000"/>
          <w:sz w:val="22"/>
        </w:rPr>
        <w:t>FOR POLITICALLY RESTRICTED POSTS:</w:t>
      </w:r>
    </w:p>
    <w:p>
      <w:pPr>
        <w:pStyle w:val="Normal"/>
        <w:jc w:val="both"/>
        <w:rPr>
          <w:rFonts w:cs="Arial"/>
          <w:color w:val="FF0000"/>
          <w:sz w:val="22"/>
        </w:rPr>
      </w:pPr>
      <w:r>
        <w:rPr>
          <w:rFonts w:cs="Arial"/>
          <w:color w:val="FF0000"/>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3"/>
        </w:numPr>
        <w:spacing w:lineRule="auto" w:line="256" w:before="0" w:after="160"/>
        <w:contextualSpacing/>
        <w:jc w:val="both"/>
        <w:rPr>
          <w:color w:val="FF0000"/>
        </w:rPr>
      </w:pPr>
      <w:r>
        <w:rPr>
          <w:color w:val="FF0000"/>
        </w:rPr>
        <w:t>the post is that of a Chief Officer or Deputy Chief Officer or</w:t>
      </w:r>
    </w:p>
    <w:p>
      <w:pPr>
        <w:pStyle w:val="ListParagraph"/>
        <w:widowControl/>
        <w:numPr>
          <w:ilvl w:val="0"/>
          <w:numId w:val="3"/>
        </w:numPr>
        <w:spacing w:lineRule="auto" w:line="256" w:before="0" w:after="160"/>
        <w:contextualSpacing/>
        <w:jc w:val="both"/>
        <w:rPr>
          <w:color w:val="FF0000"/>
        </w:rPr>
      </w:pPr>
      <w:r>
        <w:rPr>
          <w:color w:val="FF0000"/>
        </w:rPr>
        <w:t>the post has delegated powers to discharge the functions of the Authority; or</w:t>
      </w:r>
    </w:p>
    <w:p>
      <w:pPr>
        <w:pStyle w:val="ListParagraph"/>
        <w:widowControl/>
        <w:numPr>
          <w:ilvl w:val="0"/>
          <w:numId w:val="3"/>
        </w:numPr>
        <w:spacing w:lineRule="auto" w:line="256" w:before="0" w:after="160"/>
        <w:contextualSpacing/>
        <w:jc w:val="both"/>
        <w:rPr>
          <w:color w:val="FF0000"/>
        </w:rPr>
      </w:pPr>
      <w:r>
        <w:rPr>
          <w:color w:val="FF0000"/>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 w:val="22"/>
        </w:rPr>
      </w:pPr>
      <w:r>
        <w:rPr>
          <w:rFonts w:cs="Arial"/>
          <w:color w:val="FF0000"/>
          <w:sz w:val="22"/>
        </w:rPr>
        <w:t>The post holder has a right to appeal to the GMCA Chief Executive against the classification of their post as politically restricted.</w:t>
      </w:r>
    </w:p>
    <w:p>
      <w:pPr>
        <w:pStyle w:val="Normal"/>
        <w:ind w:left="993" w:right="0" w:hanging="633"/>
        <w:rPr>
          <w:rFonts w:cs="Arial"/>
          <w:szCs w:val="24"/>
        </w:rPr>
      </w:pPr>
      <w:r>
        <w:rPr>
          <w:rFonts w:cs="Arial"/>
          <w:szCs w:val="24"/>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Symbol">
    <w:charset w:val="02"/>
    <w:family w:val="auto"/>
    <w:pitch w:val="default"/>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ind w:left="720" w:hanging="360"/>
      </w:pPr>
      <w:rPr>
        <w:rFonts w:ascii="Symbol" w:hAnsi="Symbol" w:cs="Symbol" w:hint="default"/>
        <w:rFonts w:cs="Symbol"/>
        <w:lang w:val="en-GB" w:eastAsia="en-US" w:bidi="ar-S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lang w:val="en-GB" w:eastAsia="en-US" w:bidi="ar-SA"/>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2</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