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2.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sz w:val="24"/>
          <w:szCs w:val="24"/>
        </w:rPr>
      </w:pPr>
      <w:r>
        <w:rPr>
          <w:rFonts w:cs="Arial"/>
          <w:sz w:val="24"/>
          <w:szCs w:val="24"/>
        </w:rPr>
        <w:t>Role profile</w:t>
      </w:r>
    </w:p>
    <w:p>
      <w:pPr>
        <w:pStyle w:val="ListParagraph"/>
        <w:numPr>
          <w:ilvl w:val="0"/>
          <w:numId w:val="2"/>
        </w:numPr>
        <w:rPr/>
      </w:pPr>
      <w:r>
        <w:rPr>
          <w:rFonts w:cs="Arial"/>
          <w:b/>
          <w:bCs/>
          <w:szCs w:val="24"/>
        </w:rPr>
        <w:t>Job title</w:t>
      </w:r>
      <w:r>
        <w:rPr>
          <w:rFonts w:cs="Arial"/>
          <w:szCs w:val="24"/>
        </w:rPr>
        <w:t>: Digital Communications Manager (Waste and Resources)</w:t>
      </w:r>
    </w:p>
    <w:p>
      <w:pPr>
        <w:pStyle w:val="ListParagraph"/>
        <w:numPr>
          <w:ilvl w:val="0"/>
          <w:numId w:val="2"/>
        </w:numPr>
        <w:rPr/>
      </w:pPr>
      <w:r>
        <w:rPr>
          <w:rFonts w:cs="Arial"/>
          <w:b/>
          <w:bCs/>
          <w:szCs w:val="24"/>
        </w:rPr>
        <w:t>Grade:</w:t>
      </w:r>
      <w:r>
        <w:rPr>
          <w:rFonts w:cs="Arial"/>
          <w:szCs w:val="24"/>
        </w:rPr>
        <w:t xml:space="preserve"> 8</w:t>
      </w:r>
    </w:p>
    <w:p>
      <w:pPr>
        <w:pStyle w:val="ListParagraph"/>
        <w:numPr>
          <w:ilvl w:val="0"/>
          <w:numId w:val="2"/>
        </w:numPr>
        <w:rPr/>
      </w:pPr>
      <w:r>
        <w:rPr>
          <w:rFonts w:cs="Arial"/>
          <w:b/>
          <w:bCs/>
          <w:szCs w:val="24"/>
        </w:rPr>
        <w:t xml:space="preserve">Duration: </w:t>
      </w:r>
      <w:r>
        <w:rPr>
          <w:rFonts w:cs="Arial"/>
          <w:szCs w:val="24"/>
        </w:rPr>
        <w:t>Permanent</w:t>
      </w:r>
    </w:p>
    <w:p>
      <w:pPr>
        <w:pStyle w:val="ListParagraph"/>
        <w:numPr>
          <w:ilvl w:val="0"/>
          <w:numId w:val="2"/>
        </w:numPr>
        <w:rPr/>
      </w:pPr>
      <w:r>
        <w:rPr>
          <w:rFonts w:cs="Arial"/>
          <w:b/>
          <w:bCs/>
          <w:szCs w:val="24"/>
        </w:rPr>
        <w:t>Business area:</w:t>
      </w:r>
      <w:r>
        <w:rPr>
          <w:rFonts w:cs="Arial"/>
          <w:szCs w:val="24"/>
        </w:rPr>
        <w:t xml:space="preserve"> Communications and Engagement</w:t>
      </w:r>
    </w:p>
    <w:p>
      <w:pPr>
        <w:pStyle w:val="ListParagraph"/>
        <w:numPr>
          <w:ilvl w:val="0"/>
          <w:numId w:val="2"/>
        </w:numPr>
        <w:rPr/>
      </w:pPr>
      <w:r>
        <w:rPr>
          <w:rFonts w:cs="Arial"/>
          <w:b/>
          <w:bCs/>
          <w:szCs w:val="24"/>
        </w:rPr>
        <w:t>Reporting line:</w:t>
      </w:r>
      <w:r>
        <w:rPr>
          <w:rFonts w:cs="Arial"/>
          <w:szCs w:val="24"/>
        </w:rPr>
        <w:t xml:space="preserve"> Senior Campaigns and Behavioural Change Manager</w:t>
      </w:r>
    </w:p>
    <w:p>
      <w:pPr>
        <w:pStyle w:val="ListParagraph"/>
        <w:numPr>
          <w:ilvl w:val="0"/>
          <w:numId w:val="2"/>
        </w:numPr>
        <w:rPr/>
      </w:pPr>
      <w:r>
        <w:rPr>
          <w:rFonts w:cs="Arial"/>
          <w:b/>
          <w:bCs/>
          <w:szCs w:val="24"/>
        </w:rPr>
        <w:t>Team:</w:t>
      </w:r>
      <w:r>
        <w:rPr>
          <w:rFonts w:cs="Arial"/>
          <w:szCs w:val="24"/>
        </w:rPr>
        <w:t xml:space="preserve"> Communications and Engagement (Waste and Resources)</w:t>
      </w:r>
    </w:p>
    <w:p>
      <w:pPr>
        <w:pStyle w:val="Heading2"/>
        <w:shd w:fill="004F6E" w:val="clear"/>
        <w:rPr>
          <w:rFonts w:cs="Arial"/>
          <w:sz w:val="24"/>
          <w:szCs w:val="24"/>
        </w:rPr>
      </w:pPr>
      <w:r>
        <w:rPr>
          <w:rFonts w:cs="Arial"/>
          <w:sz w:val="24"/>
          <w:szCs w:val="24"/>
        </w:rPr>
        <w:t>Job Purpose</w:t>
      </w:r>
    </w:p>
    <w:p>
      <w:pPr>
        <w:pStyle w:val="Normal"/>
        <w:rPr>
          <w:rFonts w:cs="Arial"/>
          <w:color w:val="262626"/>
        </w:rPr>
      </w:pPr>
      <w:r>
        <w:rPr>
          <w:rFonts w:cs="Arial"/>
          <w:color w:val="262626"/>
        </w:rPr>
        <w:t xml:space="preserve">To lead a digital team working across a variety of business critical digital infrastructure, including a high-traffic website; Recycle for Greater Manchester.com, a range of social media channels and digital content creation. </w:t>
      </w:r>
    </w:p>
    <w:p>
      <w:pPr>
        <w:pStyle w:val="Normal"/>
        <w:rPr>
          <w:rFonts w:cs="Arial"/>
          <w:color w:val="262626"/>
        </w:rPr>
      </w:pPr>
      <w:r>
        <w:rPr>
          <w:rFonts w:cs="Arial"/>
          <w:color w:val="262626"/>
        </w:rPr>
        <w:t>You will be supporting a busy communications and engagement team who lead on Recycle for Greater Manchester campaigns, the GMCA’s public facing brand for the Waste and Resources team.  We are the largest waste disposal authority in the country with one of the highest urban recycling rates in England.</w:t>
      </w:r>
    </w:p>
    <w:p>
      <w:pPr>
        <w:pStyle w:val="Normal"/>
        <w:rPr>
          <w:rFonts w:cs="Arial"/>
          <w:color w:val="262626"/>
        </w:rPr>
      </w:pPr>
      <w:r>
        <w:rPr>
          <w:rFonts w:cs="Arial"/>
          <w:color w:val="262626"/>
        </w:rPr>
        <w:t>You’ll also be able to provide strategic guidance on how we stay at the forefront of digital, how we use digital solutions to evolve our services, making recycling and other waste behaviours as seamless as possible for residents across Greater Manchester.</w:t>
      </w:r>
    </w:p>
    <w:p>
      <w:pPr>
        <w:pStyle w:val="Heading2"/>
        <w:shd w:fill="004F6E" w:val="clear"/>
        <w:rPr>
          <w:rFonts w:cs="Arial"/>
          <w:sz w:val="24"/>
          <w:szCs w:val="24"/>
        </w:rPr>
      </w:pPr>
      <w:r>
        <w:rPr>
          <w:rFonts w:cs="Arial"/>
          <w:sz w:val="24"/>
          <w:szCs w:val="24"/>
        </w:rPr>
        <w:t>Key working relationships</w:t>
      </w:r>
    </w:p>
    <w:p>
      <w:pPr>
        <w:pStyle w:val="ListParagraph"/>
        <w:numPr>
          <w:ilvl w:val="0"/>
          <w:numId w:val="3"/>
        </w:numPr>
        <w:rPr/>
      </w:pPr>
      <w:r>
        <w:rPr>
          <w:rStyle w:val="Normaltextrun"/>
          <w:color w:val="auto"/>
          <w:szCs w:val="24"/>
        </w:rPr>
        <w:t>GMCA’s Waste and Resources team.</w:t>
      </w:r>
    </w:p>
    <w:p>
      <w:pPr>
        <w:pStyle w:val="ListParagraph"/>
        <w:widowControl/>
        <w:numPr>
          <w:ilvl w:val="0"/>
          <w:numId w:val="3"/>
        </w:numPr>
        <w:ind w:left="714" w:right="261" w:hanging="357"/>
        <w:rPr/>
      </w:pPr>
      <w:r>
        <w:rPr>
          <w:rStyle w:val="Normaltextrun"/>
          <w:color w:val="auto"/>
          <w:szCs w:val="24"/>
        </w:rPr>
        <w:t>Colleagues from the Greater Manchester SUEZ recycling and recovery UK (SUEZ) team, who currently manage the waste contract.</w:t>
      </w:r>
    </w:p>
    <w:p>
      <w:pPr>
        <w:pStyle w:val="ListParagraph"/>
        <w:numPr>
          <w:ilvl w:val="0"/>
          <w:numId w:val="3"/>
        </w:numPr>
        <w:ind w:left="714" w:right="0" w:hanging="357"/>
        <w:rPr>
          <w:rFonts w:cs="Arial"/>
          <w:color w:val="auto"/>
          <w:szCs w:val="24"/>
        </w:rPr>
      </w:pPr>
      <w:r>
        <w:rPr>
          <w:rFonts w:cs="Arial"/>
          <w:color w:val="auto"/>
          <w:szCs w:val="24"/>
        </w:rPr>
        <w:t>GMCA communications and engagement colleagues who work across a wide variety of projects and portfolios.</w:t>
      </w:r>
    </w:p>
    <w:p>
      <w:pPr>
        <w:pStyle w:val="ListParagraph"/>
        <w:widowControl/>
        <w:numPr>
          <w:ilvl w:val="0"/>
          <w:numId w:val="3"/>
        </w:numPr>
        <w:ind w:left="720" w:right="261" w:hanging="360"/>
        <w:rPr/>
      </w:pPr>
      <w:r>
        <w:rPr>
          <w:rStyle w:val="Normaltextrun"/>
          <w:color w:val="auto"/>
          <w:szCs w:val="24"/>
        </w:rPr>
        <w:t>External website host and partner agencies of key digital services.</w:t>
      </w:r>
    </w:p>
    <w:p>
      <w:pPr>
        <w:pStyle w:val="ListParagraph"/>
        <w:widowControl/>
        <w:numPr>
          <w:ilvl w:val="0"/>
          <w:numId w:val="3"/>
        </w:numPr>
        <w:ind w:left="720" w:right="261" w:hanging="360"/>
        <w:rPr/>
      </w:pPr>
      <w:r>
        <w:rPr>
          <w:rStyle w:val="Normaltextrun"/>
          <w:color w:val="auto"/>
          <w:szCs w:val="24"/>
        </w:rPr>
        <w:t>GMCA digital services team.</w:t>
      </w:r>
    </w:p>
    <w:p>
      <w:pPr>
        <w:pStyle w:val="ListParagraph"/>
        <w:widowControl/>
        <w:numPr>
          <w:ilvl w:val="0"/>
          <w:numId w:val="3"/>
        </w:numPr>
        <w:ind w:left="714" w:right="261" w:hanging="357"/>
        <w:rPr/>
      </w:pPr>
      <w:r>
        <w:rPr>
          <w:rStyle w:val="Normaltextrun"/>
          <w:szCs w:val="24"/>
          <w:shd w:fill="FFFFFF" w:val="clear"/>
        </w:rPr>
        <w:t>GMCA Director, Assistant Directors and Heads of Communications and Engagement; GMCA communications and engagement team.</w:t>
      </w:r>
      <w:r>
        <w:rPr>
          <w:rStyle w:val="Eop"/>
          <w:szCs w:val="24"/>
          <w:shd w:fill="FFFFFF" w:val="clear"/>
        </w:rPr>
        <w:t> </w:t>
      </w:r>
    </w:p>
    <w:p>
      <w:pPr>
        <w:pStyle w:val="ListParagraph"/>
        <w:widowControl/>
        <w:numPr>
          <w:ilvl w:val="0"/>
          <w:numId w:val="3"/>
        </w:numPr>
        <w:ind w:left="714" w:right="261" w:hanging="357"/>
        <w:rPr/>
      </w:pPr>
      <w:r>
        <w:rPr>
          <w:rFonts w:cs="Arial"/>
          <w:color w:val="auto"/>
          <w:szCs w:val="24"/>
        </w:rPr>
        <w:t>Communications and engagement colleagues in Greater Manchester councils and partner organisations (</w:t>
      </w:r>
      <w:r>
        <w:rPr>
          <w:color w:val="auto"/>
          <w:szCs w:val="24"/>
        </w:rPr>
        <w:t>potentially including Greater Manchester Integrated Care Partnership, Transport for Greater Manchester and Greater Manchester Police)</w:t>
      </w:r>
    </w:p>
    <w:p>
      <w:pPr>
        <w:pStyle w:val="Heading2"/>
        <w:shd w:fill="004F6E" w:val="clear"/>
        <w:rPr>
          <w:rFonts w:cs="Arial"/>
          <w:sz w:val="24"/>
          <w:szCs w:val="24"/>
        </w:rPr>
      </w:pPr>
      <w:r>
        <w:rPr>
          <w:rFonts w:cs="Arial"/>
          <w:sz w:val="24"/>
          <w:szCs w:val="24"/>
        </w:rPr>
        <w:t>Key Responsibilities</w:t>
      </w:r>
    </w:p>
    <w:p>
      <w:pPr>
        <w:pStyle w:val="Normal"/>
        <w:widowControl/>
        <w:numPr>
          <w:ilvl w:val="0"/>
          <w:numId w:val="0"/>
        </w:numPr>
        <w:spacing w:lineRule="atLeast" w:line="300" w:before="280" w:after="280"/>
        <w:ind w:left="0" w:hanging="0"/>
        <w:rPr>
          <w:rFonts w:eastAsia="Times New Roman" w:cs="Arial"/>
          <w:b/>
          <w:b/>
          <w:bCs/>
          <w:color w:val="auto"/>
          <w:szCs w:val="24"/>
          <w:lang w:eastAsia="en-GB"/>
        </w:rPr>
      </w:pPr>
      <w:r>
        <w:rPr>
          <w:rFonts w:eastAsia="Times New Roman" w:cs="Arial"/>
          <w:b/>
          <w:bCs/>
          <w:color w:val="auto"/>
          <w:szCs w:val="24"/>
          <w:lang w:eastAsia="en-GB"/>
        </w:rPr>
        <w:t>Digital Strategy and Delivery</w:t>
      </w:r>
    </w:p>
    <w:p>
      <w:pPr>
        <w:pStyle w:val="Normal"/>
        <w:widowControl/>
        <w:numPr>
          <w:ilvl w:val="0"/>
          <w:numId w:val="16"/>
        </w:numPr>
        <w:spacing w:lineRule="atLeast" w:line="300" w:before="280" w:after="0"/>
        <w:rPr>
          <w:rFonts w:cs="Arial"/>
          <w:color w:val="262626"/>
        </w:rPr>
      </w:pPr>
      <w:r>
        <w:rPr>
          <w:rFonts w:cs="Arial"/>
          <w:color w:val="262626"/>
        </w:rPr>
        <w:t>Lead the planning, development and delivery of R4GM’s digital communications activity in line with corporate priorities and communications strategies.</w:t>
      </w:r>
    </w:p>
    <w:p>
      <w:pPr>
        <w:pStyle w:val="Normal"/>
        <w:widowControl/>
        <w:numPr>
          <w:ilvl w:val="0"/>
          <w:numId w:val="16"/>
        </w:numPr>
        <w:spacing w:lineRule="atLeast" w:line="300" w:before="0" w:after="0"/>
        <w:rPr>
          <w:rFonts w:cs="Arial"/>
          <w:color w:val="262626"/>
        </w:rPr>
      </w:pPr>
      <w:r>
        <w:rPr>
          <w:rFonts w:cs="Arial"/>
          <w:color w:val="262626"/>
        </w:rPr>
        <w:t>Translate strategic objectives into clear, deliverable digital plans, managing competing priorities and deadlines.</w:t>
      </w:r>
    </w:p>
    <w:p>
      <w:pPr>
        <w:pStyle w:val="Normal"/>
        <w:widowControl/>
        <w:numPr>
          <w:ilvl w:val="0"/>
          <w:numId w:val="16"/>
        </w:numPr>
        <w:spacing w:lineRule="atLeast" w:line="300" w:before="0" w:after="280"/>
        <w:rPr>
          <w:rFonts w:cs="Arial"/>
          <w:color w:val="262626"/>
        </w:rPr>
      </w:pPr>
      <w:r>
        <w:rPr>
          <w:rFonts w:cs="Arial"/>
          <w:color w:val="262626"/>
        </w:rPr>
        <w:t>Monitor digital performance and impact, using insight and data to inform continuous improvement.</w:t>
      </w:r>
    </w:p>
    <w:p>
      <w:pPr>
        <w:pStyle w:val="Normal"/>
        <w:widowControl/>
        <w:numPr>
          <w:ilvl w:val="0"/>
          <w:numId w:val="0"/>
        </w:numPr>
        <w:spacing w:lineRule="atLeast" w:line="300" w:before="280" w:after="280"/>
        <w:ind w:left="0" w:hanging="0"/>
        <w:rPr>
          <w:rFonts w:eastAsia="Times New Roman" w:cs="Arial"/>
          <w:b/>
          <w:b/>
          <w:bCs/>
          <w:color w:val="auto"/>
          <w:szCs w:val="24"/>
          <w:lang w:eastAsia="en-GB"/>
        </w:rPr>
      </w:pPr>
      <w:r>
        <w:rPr>
          <w:rFonts w:eastAsia="Times New Roman" w:cs="Arial"/>
          <w:b/>
          <w:bCs/>
          <w:color w:val="auto"/>
          <w:szCs w:val="24"/>
          <w:lang w:eastAsia="en-GB"/>
        </w:rPr>
        <w:t>Website Management and Content Governance</w:t>
      </w:r>
    </w:p>
    <w:p>
      <w:pPr>
        <w:pStyle w:val="Normal"/>
        <w:widowControl/>
        <w:numPr>
          <w:ilvl w:val="0"/>
          <w:numId w:val="17"/>
        </w:numPr>
        <w:spacing w:lineRule="atLeast" w:line="300" w:before="280" w:after="0"/>
        <w:rPr>
          <w:rFonts w:cs="Arial"/>
          <w:color w:val="262626"/>
        </w:rPr>
      </w:pPr>
      <w:r>
        <w:rPr>
          <w:rFonts w:cs="Arial"/>
          <w:color w:val="262626"/>
        </w:rPr>
        <w:t>Provide professional leadership for the Recycle for Greater Manchester website, creating and ensuring content is accurate, accessible and user</w:t>
        <w:noBreakHyphen/>
        <w:t xml:space="preserve">focused </w:t>
      </w:r>
    </w:p>
    <w:p>
      <w:pPr>
        <w:pStyle w:val="Normal"/>
        <w:widowControl/>
        <w:numPr>
          <w:ilvl w:val="0"/>
          <w:numId w:val="17"/>
        </w:numPr>
        <w:spacing w:lineRule="atLeast" w:line="300" w:before="0" w:after="0"/>
        <w:rPr>
          <w:rFonts w:cs="Arial"/>
          <w:color w:val="262626"/>
        </w:rPr>
      </w:pPr>
      <w:r>
        <w:rPr>
          <w:rFonts w:cs="Arial"/>
          <w:color w:val="262626"/>
        </w:rPr>
        <w:t>Oversee content planning, publishing processes using a content management system and quality assurance arrangements.</w:t>
      </w:r>
    </w:p>
    <w:p>
      <w:pPr>
        <w:pStyle w:val="Normal"/>
        <w:widowControl/>
        <w:numPr>
          <w:ilvl w:val="0"/>
          <w:numId w:val="17"/>
        </w:numPr>
        <w:spacing w:lineRule="atLeast" w:line="300" w:before="0" w:after="280"/>
        <w:rPr>
          <w:rFonts w:cs="Arial"/>
          <w:color w:val="262626"/>
        </w:rPr>
      </w:pPr>
      <w:r>
        <w:rPr>
          <w:rFonts w:cs="Arial"/>
          <w:color w:val="262626"/>
        </w:rPr>
        <w:t>Work closely with ICT services and external suppliers to plan, prioritise and deliver website enhancements and improvements.</w:t>
      </w:r>
    </w:p>
    <w:p>
      <w:pPr>
        <w:pStyle w:val="Normal"/>
        <w:widowControl/>
        <w:numPr>
          <w:ilvl w:val="0"/>
          <w:numId w:val="0"/>
        </w:numPr>
        <w:spacing w:lineRule="atLeast" w:line="300" w:before="280" w:after="280"/>
        <w:ind w:left="0" w:hanging="0"/>
        <w:rPr>
          <w:rFonts w:eastAsia="Times New Roman" w:cs="Arial"/>
          <w:b/>
          <w:b/>
          <w:bCs/>
          <w:color w:val="auto"/>
          <w:szCs w:val="24"/>
          <w:lang w:eastAsia="en-GB"/>
        </w:rPr>
      </w:pPr>
      <w:r>
        <w:rPr>
          <w:rFonts w:eastAsia="Times New Roman" w:cs="Arial"/>
          <w:b/>
          <w:bCs/>
          <w:color w:val="auto"/>
          <w:szCs w:val="24"/>
          <w:lang w:eastAsia="en-GB"/>
        </w:rPr>
        <w:t>Social Media and Digital Channels</w:t>
      </w:r>
    </w:p>
    <w:p>
      <w:pPr>
        <w:pStyle w:val="Normal"/>
        <w:widowControl/>
        <w:numPr>
          <w:ilvl w:val="0"/>
          <w:numId w:val="18"/>
        </w:numPr>
        <w:spacing w:lineRule="atLeast" w:line="300" w:before="280" w:after="0"/>
        <w:rPr>
          <w:rFonts w:cs="Arial"/>
          <w:color w:val="262626"/>
        </w:rPr>
      </w:pPr>
      <w:r>
        <w:rPr>
          <w:rFonts w:cs="Arial"/>
          <w:color w:val="262626"/>
        </w:rPr>
        <w:t>Lead the strategic use of social media and other digital channels to support engagement with Recycle for Greater Manchester audiences.</w:t>
      </w:r>
    </w:p>
    <w:p>
      <w:pPr>
        <w:pStyle w:val="Normal"/>
        <w:widowControl/>
        <w:numPr>
          <w:ilvl w:val="0"/>
          <w:numId w:val="18"/>
        </w:numPr>
        <w:spacing w:lineRule="atLeast" w:line="300" w:before="0" w:after="0"/>
        <w:rPr>
          <w:rFonts w:cs="Arial"/>
          <w:color w:val="262626"/>
        </w:rPr>
      </w:pPr>
      <w:r>
        <w:rPr>
          <w:rFonts w:cs="Arial"/>
          <w:color w:val="262626"/>
        </w:rPr>
        <w:t>Ensure digital activity is coordinated, effective and aligned with agreed tone, messaging and brand standards.</w:t>
      </w:r>
    </w:p>
    <w:p>
      <w:pPr>
        <w:pStyle w:val="Normal"/>
        <w:widowControl/>
        <w:numPr>
          <w:ilvl w:val="0"/>
          <w:numId w:val="18"/>
        </w:numPr>
        <w:spacing w:lineRule="atLeast" w:line="300" w:before="0" w:after="280"/>
        <w:rPr>
          <w:rFonts w:cs="Arial"/>
          <w:color w:val="262626"/>
        </w:rPr>
      </w:pPr>
      <w:r>
        <w:rPr>
          <w:rFonts w:cs="Arial"/>
          <w:color w:val="262626"/>
        </w:rPr>
        <w:t>Provide guidance on digital reputation management and support the handling of emerging or sensitive online issues as required.</w:t>
      </w:r>
    </w:p>
    <w:p>
      <w:pPr>
        <w:pStyle w:val="Normal"/>
        <w:widowControl/>
        <w:numPr>
          <w:ilvl w:val="0"/>
          <w:numId w:val="0"/>
        </w:numPr>
        <w:spacing w:lineRule="atLeast" w:line="300" w:before="280" w:after="280"/>
        <w:ind w:left="0" w:hanging="0"/>
        <w:rPr>
          <w:rFonts w:eastAsia="Times New Roman" w:cs="Arial"/>
          <w:b/>
          <w:b/>
          <w:bCs/>
          <w:color w:val="auto"/>
          <w:szCs w:val="24"/>
          <w:lang w:eastAsia="en-GB"/>
        </w:rPr>
      </w:pPr>
      <w:r>
        <w:rPr>
          <w:rFonts w:eastAsia="Times New Roman" w:cs="Arial"/>
          <w:b/>
          <w:bCs/>
          <w:color w:val="auto"/>
          <w:szCs w:val="24"/>
          <w:lang w:eastAsia="en-GB"/>
        </w:rPr>
        <w:t>Campaigns and Engagement</w:t>
      </w:r>
    </w:p>
    <w:p>
      <w:pPr>
        <w:pStyle w:val="Normal"/>
        <w:widowControl/>
        <w:numPr>
          <w:ilvl w:val="0"/>
          <w:numId w:val="19"/>
        </w:numPr>
        <w:spacing w:lineRule="atLeast" w:line="300" w:before="280" w:after="0"/>
        <w:rPr>
          <w:rFonts w:cs="Arial"/>
          <w:color w:val="262626"/>
        </w:rPr>
      </w:pPr>
      <w:r>
        <w:rPr>
          <w:rFonts w:cs="Arial"/>
          <w:color w:val="262626"/>
        </w:rPr>
        <w:t>Support the delivery of communications and behaviour change campaigns through digital channels.</w:t>
      </w:r>
    </w:p>
    <w:p>
      <w:pPr>
        <w:pStyle w:val="Normal"/>
        <w:widowControl/>
        <w:numPr>
          <w:ilvl w:val="0"/>
          <w:numId w:val="19"/>
        </w:numPr>
        <w:spacing w:lineRule="atLeast" w:line="300" w:before="0" w:after="0"/>
        <w:rPr>
          <w:rFonts w:cs="Arial"/>
          <w:color w:val="262626"/>
        </w:rPr>
      </w:pPr>
      <w:r>
        <w:rPr>
          <w:rFonts w:cs="Arial"/>
          <w:color w:val="262626"/>
        </w:rPr>
        <w:t>Work collaboratively with communications colleagues to ensure digital activity supports shared objectives.</w:t>
      </w:r>
    </w:p>
    <w:p>
      <w:pPr>
        <w:pStyle w:val="Normal"/>
        <w:widowControl/>
        <w:numPr>
          <w:ilvl w:val="0"/>
          <w:numId w:val="19"/>
        </w:numPr>
        <w:spacing w:lineRule="atLeast" w:line="300" w:before="0" w:after="280"/>
        <w:rPr>
          <w:rFonts w:eastAsia="Times New Roman" w:cs="Arial"/>
          <w:color w:val="auto"/>
          <w:szCs w:val="24"/>
          <w:lang w:eastAsia="en-GB"/>
        </w:rPr>
      </w:pPr>
      <w:r>
        <w:rPr>
          <w:rFonts w:eastAsia="Times New Roman" w:cs="Arial"/>
          <w:color w:val="auto"/>
          <w:szCs w:val="24"/>
          <w:lang w:eastAsia="en-GB"/>
        </w:rPr>
        <w:t>Champion inclusive, accessible and audience</w:t>
        <w:noBreakHyphen/>
        <w:t>centred content across digital platforms.</w:t>
      </w:r>
    </w:p>
    <w:p>
      <w:pPr>
        <w:pStyle w:val="Normal"/>
        <w:widowControl/>
        <w:numPr>
          <w:ilvl w:val="0"/>
          <w:numId w:val="0"/>
        </w:numPr>
        <w:spacing w:lineRule="atLeast" w:line="300" w:before="280" w:after="280"/>
        <w:ind w:left="0" w:hanging="0"/>
        <w:rPr>
          <w:rFonts w:eastAsia="Times New Roman" w:cs="Arial"/>
          <w:b/>
          <w:b/>
          <w:bCs/>
          <w:color w:val="auto"/>
          <w:szCs w:val="24"/>
          <w:lang w:eastAsia="en-GB"/>
        </w:rPr>
      </w:pPr>
      <w:r>
        <w:rPr>
          <w:rFonts w:eastAsia="Times New Roman" w:cs="Arial"/>
          <w:b/>
          <w:bCs/>
          <w:color w:val="auto"/>
          <w:szCs w:val="24"/>
          <w:lang w:eastAsia="en-GB"/>
        </w:rPr>
        <w:t>Leadership and People Management</w:t>
      </w:r>
    </w:p>
    <w:p>
      <w:pPr>
        <w:pStyle w:val="Normal"/>
        <w:widowControl/>
        <w:numPr>
          <w:ilvl w:val="0"/>
          <w:numId w:val="20"/>
        </w:numPr>
        <w:spacing w:lineRule="atLeast" w:line="300" w:before="280" w:after="0"/>
        <w:rPr>
          <w:rFonts w:eastAsia="Times New Roman" w:cs="Arial"/>
          <w:color w:val="auto"/>
          <w:szCs w:val="24"/>
          <w:lang w:eastAsia="en-GB"/>
        </w:rPr>
      </w:pPr>
      <w:r>
        <w:rPr>
          <w:rFonts w:eastAsia="Times New Roman" w:cs="Arial"/>
          <w:color w:val="auto"/>
          <w:szCs w:val="24"/>
          <w:lang w:eastAsia="en-GB"/>
        </w:rPr>
        <w:t>Line manage staff in accordance with GMCA people management policies, including performance management, support and development.</w:t>
      </w:r>
    </w:p>
    <w:p>
      <w:pPr>
        <w:pStyle w:val="Normal"/>
        <w:widowControl/>
        <w:numPr>
          <w:ilvl w:val="0"/>
          <w:numId w:val="20"/>
        </w:numPr>
        <w:spacing w:lineRule="atLeast" w:line="300" w:before="0" w:after="0"/>
        <w:rPr>
          <w:rFonts w:eastAsia="Times New Roman" w:cs="Arial"/>
          <w:color w:val="auto"/>
          <w:szCs w:val="24"/>
          <w:lang w:eastAsia="en-GB"/>
        </w:rPr>
      </w:pPr>
      <w:r>
        <w:rPr>
          <w:rFonts w:eastAsia="Times New Roman" w:cs="Arial"/>
          <w:color w:val="auto"/>
          <w:szCs w:val="24"/>
          <w:lang w:eastAsia="en-GB"/>
        </w:rPr>
        <w:t>Build capability and resilience within the team, ensuring skills and resources meet current and future digital needs.</w:t>
      </w:r>
    </w:p>
    <w:p>
      <w:pPr>
        <w:pStyle w:val="Normal"/>
        <w:widowControl/>
        <w:numPr>
          <w:ilvl w:val="0"/>
          <w:numId w:val="20"/>
        </w:numPr>
        <w:spacing w:lineRule="atLeast" w:line="300" w:before="0" w:after="280"/>
        <w:rPr>
          <w:rFonts w:eastAsia="Times New Roman" w:cs="Arial"/>
          <w:color w:val="auto"/>
          <w:szCs w:val="24"/>
          <w:lang w:eastAsia="en-GB"/>
        </w:rPr>
      </w:pPr>
      <w:r>
        <w:rPr>
          <w:rFonts w:eastAsia="Times New Roman" w:cs="Arial"/>
          <w:color w:val="auto"/>
          <w:szCs w:val="24"/>
          <w:lang w:eastAsia="en-GB"/>
        </w:rPr>
        <w:t>Promote equality, diversity and inclusion in all aspects of delivery.</w:t>
      </w:r>
    </w:p>
    <w:p>
      <w:pPr>
        <w:pStyle w:val="Normal"/>
        <w:widowControl/>
        <w:numPr>
          <w:ilvl w:val="0"/>
          <w:numId w:val="0"/>
        </w:numPr>
        <w:spacing w:lineRule="atLeast" w:line="300" w:before="280" w:after="280"/>
        <w:ind w:left="0" w:hanging="0"/>
        <w:rPr>
          <w:rFonts w:eastAsia="Times New Roman" w:cs="Arial"/>
          <w:b/>
          <w:b/>
          <w:bCs/>
          <w:color w:val="auto"/>
          <w:szCs w:val="24"/>
          <w:lang w:eastAsia="en-GB"/>
        </w:rPr>
      </w:pPr>
      <w:r>
        <w:rPr>
          <w:rFonts w:eastAsia="Times New Roman" w:cs="Arial"/>
          <w:b/>
          <w:bCs/>
          <w:color w:val="auto"/>
          <w:szCs w:val="24"/>
          <w:lang w:eastAsia="en-GB"/>
        </w:rPr>
        <w:t xml:space="preserve">Team working </w:t>
      </w:r>
    </w:p>
    <w:p>
      <w:pPr>
        <w:pStyle w:val="ListParagraph"/>
        <w:widowControl/>
        <w:numPr>
          <w:ilvl w:val="0"/>
          <w:numId w:val="13"/>
        </w:numPr>
        <w:spacing w:before="60" w:after="0"/>
        <w:rPr>
          <w:rFonts w:cs="Arial"/>
          <w:color w:val="auto"/>
          <w:szCs w:val="24"/>
        </w:rPr>
      </w:pPr>
      <w:r>
        <w:rPr>
          <w:rFonts w:cs="Arial"/>
          <w:color w:val="auto"/>
          <w:szCs w:val="24"/>
        </w:rPr>
        <w:t>Attend GMCA communications and engagement team meetings and meetings with the Contractor; SUEZ to provide updates on your work areas</w:t>
      </w:r>
    </w:p>
    <w:p>
      <w:pPr>
        <w:pStyle w:val="ListParagraph"/>
        <w:widowControl/>
        <w:numPr>
          <w:ilvl w:val="0"/>
          <w:numId w:val="13"/>
        </w:numPr>
        <w:spacing w:lineRule="auto" w:line="240" w:before="60" w:after="0"/>
        <w:rPr>
          <w:rFonts w:cs="Arial"/>
          <w:szCs w:val="24"/>
        </w:rPr>
      </w:pPr>
      <w:r>
        <w:rPr>
          <w:rFonts w:cs="Arial"/>
          <w:szCs w:val="24"/>
        </w:rPr>
        <w:t>Work with the senior management team within the communications and engagement team to ensure communications and engagement strategies are implemented.</w:t>
      </w:r>
    </w:p>
    <w:p>
      <w:pPr>
        <w:pStyle w:val="Normal"/>
        <w:ind w:left="360" w:right="0" w:hanging="0"/>
        <w:rPr>
          <w:rFonts w:cs="Arial"/>
          <w:szCs w:val="24"/>
        </w:rPr>
      </w:pPr>
      <w:r>
        <w:rPr>
          <w:rFonts w:cs="Arial"/>
          <w:szCs w:val="24"/>
        </w:rPr>
      </w:r>
    </w:p>
    <w:p>
      <w:pPr>
        <w:pStyle w:val="Heading2"/>
        <w:shd w:fill="004F6E" w:val="clear"/>
        <w:rPr>
          <w:rFonts w:cs="Arial"/>
          <w:sz w:val="24"/>
          <w:szCs w:val="24"/>
        </w:rPr>
      </w:pPr>
      <w:r>
        <w:rPr>
          <w:rFonts w:cs="Arial"/>
          <w:sz w:val="24"/>
          <w:szCs w:val="24"/>
        </w:rPr>
        <w:t>General</w:t>
      </w:r>
    </w:p>
    <w:p>
      <w:pPr>
        <w:pStyle w:val="ListParagraph"/>
        <w:numPr>
          <w:ilvl w:val="0"/>
          <w:numId w:val="12"/>
        </w:numPr>
        <w:rPr>
          <w:rFonts w:cs="Arial"/>
          <w:color w:val="auto"/>
        </w:rPr>
      </w:pPr>
      <w:r>
        <w:rPr>
          <w:rFonts w:cs="Arial"/>
          <w:color w:val="auto"/>
        </w:rPr>
        <w:t>Develop and maintain effective relationships with GMCA colleagues and communications counterparts from partner organisations and other key stakeholders, ensuring clear and effective channels of communication</w:t>
      </w:r>
    </w:p>
    <w:p>
      <w:pPr>
        <w:pStyle w:val="ListParagraph"/>
        <w:numPr>
          <w:ilvl w:val="0"/>
          <w:numId w:val="12"/>
        </w:numPr>
        <w:rPr>
          <w:rFonts w:cs="Arial"/>
          <w:color w:val="auto"/>
        </w:rPr>
      </w:pPr>
      <w:r>
        <w:rPr>
          <w:rFonts w:cs="Arial"/>
          <w:color w:val="auto"/>
        </w:rPr>
        <w:t>Provide and receive complex and often sensitive information, and apply a keen understanding of both local and national politics and their impact</w:t>
      </w:r>
    </w:p>
    <w:p>
      <w:pPr>
        <w:pStyle w:val="ListParagraph"/>
        <w:numPr>
          <w:ilvl w:val="0"/>
          <w:numId w:val="12"/>
        </w:numPr>
        <w:rPr>
          <w:rFonts w:cs="Arial"/>
          <w:color w:val="auto"/>
        </w:rPr>
      </w:pPr>
      <w:r>
        <w:rPr>
          <w:rFonts w:cs="Arial"/>
          <w:color w:val="auto"/>
        </w:rPr>
        <w:t>Use initiative and effective analysis of options to take decisions and make recommendations autonomously when required, including on difficult and contentious issues where they may be a number of courses of action and under tight and changing timescales</w:t>
      </w:r>
    </w:p>
    <w:p>
      <w:pPr>
        <w:pStyle w:val="ListParagraph"/>
        <w:numPr>
          <w:ilvl w:val="0"/>
          <w:numId w:val="12"/>
        </w:numPr>
        <w:rPr>
          <w:rFonts w:cs="Arial"/>
          <w:color w:val="auto"/>
        </w:rPr>
      </w:pPr>
      <w:r>
        <w:rPr>
          <w:rFonts w:cs="Arial"/>
          <w:color w:val="auto"/>
        </w:rPr>
        <w:t xml:space="preserve">Manage priorities and apportion your time effectively, balancing complex issues, interdependencies and potential conflicts </w:t>
      </w:r>
    </w:p>
    <w:p>
      <w:pPr>
        <w:pStyle w:val="ListParagraph"/>
        <w:numPr>
          <w:ilvl w:val="0"/>
          <w:numId w:val="12"/>
        </w:numPr>
        <w:rPr>
          <w:rFonts w:cs="Arial"/>
          <w:color w:val="auto"/>
        </w:rPr>
      </w:pPr>
      <w:r>
        <w:rPr>
          <w:rFonts w:cs="Arial"/>
          <w:color w:val="auto"/>
        </w:rPr>
        <w:t>Effectively manage risk through effective analysis, mitigation and contingency planning, and escalating where necessary</w:t>
      </w:r>
    </w:p>
    <w:p>
      <w:pPr>
        <w:pStyle w:val="ListParagraph"/>
        <w:numPr>
          <w:ilvl w:val="0"/>
          <w:numId w:val="12"/>
        </w:numPr>
        <w:rPr>
          <w:rFonts w:cs="Arial"/>
          <w:color w:val="auto"/>
        </w:rPr>
      </w:pPr>
      <w:r>
        <w:rPr>
          <w:rFonts w:cs="Arial"/>
          <w:color w:val="auto"/>
        </w:rPr>
        <w:t>Always hold yourself and others to a high standard of professionalism, demonstrating your commitment to our values and behaviours as well as ensuring service confidentiality is maintained throughout all we do.</w:t>
      </w:r>
    </w:p>
    <w:p>
      <w:pPr>
        <w:pStyle w:val="ListParagraph"/>
        <w:numPr>
          <w:ilvl w:val="0"/>
          <w:numId w:val="12"/>
        </w:numPr>
        <w:rPr>
          <w:rFonts w:eastAsia="Arial" w:cs="Arial"/>
          <w:color w:val="auto"/>
          <w:szCs w:val="24"/>
        </w:rPr>
      </w:pPr>
      <w:r>
        <w:rPr>
          <w:rFonts w:eastAsia="Arial" w:cs="Arial"/>
          <w:color w:val="auto"/>
          <w:szCs w:val="24"/>
        </w:rPr>
        <w:t>Work with other teams internally and externally, with collaboration maximised, and support on activity where appropriate.</w:t>
      </w:r>
    </w:p>
    <w:p>
      <w:pPr>
        <w:pStyle w:val="ListParagraph"/>
        <w:numPr>
          <w:ilvl w:val="0"/>
          <w:numId w:val="12"/>
        </w:numPr>
        <w:rPr>
          <w:color w:val="auto"/>
        </w:rPr>
      </w:pPr>
      <w:r>
        <w:rPr>
          <w:color w:val="auto"/>
        </w:rPr>
        <w:t>Ensure the services delivered internally and externally are inclusive and accessible.</w:t>
      </w:r>
    </w:p>
    <w:p>
      <w:pPr>
        <w:pStyle w:val="ListParagraph"/>
        <w:numPr>
          <w:ilvl w:val="0"/>
          <w:numId w:val="12"/>
        </w:numPr>
        <w:rPr/>
      </w:pPr>
      <w:r>
        <w:rPr>
          <w:color w:val="auto"/>
        </w:rPr>
        <w:t xml:space="preserve">Deputize for Communications </w:t>
      </w:r>
      <w:r>
        <w:rPr/>
        <w:t>and Engagement Senior Managers and other senior members of the communications and engagement team as required, including attendance at meetings.</w:t>
      </w:r>
    </w:p>
    <w:p>
      <w:pPr>
        <w:pStyle w:val="ListParagraph"/>
        <w:numPr>
          <w:ilvl w:val="0"/>
          <w:numId w:val="12"/>
        </w:numPr>
        <w:rPr/>
      </w:pPr>
      <w:r>
        <w:rPr/>
        <w:t>Safeguard and enhance the public image and reputation of GMCA, including the Mayor and Deputy Mayor.</w:t>
      </w:r>
    </w:p>
    <w:p>
      <w:pPr>
        <w:pStyle w:val="Normal"/>
        <w:rPr>
          <w:rFonts w:cs="Arial"/>
          <w:b/>
          <w:b/>
          <w:color w:val="auto"/>
        </w:rPr>
      </w:pPr>
      <w:r>
        <w:rPr>
          <w:rFonts w:cs="Arial"/>
          <w:b/>
          <w:color w:val="auto"/>
        </w:rPr>
        <w:t>NB: This list of duties and responsibilities is by no means exhaustive, and the post holder may be required to undertake other relevant and appropriate duties as required.</w:t>
      </w:r>
    </w:p>
    <w:p>
      <w:pPr>
        <w:pStyle w:val="Heading2"/>
        <w:shd w:fill="004F6E" w:val="clear"/>
        <w:rPr>
          <w:rFonts w:cs="Arial"/>
          <w:sz w:val="24"/>
          <w:szCs w:val="24"/>
        </w:rPr>
      </w:pPr>
      <w:r>
        <w:rPr>
          <w:rFonts w:cs="Arial"/>
          <w:sz w:val="24"/>
          <w:szCs w:val="24"/>
        </w:rPr>
        <w:t>Knowledge, Skills, and Experience</w:t>
      </w:r>
    </w:p>
    <w:p>
      <w:pPr>
        <w:pStyle w:val="Heading3"/>
        <w:spacing w:before="60" w:after="240"/>
        <w:rPr>
          <w:rFonts w:cs="Arial"/>
          <w:b/>
          <w:b/>
          <w:bCs/>
          <w:sz w:val="24"/>
        </w:rPr>
      </w:pPr>
      <w:r>
        <w:rPr>
          <w:rFonts w:cs="Arial"/>
          <w:b/>
          <w:bCs/>
          <w:sz w:val="24"/>
        </w:rPr>
        <w:t>Knowledge &amp; Experience</w:t>
      </w:r>
    </w:p>
    <w:p>
      <w:pPr>
        <w:pStyle w:val="ListParagraph"/>
        <w:numPr>
          <w:ilvl w:val="0"/>
          <w:numId w:val="11"/>
        </w:numPr>
        <w:rPr>
          <w:color w:val="auto"/>
          <w:szCs w:val="24"/>
        </w:rPr>
      </w:pPr>
      <w:r>
        <w:rPr>
          <w:color w:val="auto"/>
          <w:szCs w:val="24"/>
        </w:rPr>
        <w:t>Significant experience working in digital communications, including responsibility for websites, social media channels and creating digital content.</w:t>
      </w:r>
    </w:p>
    <w:p>
      <w:pPr>
        <w:pStyle w:val="ListParagraph"/>
        <w:numPr>
          <w:ilvl w:val="0"/>
          <w:numId w:val="11"/>
        </w:numPr>
        <w:rPr/>
      </w:pPr>
      <w:r>
        <w:rPr>
          <w:rFonts w:eastAsia="Arial" w:cs="Arial"/>
          <w:color w:val="000000"/>
        </w:rPr>
        <w:t>Able to lead the delivery of high</w:t>
        <w:noBreakHyphen/>
        <w:t>quality, impactful content</w:t>
      </w:r>
      <w:r>
        <w:rPr>
          <w:color w:val="auto"/>
          <w:szCs w:val="24"/>
        </w:rPr>
        <w:t xml:space="preserve">. </w:t>
      </w:r>
    </w:p>
    <w:p>
      <w:pPr>
        <w:pStyle w:val="NormalWeb"/>
        <w:numPr>
          <w:ilvl w:val="0"/>
          <w:numId w:val="11"/>
        </w:numPr>
        <w:spacing w:lineRule="auto" w:line="360" w:before="280" w:after="0"/>
        <w:rPr>
          <w:rFonts w:ascii="Arial" w:hAnsi="Arial" w:cs="Arial"/>
        </w:rPr>
      </w:pPr>
      <w:r>
        <w:rPr>
          <w:rFonts w:cs="Arial" w:ascii="Arial" w:hAnsi="Arial"/>
        </w:rPr>
        <w:t>Excellent writing skills with proven editorial judgement, able to translate complex ideas into clear, engaging content for different audiences, including social media posts and website content.</w:t>
      </w:r>
    </w:p>
    <w:p>
      <w:pPr>
        <w:pStyle w:val="NormalWeb"/>
        <w:numPr>
          <w:ilvl w:val="0"/>
          <w:numId w:val="11"/>
        </w:numPr>
        <w:spacing w:lineRule="auto" w:line="360" w:before="280" w:after="0"/>
        <w:rPr>
          <w:rFonts w:ascii="Arial" w:hAnsi="Arial" w:cs="Arial"/>
        </w:rPr>
      </w:pPr>
      <w:r>
        <w:rPr>
          <w:rFonts w:cs="Arial" w:ascii="Arial" w:hAnsi="Arial"/>
        </w:rPr>
        <w:t>An awareness of different storytelling approaches and evidence of having successfully experimented with new formats and creative treatments to drive audience engagement.</w:t>
      </w:r>
    </w:p>
    <w:p>
      <w:pPr>
        <w:pStyle w:val="NormalWeb"/>
        <w:numPr>
          <w:ilvl w:val="0"/>
          <w:numId w:val="11"/>
        </w:numPr>
        <w:spacing w:lineRule="auto" w:line="360" w:before="280" w:after="0"/>
        <w:rPr>
          <w:rFonts w:ascii="Arial" w:hAnsi="Arial" w:cs="Arial"/>
        </w:rPr>
      </w:pPr>
      <w:r>
        <w:rPr>
          <w:rFonts w:cs="Arial" w:ascii="Arial" w:hAnsi="Arial"/>
        </w:rPr>
        <w:t>Demonstrable success in growing engagement and audiences across social media channels, with a strong understanding of how to evaluate reach and impact and use insight to inform future content decisions.</w:t>
      </w:r>
    </w:p>
    <w:p>
      <w:pPr>
        <w:pStyle w:val="ListParagraph"/>
        <w:numPr>
          <w:ilvl w:val="0"/>
          <w:numId w:val="11"/>
        </w:numPr>
        <w:rPr>
          <w:color w:val="auto"/>
          <w:szCs w:val="24"/>
        </w:rPr>
      </w:pPr>
      <w:r>
        <w:rPr>
          <w:color w:val="auto"/>
          <w:szCs w:val="24"/>
        </w:rPr>
        <w:t>Proven experience of developing and delivering digital communications plans or strategies.</w:t>
      </w:r>
    </w:p>
    <w:p>
      <w:pPr>
        <w:pStyle w:val="ListParagraph"/>
        <w:numPr>
          <w:ilvl w:val="0"/>
          <w:numId w:val="11"/>
        </w:numPr>
        <w:rPr>
          <w:color w:val="auto"/>
          <w:szCs w:val="24"/>
        </w:rPr>
      </w:pPr>
      <w:r>
        <w:rPr>
          <w:color w:val="auto"/>
          <w:szCs w:val="24"/>
        </w:rPr>
        <w:t>Strong understanding of content management systems and digital publishing processes.</w:t>
      </w:r>
    </w:p>
    <w:p>
      <w:pPr>
        <w:pStyle w:val="ListParagraph"/>
        <w:numPr>
          <w:ilvl w:val="0"/>
          <w:numId w:val="11"/>
        </w:numPr>
        <w:rPr>
          <w:color w:val="auto"/>
          <w:szCs w:val="24"/>
        </w:rPr>
      </w:pPr>
      <w:r>
        <w:rPr>
          <w:color w:val="auto"/>
          <w:szCs w:val="24"/>
        </w:rPr>
        <w:t>Experience of working with performance data and analytics to inform decisions.</w:t>
      </w:r>
    </w:p>
    <w:p>
      <w:pPr>
        <w:pStyle w:val="ListParagraph"/>
        <w:numPr>
          <w:ilvl w:val="0"/>
          <w:numId w:val="11"/>
        </w:numPr>
        <w:rPr>
          <w:color w:val="auto"/>
          <w:szCs w:val="24"/>
        </w:rPr>
      </w:pPr>
      <w:r>
        <w:rPr>
          <w:color w:val="auto"/>
          <w:szCs w:val="24"/>
        </w:rPr>
        <w:t>Excellent communication and influencing skills.</w:t>
      </w:r>
    </w:p>
    <w:p>
      <w:pPr>
        <w:pStyle w:val="ListParagraph"/>
        <w:numPr>
          <w:ilvl w:val="0"/>
          <w:numId w:val="11"/>
        </w:numPr>
        <w:rPr>
          <w:color w:val="auto"/>
          <w:szCs w:val="24"/>
        </w:rPr>
      </w:pPr>
      <w:r>
        <w:rPr>
          <w:color w:val="auto"/>
          <w:szCs w:val="24"/>
        </w:rPr>
        <w:t>Strong knowledge of accessibility, inclusion and best practice in digital communications</w:t>
      </w:r>
    </w:p>
    <w:p>
      <w:pPr>
        <w:pStyle w:val="ListParagraph"/>
        <w:numPr>
          <w:ilvl w:val="0"/>
          <w:numId w:val="11"/>
        </w:numPr>
        <w:rPr>
          <w:color w:val="auto"/>
          <w:szCs w:val="24"/>
        </w:rPr>
      </w:pPr>
      <w:r>
        <w:rPr>
          <w:color w:val="auto"/>
          <w:szCs w:val="24"/>
        </w:rPr>
        <w:t>Experience of working in a demanding, high-profile team – working to time-sensitive deadlines.</w:t>
      </w:r>
    </w:p>
    <w:p>
      <w:pPr>
        <w:pStyle w:val="ListParagraph"/>
        <w:numPr>
          <w:ilvl w:val="0"/>
          <w:numId w:val="11"/>
        </w:numPr>
        <w:rPr>
          <w:color w:val="auto"/>
          <w:szCs w:val="24"/>
        </w:rPr>
      </w:pPr>
      <w:r>
        <w:rPr>
          <w:color w:val="auto"/>
          <w:szCs w:val="24"/>
        </w:rPr>
        <w:t>Experience of working collaboratively with multiple organisations and stakeholders.</w:t>
      </w:r>
    </w:p>
    <w:p>
      <w:pPr>
        <w:pStyle w:val="ListParagraph"/>
        <w:numPr>
          <w:ilvl w:val="0"/>
          <w:numId w:val="15"/>
        </w:numPr>
        <w:rPr>
          <w:color w:val="auto"/>
        </w:rPr>
      </w:pPr>
      <w:r>
        <w:rPr>
          <w:color w:val="auto"/>
        </w:rPr>
        <w:t>Experience of line managing, staff development, coaching and / or motivating others in a high performing team</w:t>
      </w:r>
    </w:p>
    <w:p>
      <w:pPr>
        <w:pStyle w:val="ListParagraph"/>
        <w:numPr>
          <w:ilvl w:val="0"/>
          <w:numId w:val="15"/>
        </w:numPr>
        <w:rPr>
          <w:szCs w:val="24"/>
        </w:rPr>
      </w:pPr>
      <w:r>
        <w:rPr>
          <w:szCs w:val="24"/>
        </w:rPr>
        <w:t>Knowledge and understanding of local government.</w:t>
      </w:r>
    </w:p>
    <w:p>
      <w:pPr>
        <w:pStyle w:val="Normal"/>
        <w:rPr>
          <w:color w:val="auto"/>
        </w:rPr>
      </w:pPr>
      <w:r>
        <w:rPr>
          <w:color w:val="auto"/>
        </w:rPr>
      </w:r>
    </w:p>
    <w:p>
      <w:pPr>
        <w:pStyle w:val="Normal"/>
        <w:spacing w:before="60" w:after="240"/>
        <w:ind w:left="-165" w:right="0" w:hanging="0"/>
        <w:rPr>
          <w:rFonts w:cs="Arial"/>
          <w:bCs/>
          <w:u w:val="single"/>
        </w:rPr>
      </w:pPr>
      <w:r>
        <w:rPr>
          <w:rFonts w:cs="Arial"/>
          <w:bCs/>
          <w:u w:val="single"/>
        </w:rPr>
        <w:t>Desirable</w:t>
      </w:r>
    </w:p>
    <w:p>
      <w:pPr>
        <w:pStyle w:val="ListParagraph"/>
        <w:numPr>
          <w:ilvl w:val="0"/>
          <w:numId w:val="14"/>
        </w:numPr>
        <w:rPr>
          <w:rFonts w:cs="Arial"/>
          <w:color w:val="auto"/>
          <w:szCs w:val="24"/>
        </w:rPr>
      </w:pPr>
      <w:r>
        <w:rPr>
          <w:rFonts w:cs="Arial"/>
          <w:color w:val="auto"/>
          <w:szCs w:val="24"/>
        </w:rPr>
        <w:t>Experience of working in the waste management sector</w:t>
      </w:r>
    </w:p>
    <w:p>
      <w:pPr>
        <w:pStyle w:val="Style11"/>
        <w:numPr>
          <w:ilvl w:val="0"/>
          <w:numId w:val="14"/>
        </w:numPr>
        <w:spacing w:before="60" w:after="120"/>
        <w:rPr/>
      </w:pPr>
      <w:r>
        <w:rPr>
          <w:rFonts w:cs="Arial"/>
          <w:color w:val="auto"/>
          <w:sz w:val="24"/>
          <w:szCs w:val="24"/>
        </w:rPr>
        <w:t>Experience working in a public</w:t>
      </w:r>
      <w:r>
        <w:rPr>
          <w:rFonts w:cs="Cambria Math" w:ascii="Cambria Math" w:hAnsi="Cambria Math"/>
          <w:color w:val="auto"/>
          <w:sz w:val="24"/>
          <w:szCs w:val="24"/>
        </w:rPr>
        <w:noBreakHyphen/>
      </w:r>
      <w:r>
        <w:rPr>
          <w:rFonts w:cs="Arial"/>
          <w:color w:val="auto"/>
          <w:sz w:val="24"/>
          <w:szCs w:val="24"/>
        </w:rPr>
        <w:t>sector or large, complex organisation.</w:t>
      </w:r>
    </w:p>
    <w:p>
      <w:pPr>
        <w:pStyle w:val="Style11"/>
        <w:numPr>
          <w:ilvl w:val="0"/>
          <w:numId w:val="14"/>
        </w:numPr>
        <w:spacing w:before="60" w:after="120"/>
        <w:rPr>
          <w:rFonts w:cs="Arial"/>
          <w:color w:val="auto"/>
          <w:sz w:val="24"/>
          <w:szCs w:val="24"/>
        </w:rPr>
      </w:pPr>
      <w:r>
        <w:rPr>
          <w:rFonts w:cs="Arial"/>
          <w:color w:val="auto"/>
          <w:sz w:val="24"/>
          <w:szCs w:val="24"/>
        </w:rPr>
        <w:t>Experience of digital transformation or website redevelopment projects.</w:t>
      </w:r>
    </w:p>
    <w:p>
      <w:pPr>
        <w:pStyle w:val="Style11"/>
        <w:numPr>
          <w:ilvl w:val="0"/>
          <w:numId w:val="14"/>
        </w:numPr>
        <w:spacing w:lineRule="auto" w:line="360" w:before="60" w:after="240"/>
        <w:rPr>
          <w:rFonts w:cs="Arial"/>
          <w:color w:val="auto"/>
          <w:sz w:val="24"/>
          <w:szCs w:val="24"/>
        </w:rPr>
      </w:pPr>
      <w:r>
        <w:rPr>
          <w:rFonts w:cs="Arial"/>
          <w:color w:val="auto"/>
          <w:sz w:val="24"/>
          <w:szCs w:val="24"/>
        </w:rPr>
        <w:t>Relevant professional qualification or evidence of continuous professional development.</w:t>
      </w:r>
    </w:p>
    <w:p>
      <w:pPr>
        <w:pStyle w:val="Style11"/>
        <w:numPr>
          <w:ilvl w:val="0"/>
          <w:numId w:val="14"/>
        </w:numPr>
        <w:spacing w:lineRule="auto" w:line="360" w:before="60" w:after="240"/>
        <w:rPr>
          <w:rFonts w:cs="Arial"/>
          <w:color w:val="auto"/>
          <w:sz w:val="24"/>
          <w:szCs w:val="24"/>
        </w:rPr>
      </w:pPr>
      <w:r>
        <w:rPr>
          <w:rFonts w:cs="Arial"/>
          <w:color w:val="auto"/>
          <w:sz w:val="24"/>
          <w:szCs w:val="24"/>
        </w:rPr>
        <w:t>Membership of a relevant professional body</w:t>
      </w:r>
    </w:p>
    <w:p>
      <w:pPr>
        <w:pStyle w:val="ListParagraph"/>
        <w:numPr>
          <w:ilvl w:val="0"/>
          <w:numId w:val="14"/>
        </w:numPr>
        <w:rPr>
          <w:rFonts w:cs="Arial"/>
          <w:color w:val="auto"/>
          <w:szCs w:val="24"/>
        </w:rPr>
      </w:pPr>
      <w:r>
        <w:rPr>
          <w:rFonts w:cs="Arial"/>
          <w:color w:val="auto"/>
          <w:szCs w:val="24"/>
        </w:rPr>
        <w:t>Understanding of the relationship between Greater Manchester Combined Authority, its role as a waste disposal authority, its partners and its long-term goals.</w:t>
      </w:r>
    </w:p>
    <w:p>
      <w:pPr>
        <w:pStyle w:val="Default"/>
        <w:spacing w:lineRule="auto" w:line="360" w:before="60" w:after="240"/>
        <w:rPr/>
      </w:pPr>
      <w:r>
        <w:rPr/>
      </w:r>
    </w:p>
    <w:p>
      <w:pPr>
        <w:pStyle w:val="Heading3"/>
        <w:spacing w:before="60" w:after="240"/>
        <w:rPr/>
      </w:pPr>
      <w:r>
        <w:rPr>
          <w:rFonts w:cs="Arial"/>
          <w:b/>
          <w:bCs/>
          <w:sz w:val="24"/>
        </w:rPr>
        <w:t>Skills, Values</w:t>
      </w:r>
      <w:r>
        <w:rPr>
          <w:rFonts w:cs="Arial"/>
          <w:b/>
          <w:bCs/>
          <w:spacing w:val="-3"/>
          <w:sz w:val="24"/>
        </w:rPr>
        <w:t xml:space="preserve"> </w:t>
      </w:r>
      <w:r>
        <w:rPr>
          <w:rFonts w:cs="Arial"/>
          <w:b/>
          <w:bCs/>
          <w:sz w:val="24"/>
        </w:rPr>
        <w:t>&amp;</w:t>
      </w:r>
      <w:r>
        <w:rPr>
          <w:rFonts w:cs="Arial"/>
          <w:b/>
          <w:bCs/>
          <w:spacing w:val="-3"/>
          <w:sz w:val="24"/>
        </w:rPr>
        <w:t xml:space="preserve"> </w:t>
      </w:r>
      <w:r>
        <w:rPr>
          <w:rFonts w:cs="Arial"/>
          <w:b/>
          <w:bCs/>
          <w:sz w:val="24"/>
        </w:rPr>
        <w:t>Behaviours</w:t>
      </w:r>
    </w:p>
    <w:p>
      <w:pPr>
        <w:pStyle w:val="Normal"/>
        <w:spacing w:before="60" w:after="240"/>
        <w:rPr>
          <w:rFonts w:cs="Arial"/>
          <w:u w:val="single"/>
        </w:rPr>
      </w:pPr>
      <w:r>
        <w:rPr>
          <w:rFonts w:cs="Arial"/>
          <w:u w:val="single"/>
        </w:rPr>
        <w:t>Communication</w:t>
      </w:r>
    </w:p>
    <w:p>
      <w:pPr>
        <w:pStyle w:val="NormalWeb"/>
        <w:numPr>
          <w:ilvl w:val="0"/>
          <w:numId w:val="10"/>
        </w:numPr>
        <w:spacing w:lineRule="auto" w:line="360" w:before="0" w:after="0"/>
        <w:rPr>
          <w:rFonts w:ascii="Arial" w:hAnsi="Arial" w:cs="Arial"/>
        </w:rPr>
      </w:pPr>
      <w:r>
        <w:rPr>
          <w:rFonts w:cs="Arial" w:ascii="Arial" w:hAnsi="Arial"/>
        </w:rPr>
        <w:t>Excellent written communication skills, with the ability to distil complex information into clear, engaging content for diverse audiences</w:t>
      </w:r>
    </w:p>
    <w:p>
      <w:pPr>
        <w:pStyle w:val="ListParagraph"/>
        <w:numPr>
          <w:ilvl w:val="0"/>
          <w:numId w:val="10"/>
        </w:numPr>
        <w:rPr>
          <w:color w:val="auto"/>
          <w:szCs w:val="24"/>
        </w:rPr>
      </w:pPr>
      <w:r>
        <w:rPr>
          <w:color w:val="auto"/>
          <w:szCs w:val="24"/>
        </w:rPr>
        <w:t>Ability to undertake research and interpret high complex analytic data</w:t>
      </w:r>
    </w:p>
    <w:p>
      <w:pPr>
        <w:pStyle w:val="ListParagraph"/>
        <w:numPr>
          <w:ilvl w:val="0"/>
          <w:numId w:val="10"/>
        </w:numPr>
        <w:rPr>
          <w:color w:val="auto"/>
          <w:szCs w:val="24"/>
        </w:rPr>
      </w:pPr>
      <w:r>
        <w:rPr>
          <w:color w:val="auto"/>
          <w:szCs w:val="24"/>
        </w:rPr>
        <w:t>Effective collaboration, negotiation, and motivation skills.</w:t>
      </w:r>
    </w:p>
    <w:p>
      <w:pPr>
        <w:pStyle w:val="Normal"/>
        <w:spacing w:before="60" w:after="240"/>
        <w:rPr>
          <w:rFonts w:cs="Arial"/>
          <w:u w:val="single"/>
        </w:rPr>
      </w:pPr>
      <w:r>
        <w:rPr>
          <w:rFonts w:cs="Arial"/>
          <w:u w:val="single"/>
        </w:rPr>
        <w:t>Planning and Organising</w:t>
      </w:r>
    </w:p>
    <w:p>
      <w:pPr>
        <w:pStyle w:val="ListParagraph"/>
        <w:numPr>
          <w:ilvl w:val="0"/>
          <w:numId w:val="9"/>
        </w:numPr>
        <w:rPr>
          <w:color w:val="auto"/>
          <w:szCs w:val="24"/>
        </w:rPr>
      </w:pPr>
      <w:r>
        <w:rPr>
          <w:color w:val="auto"/>
          <w:szCs w:val="24"/>
        </w:rPr>
        <w:t xml:space="preserve">Ability to maintain focus and objectivity under various conditions. </w:t>
      </w:r>
    </w:p>
    <w:p>
      <w:pPr>
        <w:pStyle w:val="ListParagraph"/>
        <w:numPr>
          <w:ilvl w:val="0"/>
          <w:numId w:val="9"/>
        </w:numPr>
        <w:rPr>
          <w:color w:val="auto"/>
          <w:szCs w:val="24"/>
        </w:rPr>
      </w:pPr>
      <w:r>
        <w:rPr>
          <w:color w:val="auto"/>
          <w:szCs w:val="24"/>
        </w:rPr>
        <w:t>Skills in managing and maintaining a multi-priority workload.</w:t>
      </w:r>
    </w:p>
    <w:p>
      <w:pPr>
        <w:pStyle w:val="ListParagraph"/>
        <w:numPr>
          <w:ilvl w:val="0"/>
          <w:numId w:val="9"/>
        </w:numPr>
        <w:rPr>
          <w:color w:val="auto"/>
          <w:szCs w:val="24"/>
        </w:rPr>
      </w:pPr>
      <w:r>
        <w:rPr>
          <w:color w:val="auto"/>
          <w:szCs w:val="24"/>
        </w:rPr>
        <w:t>Ability to support complex activities, organise and project manage successfully ensuring deadlines are met</w:t>
      </w:r>
    </w:p>
    <w:p>
      <w:pPr>
        <w:pStyle w:val="ListParagraph"/>
        <w:numPr>
          <w:ilvl w:val="0"/>
          <w:numId w:val="9"/>
        </w:numPr>
        <w:rPr>
          <w:color w:val="auto"/>
          <w:szCs w:val="24"/>
        </w:rPr>
      </w:pPr>
      <w:r>
        <w:rPr>
          <w:color w:val="auto"/>
          <w:szCs w:val="24"/>
        </w:rPr>
        <w:t>Capability to support project planning over short and medium timeframes and adjust plans accordingly.</w:t>
      </w:r>
    </w:p>
    <w:p>
      <w:pPr>
        <w:pStyle w:val="Normal"/>
        <w:spacing w:before="60" w:after="240"/>
        <w:rPr>
          <w:rFonts w:cs="Arial"/>
          <w:u w:val="single"/>
        </w:rPr>
      </w:pPr>
      <w:r>
        <w:rPr>
          <w:rFonts w:cs="Arial"/>
          <w:u w:val="single"/>
        </w:rPr>
        <w:t>Problem Solving</w:t>
      </w:r>
    </w:p>
    <w:p>
      <w:pPr>
        <w:pStyle w:val="ListParagraph"/>
        <w:numPr>
          <w:ilvl w:val="0"/>
          <w:numId w:val="8"/>
        </w:numPr>
        <w:rPr>
          <w:color w:val="auto"/>
          <w:szCs w:val="24"/>
        </w:rPr>
      </w:pPr>
      <w:r>
        <w:rPr>
          <w:color w:val="auto"/>
          <w:szCs w:val="24"/>
        </w:rPr>
        <w:t xml:space="preserve">Ability to react to immediate problems with associated risk factors and deliver pragmatic solutions. </w:t>
      </w:r>
    </w:p>
    <w:p>
      <w:pPr>
        <w:pStyle w:val="ListParagraph"/>
        <w:numPr>
          <w:ilvl w:val="0"/>
          <w:numId w:val="8"/>
        </w:numPr>
        <w:rPr>
          <w:color w:val="auto"/>
          <w:szCs w:val="24"/>
        </w:rPr>
      </w:pPr>
      <w:r>
        <w:rPr>
          <w:color w:val="auto"/>
          <w:szCs w:val="24"/>
        </w:rPr>
        <w:t xml:space="preserve">Can demonstrate a creative approach to using digital content to influence behaviour change </w:t>
      </w:r>
    </w:p>
    <w:p>
      <w:pPr>
        <w:pStyle w:val="Normal"/>
        <w:spacing w:before="60" w:after="240"/>
        <w:rPr>
          <w:rFonts w:cs="Arial"/>
          <w:u w:val="single"/>
        </w:rPr>
      </w:pPr>
      <w:r>
        <w:rPr>
          <w:rFonts w:cs="Arial"/>
          <w:u w:val="single"/>
        </w:rPr>
        <w:t>Strategic/Analytical</w:t>
      </w:r>
    </w:p>
    <w:p>
      <w:pPr>
        <w:pStyle w:val="ListParagraph"/>
        <w:numPr>
          <w:ilvl w:val="0"/>
          <w:numId w:val="7"/>
        </w:numPr>
        <w:rPr>
          <w:color w:val="auto"/>
          <w:szCs w:val="24"/>
        </w:rPr>
      </w:pPr>
      <w:r>
        <w:rPr>
          <w:color w:val="auto"/>
          <w:szCs w:val="24"/>
        </w:rPr>
        <w:t xml:space="preserve">Strong leadership qualities with experience in persuading and negotiating with senior leaders to deliver the best outcomes. </w:t>
      </w:r>
    </w:p>
    <w:p>
      <w:pPr>
        <w:pStyle w:val="ListParagraph"/>
        <w:numPr>
          <w:ilvl w:val="0"/>
          <w:numId w:val="7"/>
        </w:numPr>
        <w:rPr>
          <w:color w:val="auto"/>
          <w:szCs w:val="24"/>
        </w:rPr>
      </w:pPr>
      <w:r>
        <w:rPr>
          <w:color w:val="auto"/>
          <w:szCs w:val="24"/>
        </w:rPr>
        <w:t>Ability to analyse highly complex facts and situations and develop a range of options.</w:t>
      </w:r>
    </w:p>
    <w:p>
      <w:pPr>
        <w:pStyle w:val="ListParagraph"/>
        <w:numPr>
          <w:ilvl w:val="0"/>
          <w:numId w:val="7"/>
        </w:numPr>
        <w:rPr>
          <w:color w:val="auto"/>
          <w:szCs w:val="24"/>
        </w:rPr>
      </w:pPr>
      <w:r>
        <w:rPr>
          <w:color w:val="auto"/>
          <w:szCs w:val="24"/>
        </w:rPr>
        <w:t>Ability to provide advice on digital approaches to a range of stakeholders; including senior leaders, where opinions may differ.</w:t>
      </w:r>
    </w:p>
    <w:p>
      <w:pPr>
        <w:pStyle w:val="ListParagraph"/>
        <w:numPr>
          <w:ilvl w:val="0"/>
          <w:numId w:val="7"/>
        </w:numPr>
        <w:rPr>
          <w:color w:val="auto"/>
          <w:szCs w:val="24"/>
        </w:rPr>
      </w:pPr>
      <w:r>
        <w:rPr>
          <w:color w:val="auto"/>
          <w:szCs w:val="24"/>
        </w:rPr>
        <w:t>Ability to link strategy to policy which meets both internal and external requirements.</w:t>
      </w:r>
    </w:p>
    <w:p>
      <w:pPr>
        <w:pStyle w:val="ListParagraph"/>
        <w:numPr>
          <w:ilvl w:val="0"/>
          <w:numId w:val="7"/>
        </w:numPr>
        <w:rPr>
          <w:color w:val="auto"/>
          <w:szCs w:val="24"/>
        </w:rPr>
      </w:pPr>
      <w:r>
        <w:rPr>
          <w:color w:val="auto"/>
          <w:szCs w:val="24"/>
        </w:rPr>
        <w:t>Ability to anticipate and resolve problems before they arise.</w:t>
      </w:r>
    </w:p>
    <w:p>
      <w:pPr>
        <w:pStyle w:val="Normal"/>
        <w:spacing w:before="60" w:after="240"/>
        <w:rPr>
          <w:rFonts w:cs="Arial"/>
          <w:u w:val="single"/>
        </w:rPr>
      </w:pPr>
      <w:r>
        <w:rPr>
          <w:rFonts w:cs="Arial"/>
          <w:u w:val="single"/>
        </w:rPr>
        <w:t>Physical</w:t>
      </w:r>
    </w:p>
    <w:p>
      <w:pPr>
        <w:pStyle w:val="ListParagraph"/>
        <w:numPr>
          <w:ilvl w:val="0"/>
          <w:numId w:val="6"/>
        </w:numPr>
        <w:rPr>
          <w:color w:val="auto"/>
          <w:szCs w:val="24"/>
        </w:rPr>
      </w:pPr>
      <w:r>
        <w:rPr>
          <w:color w:val="auto"/>
          <w:szCs w:val="24"/>
        </w:rPr>
        <w:t>Computer literate – ability to use the required systems/software packages.</w:t>
      </w:r>
    </w:p>
    <w:p>
      <w:pPr>
        <w:pStyle w:val="Normal"/>
        <w:spacing w:before="60" w:after="240"/>
        <w:rPr>
          <w:rFonts w:cs="Arial"/>
          <w:bCs/>
          <w:u w:val="single"/>
        </w:rPr>
      </w:pPr>
      <w:r>
        <w:rPr>
          <w:rFonts w:cs="Arial"/>
          <w:bCs/>
          <w:u w:val="single"/>
        </w:rPr>
        <w:t>Behaviours</w:t>
      </w:r>
    </w:p>
    <w:p>
      <w:pPr>
        <w:pStyle w:val="ListParagraph"/>
        <w:numPr>
          <w:ilvl w:val="0"/>
          <w:numId w:val="5"/>
        </w:numPr>
        <w:rPr>
          <w:bCs/>
          <w:szCs w:val="24"/>
        </w:rPr>
      </w:pPr>
      <w:r>
        <w:rPr>
          <w:bCs/>
          <w:szCs w:val="24"/>
        </w:rPr>
        <w:t>Adaptability, flexibility, and ability to cope with uncertainty and change.</w:t>
      </w:r>
    </w:p>
    <w:p>
      <w:pPr>
        <w:pStyle w:val="ListParagraph"/>
        <w:numPr>
          <w:ilvl w:val="0"/>
          <w:numId w:val="5"/>
        </w:numPr>
        <w:rPr>
          <w:color w:val="auto"/>
          <w:szCs w:val="24"/>
        </w:rPr>
      </w:pPr>
      <w:r>
        <w:rPr>
          <w:color w:val="auto"/>
          <w:szCs w:val="24"/>
        </w:rPr>
        <w:t>Ability to operate dynamically in a constantly changing environment and manage and prioritise multiple projects.</w:t>
      </w:r>
    </w:p>
    <w:p>
      <w:pPr>
        <w:pStyle w:val="ListParagraph"/>
        <w:numPr>
          <w:ilvl w:val="0"/>
          <w:numId w:val="5"/>
        </w:numPr>
        <w:rPr>
          <w:bCs/>
          <w:szCs w:val="24"/>
        </w:rPr>
      </w:pPr>
      <w:r>
        <w:rPr>
          <w:bCs/>
          <w:szCs w:val="24"/>
        </w:rPr>
        <w:t>Builds support and consensus around decisions they make and effectively manages the expectations of different parties to achieve 'win win' where possible.</w:t>
      </w:r>
    </w:p>
    <w:p>
      <w:pPr>
        <w:pStyle w:val="ListParagraph"/>
        <w:numPr>
          <w:ilvl w:val="0"/>
          <w:numId w:val="5"/>
        </w:numPr>
        <w:rPr>
          <w:bCs/>
          <w:szCs w:val="24"/>
        </w:rPr>
      </w:pPr>
      <w:r>
        <w:rPr>
          <w:bCs/>
          <w:szCs w:val="24"/>
        </w:rPr>
        <w:t>Measures and monitors to ensure they are on top of results and takes ultimate responsibility for ensuring outcomes and targets are met.</w:t>
      </w:r>
    </w:p>
    <w:p>
      <w:pPr>
        <w:pStyle w:val="ListParagraph"/>
        <w:numPr>
          <w:ilvl w:val="0"/>
          <w:numId w:val="5"/>
        </w:numPr>
        <w:rPr>
          <w:bCs/>
          <w:szCs w:val="24"/>
        </w:rPr>
      </w:pPr>
      <w:r>
        <w:rPr>
          <w:bCs/>
          <w:szCs w:val="24"/>
        </w:rPr>
        <w:t>Demonstrates a strong desire to improve performance and make a difference by focusing on goals.</w:t>
      </w:r>
    </w:p>
    <w:p>
      <w:pPr>
        <w:pStyle w:val="ListParagraph"/>
        <w:numPr>
          <w:ilvl w:val="0"/>
          <w:numId w:val="5"/>
        </w:numPr>
        <w:ind w:left="714" w:right="0" w:hanging="357"/>
        <w:rPr>
          <w:bCs/>
          <w:szCs w:val="24"/>
        </w:rPr>
      </w:pPr>
      <w:r>
        <w:rPr>
          <w:bCs/>
          <w:szCs w:val="24"/>
        </w:rPr>
        <w:t>Professional, calm, and efficient manner.</w:t>
      </w:r>
    </w:p>
    <w:p>
      <w:pPr>
        <w:pStyle w:val="ListParagraph"/>
        <w:numPr>
          <w:ilvl w:val="0"/>
          <w:numId w:val="5"/>
        </w:numPr>
        <w:ind w:left="714" w:right="0" w:hanging="357"/>
        <w:rPr>
          <w:bCs/>
          <w:szCs w:val="24"/>
        </w:rPr>
      </w:pPr>
      <w:r>
        <w:rPr>
          <w:bCs/>
          <w:szCs w:val="24"/>
        </w:rPr>
        <w:t>Effective organiser, influencer and networker, completer/finisher.</w:t>
      </w:r>
    </w:p>
    <w:p>
      <w:pPr>
        <w:pStyle w:val="ListParagraph"/>
        <w:numPr>
          <w:ilvl w:val="0"/>
          <w:numId w:val="5"/>
        </w:numPr>
        <w:rPr>
          <w:bCs/>
          <w:szCs w:val="24"/>
        </w:rPr>
      </w:pPr>
      <w:r>
        <w:rPr>
          <w:bCs/>
          <w:szCs w:val="24"/>
        </w:rPr>
        <w:t>Strong people management skills</w:t>
      </w:r>
    </w:p>
    <w:p>
      <w:pPr>
        <w:pStyle w:val="ListParagraph"/>
        <w:numPr>
          <w:ilvl w:val="0"/>
          <w:numId w:val="5"/>
        </w:numPr>
        <w:rPr>
          <w:bCs/>
          <w:szCs w:val="24"/>
        </w:rPr>
      </w:pPr>
      <w:r>
        <w:rPr>
          <w:bCs/>
          <w:szCs w:val="24"/>
        </w:rPr>
        <w:t xml:space="preserve">Builds support and consensus around how to support and apportion resources to various projects. </w:t>
      </w:r>
    </w:p>
    <w:p>
      <w:pPr>
        <w:pStyle w:val="ListParagraph"/>
        <w:numPr>
          <w:ilvl w:val="0"/>
          <w:numId w:val="5"/>
        </w:numPr>
        <w:rPr>
          <w:bCs/>
          <w:szCs w:val="24"/>
        </w:rPr>
      </w:pPr>
      <w:r>
        <w:rPr>
          <w:bCs/>
          <w:szCs w:val="24"/>
        </w:rPr>
        <w:t>Measures and monitors to ensure they are on top of results and takes ultimate responsibility for ensuring outcomes and targets are met.</w:t>
      </w:r>
    </w:p>
    <w:p>
      <w:pPr>
        <w:pStyle w:val="ListParagraph"/>
        <w:numPr>
          <w:ilvl w:val="0"/>
          <w:numId w:val="5"/>
        </w:numPr>
        <w:rPr>
          <w:bCs/>
          <w:szCs w:val="24"/>
        </w:rPr>
      </w:pPr>
      <w:r>
        <w:rPr>
          <w:bCs/>
          <w:szCs w:val="24"/>
        </w:rPr>
        <w:t>Use initiative to decide relevant actions.</w:t>
      </w:r>
    </w:p>
    <w:p>
      <w:pPr>
        <w:pStyle w:val="ListParagraph"/>
        <w:numPr>
          <w:ilvl w:val="0"/>
          <w:numId w:val="5"/>
        </w:numPr>
        <w:rPr>
          <w:bCs/>
          <w:szCs w:val="24"/>
        </w:rPr>
      </w:pPr>
      <w:r>
        <w:rPr>
          <w:bCs/>
          <w:szCs w:val="24"/>
        </w:rPr>
        <w:t>Willingness to engage with and learn from peers, other professionals, and colleagues in the desire to provide or support the most appropriate interventions</w:t>
      </w:r>
    </w:p>
    <w:p>
      <w:pPr>
        <w:pStyle w:val="ListParagraph"/>
        <w:numPr>
          <w:ilvl w:val="0"/>
          <w:numId w:val="5"/>
        </w:numPr>
        <w:rPr>
          <w:color w:val="auto"/>
          <w:szCs w:val="24"/>
        </w:rPr>
      </w:pPr>
      <w:r>
        <w:rPr>
          <w:color w:val="auto"/>
          <w:szCs w:val="24"/>
        </w:rPr>
        <w:t>Willingness to be part of an out-of-hours on-call service if required (individual exemptions can apply).</w:t>
      </w:r>
    </w:p>
    <w:p>
      <w:pPr>
        <w:pStyle w:val="ListParagraph"/>
        <w:numPr>
          <w:ilvl w:val="0"/>
          <w:numId w:val="5"/>
        </w:numPr>
        <w:rPr/>
      </w:pPr>
      <w:r>
        <w:rPr>
          <w:color w:val="auto"/>
          <w:szCs w:val="24"/>
        </w:rPr>
        <w:t xml:space="preserve">Willingness to </w:t>
      </w:r>
      <w:r>
        <w:rPr>
          <w:szCs w:val="24"/>
        </w:rPr>
        <w:t>work flexibly as occasional evening and weekend working may be required.</w:t>
      </w:r>
    </w:p>
    <w:p>
      <w:pPr>
        <w:pStyle w:val="ListParagraph"/>
        <w:numPr>
          <w:ilvl w:val="0"/>
          <w:numId w:val="5"/>
        </w:numPr>
        <w:rPr/>
      </w:pPr>
      <w:r>
        <w:rPr>
          <w:color w:val="auto"/>
          <w:szCs w:val="24"/>
        </w:rPr>
        <w:t xml:space="preserve">Willingness and ability to travel when required, within a reasonable </w:t>
      </w:r>
      <w:r>
        <w:rPr>
          <w:szCs w:val="24"/>
        </w:rPr>
        <w:t>time to meet the role demands (individuals providing their own vehicle for use will be eligible for casual car user rate.)</w:t>
      </w:r>
    </w:p>
    <w:p>
      <w:pPr>
        <w:pStyle w:val="Normal"/>
        <w:jc w:val="both"/>
        <w:rPr>
          <w:rFonts w:cs="Arial"/>
          <w:color w:val="auto"/>
          <w:sz w:val="22"/>
        </w:rPr>
      </w:pPr>
      <w:r>
        <w:rPr>
          <w:rFonts w:cs="Arial"/>
          <w:color w:val="auto"/>
          <w:sz w:val="22"/>
        </w:rPr>
        <w:t>This post is a politically restricted post, as defined by the Local Government and Housing Act 1989 (as amended by Section 30 of the Local Democracy, Economic Development and Construction Act 2009) on one of the following grounds:</w:t>
      </w:r>
    </w:p>
    <w:p>
      <w:pPr>
        <w:pStyle w:val="ListParagraph"/>
        <w:widowControl/>
        <w:numPr>
          <w:ilvl w:val="0"/>
          <w:numId w:val="4"/>
        </w:numPr>
        <w:spacing w:lineRule="auto" w:line="256" w:before="0" w:after="160"/>
        <w:contextualSpacing/>
        <w:jc w:val="both"/>
        <w:rPr>
          <w:color w:val="auto"/>
        </w:rPr>
      </w:pPr>
      <w:r>
        <w:rPr>
          <w:color w:val="auto"/>
        </w:rPr>
        <w:t>the post is that of a Chief Officer or Deputy Chief Officer or</w:t>
      </w:r>
    </w:p>
    <w:p>
      <w:pPr>
        <w:pStyle w:val="ListParagraph"/>
        <w:widowControl/>
        <w:numPr>
          <w:ilvl w:val="0"/>
          <w:numId w:val="4"/>
        </w:numPr>
        <w:spacing w:lineRule="auto" w:line="256" w:before="0" w:after="160"/>
        <w:contextualSpacing/>
        <w:jc w:val="both"/>
        <w:rPr>
          <w:color w:val="auto"/>
        </w:rPr>
      </w:pPr>
      <w:r>
        <w:rPr>
          <w:color w:val="auto"/>
        </w:rPr>
        <w:t>the post has delegated powers to discharge the functions of the Authority; or</w:t>
      </w:r>
    </w:p>
    <w:p>
      <w:pPr>
        <w:pStyle w:val="ListParagraph"/>
        <w:widowControl/>
        <w:numPr>
          <w:ilvl w:val="0"/>
          <w:numId w:val="4"/>
        </w:numPr>
        <w:spacing w:lineRule="auto" w:line="256" w:before="0" w:after="160"/>
        <w:contextualSpacing/>
        <w:jc w:val="both"/>
        <w:rPr>
          <w:color w:val="auto"/>
        </w:rPr>
      </w:pPr>
      <w:r>
        <w:rPr>
          <w:color w:val="auto"/>
        </w:rPr>
        <w:t>the duties associated with the post include giving advice on a regular basis to the Authority, to Committees or Sub-Committees of the Authority (including member panels, Sub-Committees etc.) or to joint committees on which the Authority is represented or give advice to Executive Members, Committees or speak to the media.</w:t>
      </w:r>
    </w:p>
    <w:p>
      <w:pPr>
        <w:pStyle w:val="Normal"/>
        <w:spacing w:before="240" w:after="240"/>
        <w:rPr>
          <w:rFonts w:cs="Arial"/>
          <w:color w:val="auto"/>
          <w:sz w:val="22"/>
        </w:rPr>
      </w:pPr>
      <w:r>
        <w:rPr>
          <w:rFonts w:cs="Arial"/>
          <w:color w:val="auto"/>
          <w:sz w:val="22"/>
        </w:rPr>
        <w:t>The post holder has a right to appeal to the GMCA Chief Executive against the classification of their post as politically restricted.</w:t>
      </w:r>
    </w:p>
    <w:p>
      <w:pPr>
        <w:pStyle w:val="Heading2"/>
        <w:shd w:fill="004F6E" w:val="clear"/>
        <w:rPr>
          <w:rFonts w:cs="Arial"/>
          <w:sz w:val="24"/>
          <w:szCs w:val="24"/>
        </w:rPr>
      </w:pPr>
      <w:r>
        <w:rPr>
          <w:rFonts w:cs="Arial"/>
          <w:sz w:val="24"/>
          <w:szCs w:val="24"/>
        </w:rPr>
        <w:t>Corporate Duties</w:t>
      </w:r>
    </w:p>
    <w:p>
      <w:pPr>
        <w:pStyle w:val="Normal"/>
        <w:rPr/>
      </w:pPr>
      <w:r>
        <w:rPr>
          <w:rFonts w:cs="Arial"/>
          <w:i/>
          <w:iCs/>
          <w:sz w:val="20"/>
          <w:szCs w:val="20"/>
        </w:rPr>
        <w:t>Do not behave in way which discriminates against your fellow employees, or potential</w:t>
      </w:r>
      <w:r>
        <w:rPr>
          <w:rFonts w:cs="Arial"/>
          <w:i/>
          <w:iCs/>
          <w:spacing w:val="1"/>
          <w:sz w:val="20"/>
          <w:szCs w:val="20"/>
        </w:rPr>
        <w:t xml:space="preserve"> </w:t>
      </w:r>
      <w:r>
        <w:rPr>
          <w:rFonts w:cs="Arial"/>
          <w:i/>
          <w:iCs/>
          <w:sz w:val="20"/>
          <w:szCs w:val="20"/>
        </w:rPr>
        <w:t>employees on the grounds of their sex, sexual orientation, marital status, race, religion,</w:t>
      </w:r>
      <w:r>
        <w:rPr>
          <w:rFonts w:cs="Arial"/>
          <w:i/>
          <w:iCs/>
          <w:spacing w:val="-59"/>
          <w:sz w:val="20"/>
          <w:szCs w:val="20"/>
        </w:rPr>
        <w:t xml:space="preserve"> </w:t>
      </w:r>
      <w:r>
        <w:rPr>
          <w:rFonts w:cs="Arial"/>
          <w:i/>
          <w:iCs/>
          <w:sz w:val="20"/>
          <w:szCs w:val="20"/>
        </w:rPr>
        <w:t>creed,</w:t>
      </w:r>
      <w:r>
        <w:rPr>
          <w:rFonts w:cs="Arial"/>
          <w:i/>
          <w:iCs/>
          <w:spacing w:val="-2"/>
          <w:sz w:val="20"/>
          <w:szCs w:val="20"/>
        </w:rPr>
        <w:t xml:space="preserve"> </w:t>
      </w:r>
      <w:r>
        <w:rPr>
          <w:rFonts w:cs="Arial"/>
          <w:i/>
          <w:iCs/>
          <w:sz w:val="20"/>
          <w:szCs w:val="20"/>
        </w:rPr>
        <w:t>colour,</w:t>
      </w:r>
      <w:r>
        <w:rPr>
          <w:rFonts w:cs="Arial"/>
          <w:i/>
          <w:iCs/>
          <w:spacing w:val="2"/>
          <w:sz w:val="20"/>
          <w:szCs w:val="20"/>
        </w:rPr>
        <w:t xml:space="preserve"> </w:t>
      </w:r>
      <w:r>
        <w:rPr>
          <w:rFonts w:cs="Arial"/>
          <w:i/>
          <w:iCs/>
          <w:sz w:val="20"/>
          <w:szCs w:val="20"/>
        </w:rPr>
        <w:t>nationality,</w:t>
      </w:r>
      <w:r>
        <w:rPr>
          <w:rFonts w:cs="Arial"/>
          <w:i/>
          <w:iCs/>
          <w:spacing w:val="2"/>
          <w:sz w:val="20"/>
          <w:szCs w:val="20"/>
        </w:rPr>
        <w:t xml:space="preserve"> </w:t>
      </w:r>
      <w:r>
        <w:rPr>
          <w:rFonts w:cs="Arial"/>
          <w:i/>
          <w:iCs/>
          <w:sz w:val="20"/>
          <w:szCs w:val="20"/>
        </w:rPr>
        <w:t>ethnic</w:t>
      </w:r>
      <w:r>
        <w:rPr>
          <w:rFonts w:cs="Arial"/>
          <w:i/>
          <w:iCs/>
          <w:spacing w:val="1"/>
          <w:sz w:val="20"/>
          <w:szCs w:val="20"/>
        </w:rPr>
        <w:t xml:space="preserve"> </w:t>
      </w:r>
      <w:r>
        <w:rPr>
          <w:rFonts w:cs="Arial"/>
          <w:i/>
          <w:iCs/>
          <w:sz w:val="20"/>
          <w:szCs w:val="20"/>
        </w:rPr>
        <w:t>origin</w:t>
      </w:r>
      <w:r>
        <w:rPr>
          <w:rFonts w:cs="Arial"/>
          <w:i/>
          <w:iCs/>
          <w:spacing w:val="1"/>
          <w:sz w:val="20"/>
          <w:szCs w:val="20"/>
        </w:rPr>
        <w:t xml:space="preserve"> </w:t>
      </w:r>
      <w:r>
        <w:rPr>
          <w:rFonts w:cs="Arial"/>
          <w:i/>
          <w:iCs/>
          <w:sz w:val="20"/>
          <w:szCs w:val="20"/>
        </w:rPr>
        <w:t>or</w:t>
      </w:r>
      <w:r>
        <w:rPr>
          <w:rFonts w:cs="Arial"/>
          <w:i/>
          <w:iCs/>
          <w:spacing w:val="-2"/>
          <w:sz w:val="20"/>
          <w:szCs w:val="20"/>
        </w:rPr>
        <w:t xml:space="preserve"> </w:t>
      </w:r>
      <w:r>
        <w:rPr>
          <w:rFonts w:cs="Arial"/>
          <w:i/>
          <w:iCs/>
          <w:sz w:val="20"/>
          <w:szCs w:val="20"/>
        </w:rPr>
        <w:t>disability.</w:t>
      </w:r>
    </w:p>
    <w:p>
      <w:pPr>
        <w:pStyle w:val="Normal"/>
        <w:rPr/>
      </w:pPr>
      <w:r>
        <w:rPr>
          <w:rFonts w:cs="Arial"/>
          <w:i/>
          <w:iCs/>
          <w:sz w:val="20"/>
          <w:szCs w:val="20"/>
        </w:rPr>
        <w:t xml:space="preserve">Safeguard at all times confidentiality of information relating to staff and pensioners. </w:t>
      </w:r>
      <w:r>
        <w:rPr>
          <w:rFonts w:cs="Arial"/>
          <w:i/>
          <w:iCs/>
          <w:spacing w:val="-59"/>
          <w:sz w:val="20"/>
          <w:szCs w:val="20"/>
        </w:rPr>
        <w:t xml:space="preserve"> </w:t>
      </w:r>
      <w:r>
        <w:rPr>
          <w:rFonts w:cs="Arial"/>
          <w:i/>
          <w:iCs/>
          <w:sz w:val="20"/>
          <w:szCs w:val="20"/>
        </w:rPr>
        <w:t>Refrain</w:t>
      </w:r>
      <w:r>
        <w:rPr>
          <w:rFonts w:cs="Arial"/>
          <w:i/>
          <w:iCs/>
          <w:spacing w:val="-3"/>
          <w:sz w:val="20"/>
          <w:szCs w:val="20"/>
        </w:rPr>
        <w:t xml:space="preserve"> </w:t>
      </w:r>
      <w:r>
        <w:rPr>
          <w:rFonts w:cs="Arial"/>
          <w:i/>
          <w:iCs/>
          <w:sz w:val="20"/>
          <w:szCs w:val="20"/>
        </w:rPr>
        <w:t>from</w:t>
      </w:r>
      <w:r>
        <w:rPr>
          <w:rFonts w:cs="Arial"/>
          <w:i/>
          <w:iCs/>
          <w:spacing w:val="2"/>
          <w:sz w:val="20"/>
          <w:szCs w:val="20"/>
        </w:rPr>
        <w:t xml:space="preserve"> </w:t>
      </w:r>
      <w:r>
        <w:rPr>
          <w:rFonts w:cs="Arial"/>
          <w:i/>
          <w:iCs/>
          <w:sz w:val="20"/>
          <w:szCs w:val="20"/>
        </w:rPr>
        <w:t>smoking</w:t>
      </w:r>
      <w:r>
        <w:rPr>
          <w:rFonts w:cs="Arial"/>
          <w:i/>
          <w:iCs/>
          <w:spacing w:val="4"/>
          <w:sz w:val="20"/>
          <w:szCs w:val="20"/>
        </w:rPr>
        <w:t xml:space="preserve"> </w:t>
      </w:r>
      <w:r>
        <w:rPr>
          <w:rFonts w:cs="Arial"/>
          <w:i/>
          <w:iCs/>
          <w:sz w:val="20"/>
          <w:szCs w:val="20"/>
        </w:rPr>
        <w:t>in</w:t>
      </w:r>
      <w:r>
        <w:rPr>
          <w:rFonts w:cs="Arial"/>
          <w:i/>
          <w:iCs/>
          <w:spacing w:val="-5"/>
          <w:sz w:val="20"/>
          <w:szCs w:val="20"/>
        </w:rPr>
        <w:t xml:space="preserve"> </w:t>
      </w:r>
      <w:r>
        <w:rPr>
          <w:rFonts w:cs="Arial"/>
          <w:i/>
          <w:iCs/>
          <w:sz w:val="20"/>
          <w:szCs w:val="20"/>
        </w:rPr>
        <w:t>any</w:t>
      </w:r>
      <w:r>
        <w:rPr>
          <w:rFonts w:cs="Arial"/>
          <w:i/>
          <w:iCs/>
          <w:spacing w:val="-1"/>
          <w:sz w:val="20"/>
          <w:szCs w:val="20"/>
        </w:rPr>
        <w:t xml:space="preserve"> </w:t>
      </w:r>
      <w:r>
        <w:rPr>
          <w:rFonts w:cs="Arial"/>
          <w:i/>
          <w:iCs/>
          <w:sz w:val="20"/>
          <w:szCs w:val="20"/>
        </w:rPr>
        <w:t>areas</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premises.</w:t>
      </w:r>
    </w:p>
    <w:p>
      <w:pPr>
        <w:pStyle w:val="Normal"/>
        <w:rPr/>
      </w:pPr>
      <w:r>
        <w:rPr>
          <w:rFonts w:cs="Arial"/>
          <w:i/>
          <w:iCs/>
          <w:sz w:val="20"/>
          <w:szCs w:val="20"/>
        </w:rPr>
        <w:t>Behave in a manner that ensures the security of property and resources.</w:t>
      </w:r>
      <w:r>
        <w:rPr>
          <w:rFonts w:cs="Arial"/>
          <w:i/>
          <w:iCs/>
          <w:spacing w:val="-59"/>
          <w:sz w:val="20"/>
          <w:szCs w:val="20"/>
        </w:rPr>
        <w:t xml:space="preserve"> </w:t>
      </w:r>
      <w:r>
        <w:rPr>
          <w:rFonts w:cs="Arial"/>
          <w:i/>
          <w:iCs/>
          <w:sz w:val="20"/>
          <w:szCs w:val="20"/>
        </w:rPr>
        <w:t>Abide</w:t>
      </w:r>
      <w:r>
        <w:rPr>
          <w:rFonts w:cs="Arial"/>
          <w:i/>
          <w:iCs/>
          <w:spacing w:val="-1"/>
          <w:sz w:val="20"/>
          <w:szCs w:val="20"/>
        </w:rPr>
        <w:t xml:space="preserve"> </w:t>
      </w:r>
      <w:r>
        <w:rPr>
          <w:rFonts w:cs="Arial"/>
          <w:i/>
          <w:iCs/>
          <w:sz w:val="20"/>
          <w:szCs w:val="20"/>
        </w:rPr>
        <w:t>by</w:t>
      </w:r>
      <w:r>
        <w:rPr>
          <w:rFonts w:cs="Arial"/>
          <w:i/>
          <w:iCs/>
          <w:spacing w:val="-2"/>
          <w:sz w:val="20"/>
          <w:szCs w:val="20"/>
        </w:rPr>
        <w:t xml:space="preserve"> </w:t>
      </w:r>
      <w:r>
        <w:rPr>
          <w:rFonts w:cs="Arial"/>
          <w:i/>
          <w:iCs/>
          <w:sz w:val="20"/>
          <w:szCs w:val="20"/>
        </w:rPr>
        <w:t>all relevant</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Policies and Procedures.</w:t>
      </w:r>
    </w:p>
    <w:p>
      <w:pPr>
        <w:pStyle w:val="Normal"/>
        <w:rPr/>
      </w:pPr>
      <w:r>
        <w:rPr>
          <w:rFonts w:cs="Arial"/>
          <w:b/>
          <w:bCs/>
          <w:i/>
          <w:iCs/>
          <w:sz w:val="20"/>
          <w:szCs w:val="20"/>
        </w:rPr>
        <w:t>Records Management / Data Protection</w:t>
      </w:r>
      <w:r>
        <w:rPr>
          <w:rFonts w:cs="Arial"/>
          <w:i/>
          <w:iCs/>
          <w:sz w:val="20"/>
          <w:szCs w:val="20"/>
        </w:rPr>
        <w:t xml:space="preserve"> - As an employee of the GMCA, you have a legal</w:t>
      </w:r>
      <w:r>
        <w:rPr>
          <w:rFonts w:cs="Arial"/>
          <w:i/>
          <w:iCs/>
          <w:spacing w:val="1"/>
          <w:sz w:val="20"/>
          <w:szCs w:val="20"/>
        </w:rPr>
        <w:t xml:space="preserve"> </w:t>
      </w:r>
      <w:r>
        <w:rPr>
          <w:rFonts w:cs="Arial"/>
          <w:i/>
          <w:iCs/>
          <w:spacing w:val="-1"/>
          <w:sz w:val="20"/>
          <w:szCs w:val="20"/>
        </w:rPr>
        <w:t>responsibility</w:t>
      </w:r>
      <w:r>
        <w:rPr>
          <w:rFonts w:cs="Arial"/>
          <w:i/>
          <w:iCs/>
          <w:spacing w:val="-16"/>
          <w:sz w:val="20"/>
          <w:szCs w:val="20"/>
        </w:rPr>
        <w:t xml:space="preserve"> </w:t>
      </w:r>
      <w:r>
        <w:rPr>
          <w:rFonts w:cs="Arial"/>
          <w:i/>
          <w:iCs/>
          <w:spacing w:val="-1"/>
          <w:sz w:val="20"/>
          <w:szCs w:val="20"/>
        </w:rPr>
        <w:t>for</w:t>
      </w:r>
      <w:r>
        <w:rPr>
          <w:rFonts w:cs="Arial"/>
          <w:i/>
          <w:iCs/>
          <w:spacing w:val="-15"/>
          <w:sz w:val="20"/>
          <w:szCs w:val="20"/>
        </w:rPr>
        <w:t xml:space="preserve"> </w:t>
      </w:r>
      <w:r>
        <w:rPr>
          <w:rFonts w:cs="Arial"/>
          <w:i/>
          <w:iCs/>
          <w:spacing w:val="-1"/>
          <w:sz w:val="20"/>
          <w:szCs w:val="20"/>
        </w:rPr>
        <w:t>all</w:t>
      </w:r>
      <w:r>
        <w:rPr>
          <w:rFonts w:cs="Arial"/>
          <w:i/>
          <w:iCs/>
          <w:spacing w:val="-14"/>
          <w:sz w:val="20"/>
          <w:szCs w:val="20"/>
        </w:rPr>
        <w:t xml:space="preserve"> </w:t>
      </w:r>
      <w:r>
        <w:rPr>
          <w:rFonts w:cs="Arial"/>
          <w:i/>
          <w:iCs/>
          <w:spacing w:val="-1"/>
          <w:sz w:val="20"/>
          <w:szCs w:val="20"/>
        </w:rPr>
        <w:t>records</w:t>
      </w:r>
      <w:r>
        <w:rPr>
          <w:rFonts w:cs="Arial"/>
          <w:i/>
          <w:iCs/>
          <w:spacing w:val="-13"/>
          <w:sz w:val="20"/>
          <w:szCs w:val="20"/>
        </w:rPr>
        <w:t xml:space="preserve"> </w:t>
      </w:r>
      <w:r>
        <w:rPr>
          <w:rFonts w:cs="Arial"/>
          <w:i/>
          <w:iCs/>
          <w:sz w:val="20"/>
          <w:szCs w:val="20"/>
        </w:rPr>
        <w:t>(including</w:t>
      </w:r>
      <w:r>
        <w:rPr>
          <w:rFonts w:cs="Arial"/>
          <w:i/>
          <w:iCs/>
          <w:spacing w:val="-11"/>
          <w:sz w:val="20"/>
          <w:szCs w:val="20"/>
        </w:rPr>
        <w:t xml:space="preserve"> </w:t>
      </w:r>
      <w:r>
        <w:rPr>
          <w:rFonts w:cs="Arial"/>
          <w:i/>
          <w:iCs/>
          <w:sz w:val="20"/>
          <w:szCs w:val="20"/>
        </w:rPr>
        <w:t>employee</w:t>
      </w:r>
      <w:r>
        <w:rPr>
          <w:rFonts w:cs="Arial"/>
          <w:i/>
          <w:iCs/>
          <w:spacing w:val="-13"/>
          <w:sz w:val="20"/>
          <w:szCs w:val="20"/>
        </w:rPr>
        <w:t xml:space="preserve"> </w:t>
      </w:r>
      <w:r>
        <w:rPr>
          <w:rFonts w:cs="Arial"/>
          <w:i/>
          <w:iCs/>
          <w:sz w:val="20"/>
          <w:szCs w:val="20"/>
        </w:rPr>
        <w:t>health,</w:t>
      </w:r>
      <w:r>
        <w:rPr>
          <w:rFonts w:cs="Arial"/>
          <w:i/>
          <w:iCs/>
          <w:spacing w:val="-15"/>
          <w:sz w:val="20"/>
          <w:szCs w:val="20"/>
        </w:rPr>
        <w:t xml:space="preserve"> </w:t>
      </w:r>
      <w:r>
        <w:rPr>
          <w:rFonts w:cs="Arial"/>
          <w:i/>
          <w:iCs/>
          <w:sz w:val="20"/>
          <w:szCs w:val="20"/>
        </w:rPr>
        <w:t>financial,</w:t>
      </w:r>
      <w:r>
        <w:rPr>
          <w:rFonts w:cs="Arial"/>
          <w:i/>
          <w:iCs/>
          <w:spacing w:val="-14"/>
          <w:sz w:val="20"/>
          <w:szCs w:val="20"/>
        </w:rPr>
        <w:t xml:space="preserve"> </w:t>
      </w:r>
      <w:r>
        <w:rPr>
          <w:rFonts w:cs="Arial"/>
          <w:i/>
          <w:iCs/>
          <w:sz w:val="20"/>
          <w:szCs w:val="20"/>
        </w:rPr>
        <w:t>personal</w:t>
      </w:r>
      <w:r>
        <w:rPr>
          <w:rFonts w:cs="Arial"/>
          <w:i/>
          <w:iCs/>
          <w:spacing w:val="-17"/>
          <w:sz w:val="20"/>
          <w:szCs w:val="20"/>
        </w:rPr>
        <w:t xml:space="preserve"> </w:t>
      </w:r>
      <w:r>
        <w:rPr>
          <w:rFonts w:cs="Arial"/>
          <w:i/>
          <w:iCs/>
          <w:sz w:val="20"/>
          <w:szCs w:val="20"/>
        </w:rPr>
        <w:t>and</w:t>
      </w:r>
      <w:r>
        <w:rPr>
          <w:rFonts w:cs="Arial"/>
          <w:i/>
          <w:iCs/>
          <w:spacing w:val="-13"/>
          <w:sz w:val="20"/>
          <w:szCs w:val="20"/>
        </w:rPr>
        <w:t xml:space="preserve"> </w:t>
      </w:r>
      <w:r>
        <w:rPr>
          <w:rFonts w:cs="Arial"/>
          <w:i/>
          <w:iCs/>
          <w:sz w:val="20"/>
          <w:szCs w:val="20"/>
        </w:rPr>
        <w:t>administrative)</w:t>
      </w:r>
      <w:r>
        <w:rPr>
          <w:rFonts w:cs="Arial"/>
          <w:i/>
          <w:iCs/>
          <w:spacing w:val="-58"/>
          <w:sz w:val="20"/>
          <w:szCs w:val="20"/>
        </w:rPr>
        <w:t xml:space="preserve"> </w:t>
      </w:r>
      <w:r>
        <w:rPr>
          <w:rFonts w:cs="Arial"/>
          <w:i/>
          <w:iCs/>
          <w:sz w:val="20"/>
          <w:szCs w:val="20"/>
        </w:rPr>
        <w:t>that you gather or use as part of your work with the Service. The records may be paper,</w:t>
      </w:r>
      <w:r>
        <w:rPr>
          <w:rFonts w:cs="Arial"/>
          <w:i/>
          <w:iCs/>
          <w:spacing w:val="1"/>
          <w:sz w:val="20"/>
          <w:szCs w:val="20"/>
        </w:rPr>
        <w:t xml:space="preserve"> </w:t>
      </w:r>
      <w:r>
        <w:rPr>
          <w:rFonts w:cs="Arial"/>
          <w:i/>
          <w:iCs/>
          <w:sz w:val="20"/>
          <w:szCs w:val="20"/>
        </w:rPr>
        <w:t>electronic, audio or videotapes. You must consult your manager if you have any doubt as to</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correct management</w:t>
      </w:r>
      <w:r>
        <w:rPr>
          <w:rFonts w:cs="Arial"/>
          <w:i/>
          <w:iCs/>
          <w:spacing w:val="-2"/>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records</w:t>
      </w:r>
      <w:r>
        <w:rPr>
          <w:rFonts w:cs="Arial"/>
          <w:i/>
          <w:iCs/>
          <w:spacing w:val="-2"/>
          <w:sz w:val="20"/>
          <w:szCs w:val="20"/>
        </w:rPr>
        <w:t xml:space="preserve"> </w:t>
      </w:r>
      <w:r>
        <w:rPr>
          <w:rFonts w:cs="Arial"/>
          <w:i/>
          <w:iCs/>
          <w:sz w:val="20"/>
          <w:szCs w:val="20"/>
        </w:rPr>
        <w:t>with</w:t>
      </w:r>
      <w:r>
        <w:rPr>
          <w:rFonts w:cs="Arial"/>
          <w:i/>
          <w:iCs/>
          <w:spacing w:val="1"/>
          <w:sz w:val="20"/>
          <w:szCs w:val="20"/>
        </w:rPr>
        <w:t xml:space="preserve"> </w:t>
      </w:r>
      <w:r>
        <w:rPr>
          <w:rFonts w:cs="Arial"/>
          <w:i/>
          <w:iCs/>
          <w:sz w:val="20"/>
          <w:szCs w:val="20"/>
        </w:rPr>
        <w:t>which</w:t>
      </w:r>
      <w:r>
        <w:rPr>
          <w:rFonts w:cs="Arial"/>
          <w:i/>
          <w:iCs/>
          <w:spacing w:val="2"/>
          <w:sz w:val="20"/>
          <w:szCs w:val="20"/>
        </w:rPr>
        <w:t xml:space="preserve"> </w:t>
      </w:r>
      <w:r>
        <w:rPr>
          <w:rFonts w:cs="Arial"/>
          <w:i/>
          <w:iCs/>
          <w:sz w:val="20"/>
          <w:szCs w:val="20"/>
        </w:rPr>
        <w:t>you work.</w:t>
      </w:r>
    </w:p>
    <w:p>
      <w:pPr>
        <w:pStyle w:val="Normal"/>
        <w:rPr/>
      </w:pPr>
      <w:r>
        <w:rPr>
          <w:rFonts w:cs="Arial"/>
          <w:b/>
          <w:bCs/>
          <w:i/>
          <w:iCs/>
          <w:spacing w:val="-1"/>
          <w:sz w:val="20"/>
          <w:szCs w:val="20"/>
        </w:rPr>
        <w:t>Confidentiality</w:t>
      </w:r>
      <w:r>
        <w:rPr>
          <w:rFonts w:cs="Arial"/>
          <w:b/>
          <w:bCs/>
          <w:i/>
          <w:iCs/>
          <w:spacing w:val="-15"/>
          <w:sz w:val="20"/>
          <w:szCs w:val="20"/>
        </w:rPr>
        <w:t xml:space="preserve"> </w:t>
      </w:r>
      <w:r>
        <w:rPr>
          <w:rFonts w:cs="Arial"/>
          <w:b/>
          <w:bCs/>
          <w:i/>
          <w:iCs/>
          <w:sz w:val="20"/>
          <w:szCs w:val="20"/>
        </w:rPr>
        <w:t>and</w:t>
      </w:r>
      <w:r>
        <w:rPr>
          <w:rFonts w:cs="Arial"/>
          <w:b/>
          <w:bCs/>
          <w:i/>
          <w:iCs/>
          <w:spacing w:val="-12"/>
          <w:sz w:val="20"/>
          <w:szCs w:val="20"/>
        </w:rPr>
        <w:t xml:space="preserve"> </w:t>
      </w:r>
      <w:r>
        <w:rPr>
          <w:rFonts w:cs="Arial"/>
          <w:b/>
          <w:bCs/>
          <w:i/>
          <w:iCs/>
          <w:sz w:val="20"/>
          <w:szCs w:val="20"/>
        </w:rPr>
        <w:t>Information</w:t>
      </w:r>
      <w:r>
        <w:rPr>
          <w:rFonts w:cs="Arial"/>
          <w:b/>
          <w:bCs/>
          <w:i/>
          <w:iCs/>
          <w:spacing w:val="-13"/>
          <w:sz w:val="20"/>
          <w:szCs w:val="20"/>
        </w:rPr>
        <w:t xml:space="preserve"> </w:t>
      </w:r>
      <w:r>
        <w:rPr>
          <w:rFonts w:cs="Arial"/>
          <w:b/>
          <w:bCs/>
          <w:i/>
          <w:iCs/>
          <w:sz w:val="20"/>
          <w:szCs w:val="20"/>
        </w:rPr>
        <w:t>Security</w:t>
      </w:r>
      <w:r>
        <w:rPr>
          <w:rFonts w:cs="Arial"/>
          <w:i/>
          <w:iCs/>
          <w:spacing w:val="-16"/>
          <w:sz w:val="20"/>
          <w:szCs w:val="20"/>
        </w:rPr>
        <w:t xml:space="preserve"> </w:t>
      </w:r>
      <w:r>
        <w:rPr>
          <w:rFonts w:cs="Arial"/>
          <w:i/>
          <w:iCs/>
          <w:sz w:val="20"/>
          <w:szCs w:val="20"/>
        </w:rPr>
        <w:t>-</w:t>
      </w:r>
      <w:r>
        <w:rPr>
          <w:rFonts w:cs="Arial"/>
          <w:i/>
          <w:iCs/>
          <w:spacing w:val="-10"/>
          <w:sz w:val="20"/>
          <w:szCs w:val="20"/>
        </w:rPr>
        <w:t xml:space="preserve"> </w:t>
      </w:r>
      <w:r>
        <w:rPr>
          <w:rFonts w:cs="Arial"/>
          <w:i/>
          <w:iCs/>
          <w:sz w:val="20"/>
          <w:szCs w:val="20"/>
        </w:rPr>
        <w:t>As</w:t>
      </w:r>
      <w:r>
        <w:rPr>
          <w:rFonts w:cs="Arial"/>
          <w:i/>
          <w:iCs/>
          <w:spacing w:val="-11"/>
          <w:sz w:val="20"/>
          <w:szCs w:val="20"/>
        </w:rPr>
        <w:t xml:space="preserve"> </w:t>
      </w:r>
      <w:r>
        <w:rPr>
          <w:rFonts w:cs="Arial"/>
          <w:i/>
          <w:iCs/>
          <w:sz w:val="20"/>
          <w:szCs w:val="20"/>
        </w:rPr>
        <w:t>a</w:t>
      </w:r>
      <w:r>
        <w:rPr>
          <w:rFonts w:cs="Arial"/>
          <w:i/>
          <w:iCs/>
          <w:spacing w:val="-16"/>
          <w:sz w:val="20"/>
          <w:szCs w:val="20"/>
        </w:rPr>
        <w:t xml:space="preserve"> </w:t>
      </w:r>
      <w:r>
        <w:rPr>
          <w:rFonts w:cs="Arial"/>
          <w:i/>
          <w:iCs/>
          <w:sz w:val="20"/>
          <w:szCs w:val="20"/>
        </w:rPr>
        <w:t>GMCA</w:t>
      </w:r>
      <w:r>
        <w:rPr>
          <w:rFonts w:cs="Arial"/>
          <w:i/>
          <w:iCs/>
          <w:spacing w:val="-11"/>
          <w:sz w:val="20"/>
          <w:szCs w:val="20"/>
        </w:rPr>
        <w:t xml:space="preserve"> </w:t>
      </w:r>
      <w:r>
        <w:rPr>
          <w:rFonts w:cs="Arial"/>
          <w:i/>
          <w:iCs/>
          <w:sz w:val="20"/>
          <w:szCs w:val="20"/>
        </w:rPr>
        <w:t>employee</w:t>
      </w:r>
      <w:r>
        <w:rPr>
          <w:rFonts w:cs="Arial"/>
          <w:i/>
          <w:iCs/>
          <w:spacing w:val="-12"/>
          <w:sz w:val="20"/>
          <w:szCs w:val="20"/>
        </w:rPr>
        <w:t xml:space="preserve"> </w:t>
      </w:r>
      <w:r>
        <w:rPr>
          <w:rFonts w:cs="Arial"/>
          <w:i/>
          <w:iCs/>
          <w:sz w:val="20"/>
          <w:szCs w:val="20"/>
        </w:rPr>
        <w:t>you</w:t>
      </w:r>
      <w:r>
        <w:rPr>
          <w:rFonts w:cs="Arial"/>
          <w:i/>
          <w:iCs/>
          <w:spacing w:val="-12"/>
          <w:sz w:val="20"/>
          <w:szCs w:val="20"/>
        </w:rPr>
        <w:t xml:space="preserve"> </w:t>
      </w:r>
      <w:r>
        <w:rPr>
          <w:rFonts w:cs="Arial"/>
          <w:i/>
          <w:iCs/>
          <w:sz w:val="20"/>
          <w:szCs w:val="20"/>
        </w:rPr>
        <w:t>are</w:t>
      </w:r>
      <w:r>
        <w:rPr>
          <w:rFonts w:cs="Arial"/>
          <w:i/>
          <w:iCs/>
          <w:spacing w:val="-11"/>
          <w:sz w:val="20"/>
          <w:szCs w:val="20"/>
        </w:rPr>
        <w:t xml:space="preserve"> </w:t>
      </w:r>
      <w:r>
        <w:rPr>
          <w:rFonts w:cs="Arial"/>
          <w:i/>
          <w:iCs/>
          <w:sz w:val="20"/>
          <w:szCs w:val="20"/>
        </w:rPr>
        <w:t>required</w:t>
      </w:r>
      <w:r>
        <w:rPr>
          <w:rFonts w:cs="Arial"/>
          <w:i/>
          <w:iCs/>
          <w:spacing w:val="-15"/>
          <w:sz w:val="20"/>
          <w:szCs w:val="20"/>
        </w:rPr>
        <w:t xml:space="preserve"> </w:t>
      </w:r>
      <w:r>
        <w:rPr>
          <w:rFonts w:cs="Arial"/>
          <w:i/>
          <w:iCs/>
          <w:sz w:val="20"/>
          <w:szCs w:val="20"/>
        </w:rPr>
        <w:t>to</w:t>
      </w:r>
      <w:r>
        <w:rPr>
          <w:rFonts w:cs="Arial"/>
          <w:i/>
          <w:iCs/>
          <w:spacing w:val="-12"/>
          <w:sz w:val="20"/>
          <w:szCs w:val="20"/>
        </w:rPr>
        <w:t xml:space="preserve"> </w:t>
      </w:r>
      <w:r>
        <w:rPr>
          <w:rFonts w:cs="Arial"/>
          <w:i/>
          <w:iCs/>
          <w:sz w:val="20"/>
          <w:szCs w:val="20"/>
        </w:rPr>
        <w:t>uphold</w:t>
      </w:r>
      <w:r>
        <w:rPr>
          <w:rFonts w:cs="Arial"/>
          <w:i/>
          <w:iCs/>
          <w:spacing w:val="-58"/>
          <w:sz w:val="20"/>
          <w:szCs w:val="20"/>
        </w:rPr>
        <w:t xml:space="preserve"> </w:t>
      </w:r>
      <w:r>
        <w:rPr>
          <w:rFonts w:cs="Arial"/>
          <w:i/>
          <w:iCs/>
          <w:sz w:val="20"/>
          <w:szCs w:val="20"/>
        </w:rPr>
        <w:t>the confidentiality of all records held by the GMCA, whether employee records or GMCA</w:t>
      </w:r>
      <w:r>
        <w:rPr>
          <w:rFonts w:cs="Arial"/>
          <w:i/>
          <w:iCs/>
          <w:spacing w:val="1"/>
          <w:sz w:val="20"/>
          <w:szCs w:val="20"/>
        </w:rPr>
        <w:t xml:space="preserve"> </w:t>
      </w:r>
      <w:r>
        <w:rPr>
          <w:rFonts w:cs="Arial"/>
          <w:i/>
          <w:iCs/>
          <w:sz w:val="20"/>
          <w:szCs w:val="20"/>
        </w:rPr>
        <w:t>information.</w:t>
      </w:r>
      <w:r>
        <w:rPr>
          <w:rFonts w:cs="Arial"/>
          <w:i/>
          <w:iCs/>
          <w:spacing w:val="1"/>
          <w:sz w:val="20"/>
          <w:szCs w:val="20"/>
        </w:rPr>
        <w:t xml:space="preserve"> </w:t>
      </w:r>
      <w:r>
        <w:rPr>
          <w:rFonts w:cs="Arial"/>
          <w:i/>
          <w:iCs/>
          <w:sz w:val="20"/>
          <w:szCs w:val="20"/>
        </w:rPr>
        <w:t>This</w:t>
      </w:r>
      <w:r>
        <w:rPr>
          <w:rFonts w:cs="Arial"/>
          <w:i/>
          <w:iCs/>
          <w:spacing w:val="1"/>
          <w:sz w:val="20"/>
          <w:szCs w:val="20"/>
        </w:rPr>
        <w:t xml:space="preserve"> </w:t>
      </w:r>
      <w:r>
        <w:rPr>
          <w:rFonts w:cs="Arial"/>
          <w:i/>
          <w:iCs/>
          <w:sz w:val="20"/>
          <w:szCs w:val="20"/>
        </w:rPr>
        <w:t>duty</w:t>
      </w:r>
      <w:r>
        <w:rPr>
          <w:rFonts w:cs="Arial"/>
          <w:i/>
          <w:iCs/>
          <w:spacing w:val="1"/>
          <w:sz w:val="20"/>
          <w:szCs w:val="20"/>
        </w:rPr>
        <w:t xml:space="preserve"> </w:t>
      </w:r>
      <w:r>
        <w:rPr>
          <w:rFonts w:cs="Arial"/>
          <w:i/>
          <w:iCs/>
          <w:sz w:val="20"/>
          <w:szCs w:val="20"/>
        </w:rPr>
        <w:t>lasts</w:t>
      </w:r>
      <w:r>
        <w:rPr>
          <w:rFonts w:cs="Arial"/>
          <w:i/>
          <w:iCs/>
          <w:spacing w:val="1"/>
          <w:sz w:val="20"/>
          <w:szCs w:val="20"/>
        </w:rPr>
        <w:t xml:space="preserve"> </w:t>
      </w:r>
      <w:r>
        <w:rPr>
          <w:rFonts w:cs="Arial"/>
          <w:i/>
          <w:iCs/>
          <w:sz w:val="20"/>
          <w:szCs w:val="20"/>
        </w:rPr>
        <w:t>indefinitely</w:t>
      </w:r>
      <w:r>
        <w:rPr>
          <w:rFonts w:cs="Arial"/>
          <w:i/>
          <w:iCs/>
          <w:spacing w:val="1"/>
          <w:sz w:val="20"/>
          <w:szCs w:val="20"/>
        </w:rPr>
        <w:t xml:space="preserve"> </w:t>
      </w:r>
      <w:r>
        <w:rPr>
          <w:rFonts w:cs="Arial"/>
          <w:i/>
          <w:iCs/>
          <w:sz w:val="20"/>
          <w:szCs w:val="20"/>
        </w:rPr>
        <w:t>and</w:t>
      </w:r>
      <w:r>
        <w:rPr>
          <w:rFonts w:cs="Arial"/>
          <w:i/>
          <w:iCs/>
          <w:spacing w:val="1"/>
          <w:sz w:val="20"/>
          <w:szCs w:val="20"/>
        </w:rPr>
        <w:t xml:space="preserve"> </w:t>
      </w:r>
      <w:r>
        <w:rPr>
          <w:rFonts w:cs="Arial"/>
          <w:i/>
          <w:iCs/>
          <w:sz w:val="20"/>
          <w:szCs w:val="20"/>
        </w:rPr>
        <w:t>will</w:t>
      </w:r>
      <w:r>
        <w:rPr>
          <w:rFonts w:cs="Arial"/>
          <w:i/>
          <w:iCs/>
          <w:spacing w:val="1"/>
          <w:sz w:val="20"/>
          <w:szCs w:val="20"/>
        </w:rPr>
        <w:t xml:space="preserve"> </w:t>
      </w:r>
      <w:r>
        <w:rPr>
          <w:rFonts w:cs="Arial"/>
          <w:i/>
          <w:iCs/>
          <w:sz w:val="20"/>
          <w:szCs w:val="20"/>
        </w:rPr>
        <w:t>continue</w:t>
      </w:r>
      <w:r>
        <w:rPr>
          <w:rFonts w:cs="Arial"/>
          <w:i/>
          <w:iCs/>
          <w:spacing w:val="1"/>
          <w:sz w:val="20"/>
          <w:szCs w:val="20"/>
        </w:rPr>
        <w:t xml:space="preserve"> </w:t>
      </w:r>
      <w:r>
        <w:rPr>
          <w:rFonts w:cs="Arial"/>
          <w:i/>
          <w:iCs/>
          <w:sz w:val="20"/>
          <w:szCs w:val="20"/>
        </w:rPr>
        <w:t>after</w:t>
      </w:r>
      <w:r>
        <w:rPr>
          <w:rFonts w:cs="Arial"/>
          <w:i/>
          <w:iCs/>
          <w:spacing w:val="1"/>
          <w:sz w:val="20"/>
          <w:szCs w:val="20"/>
        </w:rPr>
        <w:t xml:space="preserve"> </w:t>
      </w:r>
      <w:r>
        <w:rPr>
          <w:rFonts w:cs="Arial"/>
          <w:i/>
          <w:iCs/>
          <w:sz w:val="20"/>
          <w:szCs w:val="20"/>
        </w:rPr>
        <w:t>you</w:t>
      </w:r>
      <w:r>
        <w:rPr>
          <w:rFonts w:cs="Arial"/>
          <w:i/>
          <w:iCs/>
          <w:spacing w:val="1"/>
          <w:sz w:val="20"/>
          <w:szCs w:val="20"/>
        </w:rPr>
        <w:t xml:space="preserve"> </w:t>
      </w:r>
      <w:r>
        <w:rPr>
          <w:rFonts w:cs="Arial"/>
          <w:i/>
          <w:iCs/>
          <w:sz w:val="20"/>
          <w:szCs w:val="20"/>
        </w:rPr>
        <w:t>leave</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GMCA</w:t>
      </w:r>
      <w:r>
        <w:rPr>
          <w:rFonts w:cs="Arial"/>
          <w:i/>
          <w:iCs/>
          <w:spacing w:val="1"/>
          <w:sz w:val="20"/>
          <w:szCs w:val="20"/>
        </w:rPr>
        <w:t xml:space="preserve"> </w:t>
      </w:r>
      <w:r>
        <w:rPr>
          <w:rFonts w:cs="Arial"/>
          <w:i/>
          <w:iCs/>
          <w:sz w:val="20"/>
          <w:szCs w:val="20"/>
        </w:rPr>
        <w:t>employment. All employees must maintain confidentiality and abide by the Data 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Data</w:t>
      </w:r>
      <w:r>
        <w:rPr>
          <w:rFonts w:cs="Arial"/>
          <w:b/>
          <w:bCs/>
          <w:i/>
          <w:iCs/>
          <w:spacing w:val="1"/>
          <w:sz w:val="20"/>
          <w:szCs w:val="20"/>
        </w:rPr>
        <w:t xml:space="preserve"> </w:t>
      </w:r>
      <w:r>
        <w:rPr>
          <w:rFonts w:cs="Arial"/>
          <w:b/>
          <w:bCs/>
          <w:i/>
          <w:iCs/>
          <w:sz w:val="20"/>
          <w:szCs w:val="20"/>
        </w:rPr>
        <w:t>Quality</w:t>
      </w:r>
      <w:r>
        <w:rPr>
          <w:rFonts w:cs="Arial"/>
          <w:i/>
          <w:iCs/>
          <w:spacing w:val="1"/>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All</w:t>
      </w:r>
      <w:r>
        <w:rPr>
          <w:rFonts w:cs="Arial"/>
          <w:i/>
          <w:iCs/>
          <w:spacing w:val="1"/>
          <w:sz w:val="20"/>
          <w:szCs w:val="20"/>
        </w:rPr>
        <w:t xml:space="preserve"> </w:t>
      </w:r>
      <w:r>
        <w:rPr>
          <w:rFonts w:cs="Arial"/>
          <w:i/>
          <w:iCs/>
          <w:sz w:val="20"/>
          <w:szCs w:val="20"/>
        </w:rPr>
        <w:t>staff</w:t>
      </w:r>
      <w:r>
        <w:rPr>
          <w:rFonts w:cs="Arial"/>
          <w:i/>
          <w:iCs/>
          <w:spacing w:val="1"/>
          <w:sz w:val="20"/>
          <w:szCs w:val="20"/>
        </w:rPr>
        <w:t xml:space="preserve"> </w:t>
      </w:r>
      <w:r>
        <w:rPr>
          <w:rFonts w:cs="Arial"/>
          <w:i/>
          <w:iCs/>
          <w:sz w:val="20"/>
          <w:szCs w:val="20"/>
        </w:rPr>
        <w:t>are</w:t>
      </w:r>
      <w:r>
        <w:rPr>
          <w:rFonts w:cs="Arial"/>
          <w:i/>
          <w:iCs/>
          <w:spacing w:val="1"/>
          <w:sz w:val="20"/>
          <w:szCs w:val="20"/>
        </w:rPr>
        <w:t xml:space="preserve"> </w:t>
      </w:r>
      <w:r>
        <w:rPr>
          <w:rFonts w:cs="Arial"/>
          <w:i/>
          <w:iCs/>
          <w:sz w:val="20"/>
          <w:szCs w:val="20"/>
        </w:rPr>
        <w:t>personally</w:t>
      </w:r>
      <w:r>
        <w:rPr>
          <w:rFonts w:cs="Arial"/>
          <w:i/>
          <w:iCs/>
          <w:spacing w:val="1"/>
          <w:sz w:val="20"/>
          <w:szCs w:val="20"/>
        </w:rPr>
        <w:t xml:space="preserve"> </w:t>
      </w:r>
      <w:r>
        <w:rPr>
          <w:rFonts w:cs="Arial"/>
          <w:i/>
          <w:iCs/>
          <w:sz w:val="20"/>
          <w:szCs w:val="20"/>
        </w:rPr>
        <w:t>responsible</w:t>
      </w:r>
      <w:r>
        <w:rPr>
          <w:rFonts w:cs="Arial"/>
          <w:i/>
          <w:iCs/>
          <w:spacing w:val="1"/>
          <w:sz w:val="20"/>
          <w:szCs w:val="20"/>
        </w:rPr>
        <w:t xml:space="preserve"> </w:t>
      </w:r>
      <w:r>
        <w:rPr>
          <w:rFonts w:cs="Arial"/>
          <w:i/>
          <w:iCs/>
          <w:sz w:val="20"/>
          <w:szCs w:val="20"/>
        </w:rPr>
        <w:t>for</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quality</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entered</w:t>
      </w:r>
      <w:r>
        <w:rPr>
          <w:rFonts w:cs="Arial"/>
          <w:i/>
          <w:iCs/>
          <w:spacing w:val="1"/>
          <w:sz w:val="20"/>
          <w:szCs w:val="20"/>
        </w:rPr>
        <w:t xml:space="preserve"> </w:t>
      </w:r>
      <w:r>
        <w:rPr>
          <w:rFonts w:cs="Arial"/>
          <w:i/>
          <w:iCs/>
          <w:sz w:val="20"/>
          <w:szCs w:val="20"/>
        </w:rPr>
        <w:t>by</w:t>
      </w:r>
      <w:r>
        <w:rPr>
          <w:rFonts w:cs="Arial"/>
          <w:i/>
          <w:iCs/>
          <w:spacing w:val="1"/>
          <w:sz w:val="20"/>
          <w:szCs w:val="20"/>
        </w:rPr>
        <w:t xml:space="preserve"> </w:t>
      </w:r>
      <w:r>
        <w:rPr>
          <w:rFonts w:cs="Arial"/>
          <w:i/>
          <w:iCs/>
          <w:sz w:val="20"/>
          <w:szCs w:val="20"/>
        </w:rPr>
        <w:t>themselves, or on their behalf, on GMCAs computerised systems or manual records (paper</w:t>
      </w:r>
      <w:r>
        <w:rPr>
          <w:rFonts w:cs="Arial"/>
          <w:i/>
          <w:iCs/>
          <w:spacing w:val="1"/>
          <w:sz w:val="20"/>
          <w:szCs w:val="20"/>
        </w:rPr>
        <w:t xml:space="preserve"> </w:t>
      </w:r>
      <w:r>
        <w:rPr>
          <w:rFonts w:cs="Arial"/>
          <w:i/>
          <w:iCs/>
          <w:sz w:val="20"/>
          <w:szCs w:val="20"/>
        </w:rPr>
        <w:t>records) and must ensure that such data is entered accurately and, in a timely manner, to</w:t>
      </w:r>
      <w:r>
        <w:rPr>
          <w:rFonts w:cs="Arial"/>
          <w:i/>
          <w:iCs/>
          <w:spacing w:val="1"/>
          <w:sz w:val="20"/>
          <w:szCs w:val="20"/>
        </w:rPr>
        <w:t xml:space="preserve"> </w:t>
      </w:r>
      <w:r>
        <w:rPr>
          <w:rFonts w:cs="Arial"/>
          <w:i/>
          <w:iCs/>
          <w:sz w:val="20"/>
          <w:szCs w:val="20"/>
        </w:rPr>
        <w:t>ensure high</w:t>
      </w:r>
      <w:r>
        <w:rPr>
          <w:rFonts w:cs="Arial"/>
          <w:i/>
          <w:iCs/>
          <w:spacing w:val="-3"/>
          <w:sz w:val="20"/>
          <w:szCs w:val="20"/>
        </w:rPr>
        <w:t xml:space="preserve"> </w:t>
      </w:r>
      <w:r>
        <w:rPr>
          <w:rFonts w:cs="Arial"/>
          <w:i/>
          <w:iCs/>
          <w:sz w:val="20"/>
          <w:szCs w:val="20"/>
        </w:rPr>
        <w:t>standards of data</w:t>
      </w:r>
      <w:r>
        <w:rPr>
          <w:rFonts w:cs="Arial"/>
          <w:i/>
          <w:iCs/>
          <w:spacing w:val="-5"/>
          <w:sz w:val="20"/>
          <w:szCs w:val="20"/>
        </w:rPr>
        <w:t xml:space="preserve"> </w:t>
      </w:r>
      <w:r>
        <w:rPr>
          <w:rFonts w:cs="Arial"/>
          <w:i/>
          <w:iCs/>
          <w:sz w:val="20"/>
          <w:szCs w:val="20"/>
        </w:rPr>
        <w:t>quality</w:t>
      </w:r>
      <w:r>
        <w:rPr>
          <w:rFonts w:cs="Arial"/>
          <w:i/>
          <w:iCs/>
          <w:spacing w:val="-2"/>
          <w:sz w:val="20"/>
          <w:szCs w:val="20"/>
        </w:rPr>
        <w:t xml:space="preserve"> </w:t>
      </w:r>
      <w:r>
        <w:rPr>
          <w:rFonts w:cs="Arial"/>
          <w:i/>
          <w:iCs/>
          <w:sz w:val="20"/>
          <w:szCs w:val="20"/>
        </w:rPr>
        <w:t>in accordance with Departmental protocols. To ensure data is handled in a secure manner protecting the confidentiality of any personal</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held in</w:t>
      </w:r>
      <w:r>
        <w:rPr>
          <w:rFonts w:cs="Arial"/>
          <w:i/>
          <w:iCs/>
          <w:spacing w:val="-2"/>
          <w:sz w:val="20"/>
          <w:szCs w:val="20"/>
        </w:rPr>
        <w:t xml:space="preserve"> </w:t>
      </w:r>
      <w:r>
        <w:rPr>
          <w:rFonts w:cs="Arial"/>
          <w:i/>
          <w:iCs/>
          <w:sz w:val="20"/>
          <w:szCs w:val="20"/>
        </w:rPr>
        <w:t>meeting</w:t>
      </w:r>
      <w:r>
        <w:rPr>
          <w:rFonts w:cs="Arial"/>
          <w:i/>
          <w:iCs/>
          <w:spacing w:val="-1"/>
          <w:sz w:val="20"/>
          <w:szCs w:val="20"/>
        </w:rPr>
        <w:t xml:space="preserve"> </w:t>
      </w:r>
      <w:r>
        <w:rPr>
          <w:rFonts w:cs="Arial"/>
          <w:i/>
          <w:iCs/>
          <w:sz w:val="20"/>
          <w:szCs w:val="20"/>
        </w:rPr>
        <w:t>the</w:t>
      </w:r>
      <w:r>
        <w:rPr>
          <w:rFonts w:cs="Arial"/>
          <w:i/>
          <w:iCs/>
          <w:spacing w:val="-4"/>
          <w:sz w:val="20"/>
          <w:szCs w:val="20"/>
        </w:rPr>
        <w:t xml:space="preserve"> </w:t>
      </w:r>
      <w:r>
        <w:rPr>
          <w:rFonts w:cs="Arial"/>
          <w:i/>
          <w:iCs/>
          <w:sz w:val="20"/>
          <w:szCs w:val="20"/>
        </w:rPr>
        <w:t>requirements</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Health and Safety</w:t>
      </w:r>
      <w:r>
        <w:rPr>
          <w:rFonts w:cs="Arial"/>
          <w:i/>
          <w:iCs/>
          <w:sz w:val="20"/>
          <w:szCs w:val="20"/>
        </w:rPr>
        <w:t xml:space="preserve"> - All employees of GMCA have a statutory duty of care for their own</w:t>
      </w:r>
      <w:r>
        <w:rPr>
          <w:rFonts w:cs="Arial"/>
          <w:i/>
          <w:iCs/>
          <w:spacing w:val="1"/>
          <w:sz w:val="20"/>
          <w:szCs w:val="20"/>
        </w:rPr>
        <w:t xml:space="preserve"> </w:t>
      </w:r>
      <w:r>
        <w:rPr>
          <w:rFonts w:cs="Arial"/>
          <w:i/>
          <w:iCs/>
          <w:sz w:val="20"/>
          <w:szCs w:val="20"/>
        </w:rPr>
        <w:t>personal</w:t>
      </w:r>
      <w:r>
        <w:rPr>
          <w:rFonts w:cs="Arial"/>
          <w:i/>
          <w:iCs/>
          <w:spacing w:val="-9"/>
          <w:sz w:val="20"/>
          <w:szCs w:val="20"/>
        </w:rPr>
        <w:t xml:space="preserve"> </w:t>
      </w:r>
      <w:r>
        <w:rPr>
          <w:rFonts w:cs="Arial"/>
          <w:i/>
          <w:iCs/>
          <w:sz w:val="20"/>
          <w:szCs w:val="20"/>
        </w:rPr>
        <w:t>safety</w:t>
      </w:r>
      <w:r>
        <w:rPr>
          <w:rFonts w:cs="Arial"/>
          <w:i/>
          <w:iCs/>
          <w:spacing w:val="-9"/>
          <w:sz w:val="20"/>
          <w:szCs w:val="20"/>
        </w:rPr>
        <w:t xml:space="preserve"> </w:t>
      </w:r>
      <w:r>
        <w:rPr>
          <w:rFonts w:cs="Arial"/>
          <w:i/>
          <w:iCs/>
          <w:sz w:val="20"/>
          <w:szCs w:val="20"/>
        </w:rPr>
        <w:t>and</w:t>
      </w:r>
      <w:r>
        <w:rPr>
          <w:rFonts w:cs="Arial"/>
          <w:i/>
          <w:iCs/>
          <w:spacing w:val="-8"/>
          <w:sz w:val="20"/>
          <w:szCs w:val="20"/>
        </w:rPr>
        <w:t xml:space="preserve"> </w:t>
      </w:r>
      <w:r>
        <w:rPr>
          <w:rFonts w:cs="Arial"/>
          <w:i/>
          <w:iCs/>
          <w:sz w:val="20"/>
          <w:szCs w:val="20"/>
        </w:rPr>
        <w:t>that</w:t>
      </w:r>
      <w:r>
        <w:rPr>
          <w:rFonts w:cs="Arial"/>
          <w:i/>
          <w:iCs/>
          <w:spacing w:val="-9"/>
          <w:sz w:val="20"/>
          <w:szCs w:val="20"/>
        </w:rPr>
        <w:t xml:space="preserve"> </w:t>
      </w:r>
      <w:r>
        <w:rPr>
          <w:rFonts w:cs="Arial"/>
          <w:i/>
          <w:iCs/>
          <w:sz w:val="20"/>
          <w:szCs w:val="20"/>
        </w:rPr>
        <w:t>of</w:t>
      </w:r>
      <w:r>
        <w:rPr>
          <w:rFonts w:cs="Arial"/>
          <w:i/>
          <w:iCs/>
          <w:spacing w:val="-3"/>
          <w:sz w:val="20"/>
          <w:szCs w:val="20"/>
        </w:rPr>
        <w:t xml:space="preserve"> </w:t>
      </w:r>
      <w:r>
        <w:rPr>
          <w:rFonts w:cs="Arial"/>
          <w:i/>
          <w:iCs/>
          <w:sz w:val="20"/>
          <w:szCs w:val="20"/>
        </w:rPr>
        <w:t>others</w:t>
      </w:r>
      <w:r>
        <w:rPr>
          <w:rFonts w:cs="Arial"/>
          <w:i/>
          <w:iCs/>
          <w:spacing w:val="-7"/>
          <w:sz w:val="20"/>
          <w:szCs w:val="20"/>
        </w:rPr>
        <w:t xml:space="preserve"> </w:t>
      </w:r>
      <w:r>
        <w:rPr>
          <w:rFonts w:cs="Arial"/>
          <w:i/>
          <w:iCs/>
          <w:sz w:val="20"/>
          <w:szCs w:val="20"/>
        </w:rPr>
        <w:t>who</w:t>
      </w:r>
      <w:r>
        <w:rPr>
          <w:rFonts w:cs="Arial"/>
          <w:i/>
          <w:iCs/>
          <w:spacing w:val="-7"/>
          <w:sz w:val="20"/>
          <w:szCs w:val="20"/>
        </w:rPr>
        <w:t xml:space="preserve"> </w:t>
      </w:r>
      <w:r>
        <w:rPr>
          <w:rFonts w:cs="Arial"/>
          <w:i/>
          <w:iCs/>
          <w:sz w:val="20"/>
          <w:szCs w:val="20"/>
        </w:rPr>
        <w:t>may</w:t>
      </w:r>
      <w:r>
        <w:rPr>
          <w:rFonts w:cs="Arial"/>
          <w:i/>
          <w:iCs/>
          <w:spacing w:val="-10"/>
          <w:sz w:val="20"/>
          <w:szCs w:val="20"/>
        </w:rPr>
        <w:t xml:space="preserve"> </w:t>
      </w:r>
      <w:r>
        <w:rPr>
          <w:rFonts w:cs="Arial"/>
          <w:i/>
          <w:iCs/>
          <w:sz w:val="20"/>
          <w:szCs w:val="20"/>
        </w:rPr>
        <w:t>be</w:t>
      </w:r>
      <w:r>
        <w:rPr>
          <w:rFonts w:cs="Arial"/>
          <w:i/>
          <w:iCs/>
          <w:spacing w:val="-8"/>
          <w:sz w:val="20"/>
          <w:szCs w:val="20"/>
        </w:rPr>
        <w:t xml:space="preserve"> </w:t>
      </w:r>
      <w:r>
        <w:rPr>
          <w:rFonts w:cs="Arial"/>
          <w:i/>
          <w:iCs/>
          <w:sz w:val="20"/>
          <w:szCs w:val="20"/>
        </w:rPr>
        <w:t>affected</w:t>
      </w:r>
      <w:r>
        <w:rPr>
          <w:rFonts w:cs="Arial"/>
          <w:i/>
          <w:iCs/>
          <w:spacing w:val="-7"/>
          <w:sz w:val="20"/>
          <w:szCs w:val="20"/>
        </w:rPr>
        <w:t xml:space="preserve"> </w:t>
      </w:r>
      <w:r>
        <w:rPr>
          <w:rFonts w:cs="Arial"/>
          <w:i/>
          <w:iCs/>
          <w:sz w:val="20"/>
          <w:szCs w:val="20"/>
        </w:rPr>
        <w:t>by</w:t>
      </w:r>
      <w:r>
        <w:rPr>
          <w:rFonts w:cs="Arial"/>
          <w:i/>
          <w:iCs/>
          <w:spacing w:val="-10"/>
          <w:sz w:val="20"/>
          <w:szCs w:val="20"/>
        </w:rPr>
        <w:t xml:space="preserve"> </w:t>
      </w:r>
      <w:r>
        <w:rPr>
          <w:rFonts w:cs="Arial"/>
          <w:i/>
          <w:iCs/>
          <w:sz w:val="20"/>
          <w:szCs w:val="20"/>
        </w:rPr>
        <w:t>their</w:t>
      </w:r>
      <w:r>
        <w:rPr>
          <w:rFonts w:cs="Arial"/>
          <w:i/>
          <w:iCs/>
          <w:spacing w:val="-6"/>
          <w:sz w:val="20"/>
          <w:szCs w:val="20"/>
        </w:rPr>
        <w:t xml:space="preserve"> </w:t>
      </w:r>
      <w:r>
        <w:rPr>
          <w:rFonts w:cs="Arial"/>
          <w:i/>
          <w:iCs/>
          <w:sz w:val="20"/>
          <w:szCs w:val="20"/>
        </w:rPr>
        <w:t>acts</w:t>
      </w:r>
      <w:r>
        <w:rPr>
          <w:rFonts w:cs="Arial"/>
          <w:i/>
          <w:iCs/>
          <w:spacing w:val="-7"/>
          <w:sz w:val="20"/>
          <w:szCs w:val="20"/>
        </w:rPr>
        <w:t xml:space="preserve"> </w:t>
      </w:r>
      <w:r>
        <w:rPr>
          <w:rFonts w:cs="Arial"/>
          <w:i/>
          <w:iCs/>
          <w:sz w:val="20"/>
          <w:szCs w:val="20"/>
        </w:rPr>
        <w:t>or</w:t>
      </w:r>
      <w:r>
        <w:rPr>
          <w:rFonts w:cs="Arial"/>
          <w:i/>
          <w:iCs/>
          <w:spacing w:val="-6"/>
          <w:sz w:val="20"/>
          <w:szCs w:val="20"/>
        </w:rPr>
        <w:t xml:space="preserve"> </w:t>
      </w:r>
      <w:r>
        <w:rPr>
          <w:rFonts w:cs="Arial"/>
          <w:i/>
          <w:iCs/>
          <w:sz w:val="20"/>
          <w:szCs w:val="20"/>
        </w:rPr>
        <w:t>omissions.</w:t>
      </w:r>
      <w:r>
        <w:rPr>
          <w:rFonts w:cs="Arial"/>
          <w:i/>
          <w:iCs/>
          <w:spacing w:val="-5"/>
          <w:sz w:val="20"/>
          <w:szCs w:val="20"/>
        </w:rPr>
        <w:t xml:space="preserve"> </w:t>
      </w:r>
      <w:r>
        <w:rPr>
          <w:rFonts w:cs="Arial"/>
          <w:i/>
          <w:iCs/>
          <w:sz w:val="20"/>
          <w:szCs w:val="20"/>
        </w:rPr>
        <w:t>Employees</w:t>
      </w:r>
      <w:r>
        <w:rPr>
          <w:rFonts w:cs="Arial"/>
          <w:i/>
          <w:iCs/>
          <w:spacing w:val="-59"/>
          <w:sz w:val="20"/>
          <w:szCs w:val="20"/>
        </w:rPr>
        <w:t xml:space="preserve"> </w:t>
      </w:r>
      <w:r>
        <w:rPr>
          <w:rFonts w:cs="Arial"/>
          <w:i/>
          <w:iCs/>
          <w:sz w:val="20"/>
          <w:szCs w:val="20"/>
        </w:rPr>
        <w:t>are required to co-operate with management to enable GMCA to meet its own legal duties</w:t>
      </w:r>
      <w:r>
        <w:rPr>
          <w:rFonts w:cs="Arial"/>
          <w:i/>
          <w:iCs/>
          <w:spacing w:val="1"/>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to</w:t>
      </w:r>
      <w:r>
        <w:rPr>
          <w:rFonts w:cs="Arial"/>
          <w:i/>
          <w:iCs/>
          <w:spacing w:val="-5"/>
          <w:sz w:val="20"/>
          <w:szCs w:val="20"/>
        </w:rPr>
        <w:t xml:space="preserve"> </w:t>
      </w:r>
      <w:r>
        <w:rPr>
          <w:rFonts w:cs="Arial"/>
          <w:i/>
          <w:iCs/>
          <w:sz w:val="20"/>
          <w:szCs w:val="20"/>
        </w:rPr>
        <w:t>report</w:t>
      </w:r>
      <w:r>
        <w:rPr>
          <w:rFonts w:cs="Arial"/>
          <w:i/>
          <w:iCs/>
          <w:spacing w:val="-4"/>
          <w:sz w:val="20"/>
          <w:szCs w:val="20"/>
        </w:rPr>
        <w:t xml:space="preserve"> </w:t>
      </w:r>
      <w:r>
        <w:rPr>
          <w:rFonts w:cs="Arial"/>
          <w:i/>
          <w:iCs/>
          <w:sz w:val="20"/>
          <w:szCs w:val="20"/>
        </w:rPr>
        <w:t>any</w:t>
      </w:r>
      <w:r>
        <w:rPr>
          <w:rFonts w:cs="Arial"/>
          <w:i/>
          <w:iCs/>
          <w:spacing w:val="-8"/>
          <w:sz w:val="20"/>
          <w:szCs w:val="20"/>
        </w:rPr>
        <w:t xml:space="preserve"> </w:t>
      </w:r>
      <w:r>
        <w:rPr>
          <w:rFonts w:cs="Arial"/>
          <w:i/>
          <w:iCs/>
          <w:sz w:val="20"/>
          <w:szCs w:val="20"/>
        </w:rPr>
        <w:t>circumstances</w:t>
      </w:r>
      <w:r>
        <w:rPr>
          <w:rFonts w:cs="Arial"/>
          <w:i/>
          <w:iCs/>
          <w:spacing w:val="-7"/>
          <w:sz w:val="20"/>
          <w:szCs w:val="20"/>
        </w:rPr>
        <w:t xml:space="preserve"> </w:t>
      </w:r>
      <w:r>
        <w:rPr>
          <w:rFonts w:cs="Arial"/>
          <w:i/>
          <w:iCs/>
          <w:sz w:val="20"/>
          <w:szCs w:val="20"/>
        </w:rPr>
        <w:t>that</w:t>
      </w:r>
      <w:r>
        <w:rPr>
          <w:rFonts w:cs="Arial"/>
          <w:i/>
          <w:iCs/>
          <w:spacing w:val="-5"/>
          <w:sz w:val="20"/>
          <w:szCs w:val="20"/>
        </w:rPr>
        <w:t xml:space="preserve"> </w:t>
      </w:r>
      <w:r>
        <w:rPr>
          <w:rFonts w:cs="Arial"/>
          <w:i/>
          <w:iCs/>
          <w:sz w:val="20"/>
          <w:szCs w:val="20"/>
        </w:rPr>
        <w:t>may</w:t>
      </w:r>
      <w:r>
        <w:rPr>
          <w:rFonts w:cs="Arial"/>
          <w:i/>
          <w:iCs/>
          <w:spacing w:val="-8"/>
          <w:sz w:val="20"/>
          <w:szCs w:val="20"/>
        </w:rPr>
        <w:t xml:space="preserve"> </w:t>
      </w:r>
      <w:r>
        <w:rPr>
          <w:rFonts w:cs="Arial"/>
          <w:i/>
          <w:iCs/>
          <w:sz w:val="20"/>
          <w:szCs w:val="20"/>
        </w:rPr>
        <w:t>compromise</w:t>
      </w:r>
      <w:r>
        <w:rPr>
          <w:rFonts w:cs="Arial"/>
          <w:i/>
          <w:iCs/>
          <w:spacing w:val="-4"/>
          <w:sz w:val="20"/>
          <w:szCs w:val="20"/>
        </w:rPr>
        <w:t xml:space="preserve"> </w:t>
      </w:r>
      <w:r>
        <w:rPr>
          <w:rFonts w:cs="Arial"/>
          <w:i/>
          <w:iCs/>
          <w:sz w:val="20"/>
          <w:szCs w:val="20"/>
        </w:rPr>
        <w:t>the</w:t>
      </w:r>
      <w:r>
        <w:rPr>
          <w:rFonts w:cs="Arial"/>
          <w:i/>
          <w:iCs/>
          <w:spacing w:val="-6"/>
          <w:sz w:val="20"/>
          <w:szCs w:val="20"/>
        </w:rPr>
        <w:t xml:space="preserve"> </w:t>
      </w:r>
      <w:r>
        <w:rPr>
          <w:rFonts w:cs="Arial"/>
          <w:i/>
          <w:iCs/>
          <w:sz w:val="20"/>
          <w:szCs w:val="20"/>
        </w:rPr>
        <w:t>health,</w:t>
      </w:r>
      <w:r>
        <w:rPr>
          <w:rFonts w:cs="Arial"/>
          <w:i/>
          <w:iCs/>
          <w:spacing w:val="-4"/>
          <w:sz w:val="20"/>
          <w:szCs w:val="20"/>
        </w:rPr>
        <w:t xml:space="preserve"> </w:t>
      </w:r>
      <w:r>
        <w:rPr>
          <w:rFonts w:cs="Arial"/>
          <w:i/>
          <w:iCs/>
          <w:sz w:val="20"/>
          <w:szCs w:val="20"/>
        </w:rPr>
        <w:t>safety</w:t>
      </w:r>
      <w:r>
        <w:rPr>
          <w:rFonts w:cs="Arial"/>
          <w:i/>
          <w:iCs/>
          <w:spacing w:val="-7"/>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welfare</w:t>
      </w:r>
      <w:r>
        <w:rPr>
          <w:rFonts w:cs="Arial"/>
          <w:i/>
          <w:iCs/>
          <w:spacing w:val="-4"/>
          <w:sz w:val="20"/>
          <w:szCs w:val="20"/>
        </w:rPr>
        <w:t xml:space="preserve"> </w:t>
      </w:r>
      <w:r>
        <w:rPr>
          <w:rFonts w:cs="Arial"/>
          <w:i/>
          <w:iCs/>
          <w:sz w:val="20"/>
          <w:szCs w:val="20"/>
        </w:rPr>
        <w:t>of</w:t>
      </w:r>
      <w:r>
        <w:rPr>
          <w:rFonts w:cs="Arial"/>
          <w:i/>
          <w:iCs/>
          <w:spacing w:val="-4"/>
          <w:sz w:val="20"/>
          <w:szCs w:val="20"/>
        </w:rPr>
        <w:t xml:space="preserve"> </w:t>
      </w:r>
      <w:r>
        <w:rPr>
          <w:rFonts w:cs="Arial"/>
          <w:i/>
          <w:iCs/>
          <w:sz w:val="20"/>
          <w:szCs w:val="20"/>
        </w:rPr>
        <w:t>those</w:t>
      </w:r>
      <w:r>
        <w:rPr>
          <w:rFonts w:cs="Arial"/>
          <w:i/>
          <w:iCs/>
          <w:spacing w:val="-59"/>
          <w:sz w:val="20"/>
          <w:szCs w:val="20"/>
        </w:rPr>
        <w:t xml:space="preserve"> </w:t>
      </w:r>
      <w:r>
        <w:rPr>
          <w:rFonts w:cs="Arial"/>
          <w:i/>
          <w:iCs/>
          <w:sz w:val="20"/>
          <w:szCs w:val="20"/>
        </w:rPr>
        <w:t>affected by</w:t>
      </w:r>
      <w:r>
        <w:rPr>
          <w:rFonts w:cs="Arial"/>
          <w:i/>
          <w:iCs/>
          <w:spacing w:val="-4"/>
          <w:sz w:val="20"/>
          <w:szCs w:val="20"/>
        </w:rPr>
        <w:t xml:space="preserve"> </w:t>
      </w:r>
      <w:r>
        <w:rPr>
          <w:rFonts w:cs="Arial"/>
          <w:i/>
          <w:iCs/>
          <w:sz w:val="20"/>
          <w:szCs w:val="20"/>
        </w:rPr>
        <w:t>the Service’s</w:t>
      </w:r>
      <w:r>
        <w:rPr>
          <w:rFonts w:cs="Arial"/>
          <w:i/>
          <w:iCs/>
          <w:spacing w:val="2"/>
          <w:sz w:val="20"/>
          <w:szCs w:val="20"/>
        </w:rPr>
        <w:t xml:space="preserve"> </w:t>
      </w:r>
      <w:r>
        <w:rPr>
          <w:rFonts w:cs="Arial"/>
          <w:i/>
          <w:iCs/>
          <w:sz w:val="20"/>
          <w:szCs w:val="20"/>
        </w:rPr>
        <w:t>undertakings.</w:t>
      </w:r>
    </w:p>
    <w:p>
      <w:pPr>
        <w:pStyle w:val="Normal"/>
        <w:rPr/>
      </w:pPr>
      <w:r>
        <w:rPr>
          <w:rFonts w:cs="Arial"/>
          <w:b/>
          <w:bCs/>
          <w:i/>
          <w:iCs/>
          <w:sz w:val="20"/>
          <w:szCs w:val="20"/>
        </w:rPr>
        <w:t>Service Policies</w:t>
      </w:r>
      <w:r>
        <w:rPr>
          <w:rFonts w:cs="Arial"/>
          <w:i/>
          <w:iCs/>
          <w:sz w:val="20"/>
          <w:szCs w:val="20"/>
        </w:rPr>
        <w:t xml:space="preserve"> - All GMCA employees must observe and adhere to the provisions outlined</w:t>
      </w:r>
      <w:r>
        <w:rPr>
          <w:rFonts w:cs="Arial"/>
          <w:i/>
          <w:iCs/>
          <w:spacing w:val="-59"/>
          <w:sz w:val="20"/>
          <w:szCs w:val="20"/>
        </w:rPr>
        <w:t xml:space="preserve"> </w:t>
      </w:r>
      <w:r>
        <w:rPr>
          <w:rFonts w:cs="Arial"/>
          <w:i/>
          <w:iCs/>
          <w:sz w:val="20"/>
          <w:szCs w:val="20"/>
        </w:rPr>
        <w:t>in</w:t>
      </w:r>
      <w:r>
        <w:rPr>
          <w:rFonts w:cs="Arial"/>
          <w:i/>
          <w:iCs/>
          <w:spacing w:val="-1"/>
          <w:sz w:val="20"/>
          <w:szCs w:val="20"/>
        </w:rPr>
        <w:t xml:space="preserve"> </w:t>
      </w:r>
      <w:r>
        <w:rPr>
          <w:rFonts w:cs="Arial"/>
          <w:i/>
          <w:iCs/>
          <w:sz w:val="20"/>
          <w:szCs w:val="20"/>
        </w:rPr>
        <w:t>these policies.</w:t>
      </w:r>
    </w:p>
    <w:p>
      <w:pPr>
        <w:pStyle w:val="Normal"/>
        <w:widowControl w:val="false"/>
        <w:bidi w:val="0"/>
        <w:spacing w:lineRule="auto" w:line="360" w:before="0" w:after="240"/>
        <w:jc w:val="left"/>
        <w:rPr/>
      </w:pPr>
      <w:r>
        <w:rPr>
          <w:rFonts w:cs="Arial"/>
          <w:b/>
          <w:bCs/>
          <w:i/>
          <w:iCs/>
          <w:sz w:val="20"/>
          <w:szCs w:val="20"/>
        </w:rPr>
        <w:t>Equal Opportunities</w:t>
      </w:r>
      <w:r>
        <w:rPr>
          <w:rFonts w:cs="Arial"/>
          <w:i/>
          <w:iCs/>
          <w:sz w:val="20"/>
          <w:szCs w:val="20"/>
        </w:rPr>
        <w:t xml:space="preserve"> - GMCA provides a range of services and employment</w:t>
      </w:r>
      <w:r>
        <w:rPr>
          <w:rFonts w:cs="Arial"/>
          <w:i/>
          <w:iCs/>
          <w:spacing w:val="1"/>
          <w:sz w:val="20"/>
          <w:szCs w:val="20"/>
        </w:rPr>
        <w:t xml:space="preserve"> </w:t>
      </w:r>
      <w:r>
        <w:rPr>
          <w:rFonts w:cs="Arial"/>
          <w:i/>
          <w:iCs/>
          <w:sz w:val="20"/>
          <w:szCs w:val="20"/>
        </w:rPr>
        <w:t xml:space="preserve">opportunities for a diverse population. As a GMCA employee you are expected to treat all </w:t>
      </w:r>
      <w:r>
        <w:rPr>
          <w:rFonts w:cs="Arial"/>
          <w:i/>
          <w:iCs/>
          <w:spacing w:val="-59"/>
          <w:sz w:val="20"/>
          <w:szCs w:val="20"/>
        </w:rPr>
        <w:t xml:space="preserve"> </w:t>
      </w:r>
      <w:r>
        <w:rPr>
          <w:rFonts w:cs="Arial"/>
          <w:i/>
          <w:iCs/>
          <w:sz w:val="20"/>
          <w:szCs w:val="20"/>
        </w:rPr>
        <w:t>employees / partners / members of the public and work colleagues with dignity and</w:t>
      </w:r>
      <w:r>
        <w:rPr>
          <w:rFonts w:cs="Arial"/>
          <w:i/>
          <w:iCs/>
          <w:spacing w:val="1"/>
          <w:sz w:val="20"/>
          <w:szCs w:val="20"/>
        </w:rPr>
        <w:t xml:space="preserve"> </w:t>
      </w:r>
      <w:r>
        <w:rPr>
          <w:rFonts w:cs="Arial"/>
          <w:i/>
          <w:iCs/>
          <w:sz w:val="20"/>
          <w:szCs w:val="20"/>
        </w:rPr>
        <w:t>respect</w:t>
      </w:r>
      <w:r>
        <w:rPr>
          <w:rFonts w:cs="Arial"/>
          <w:i/>
          <w:iCs/>
          <w:spacing w:val="-2"/>
          <w:sz w:val="20"/>
          <w:szCs w:val="20"/>
        </w:rPr>
        <w:t xml:space="preserve"> </w:t>
      </w:r>
      <w:r>
        <w:rPr>
          <w:rFonts w:cs="Arial"/>
          <w:i/>
          <w:iCs/>
          <w:sz w:val="20"/>
          <w:szCs w:val="20"/>
        </w:rPr>
        <w:t>irrespective</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their</w:t>
      </w:r>
      <w:r>
        <w:rPr>
          <w:rFonts w:cs="Arial"/>
          <w:i/>
          <w:iCs/>
          <w:spacing w:val="2"/>
          <w:sz w:val="20"/>
          <w:szCs w:val="20"/>
        </w:rPr>
        <w:t xml:space="preserve"> </w:t>
      </w:r>
      <w:r>
        <w:rPr>
          <w:rFonts w:cs="Arial"/>
          <w:i/>
          <w:iCs/>
          <w:sz w:val="20"/>
          <w:szCs w:val="20"/>
        </w:rPr>
        <w:t>background.</w:t>
      </w:r>
    </w:p>
    <w:sectPr>
      <w:headerReference w:type="default" r:id="rId2"/>
      <w:headerReference w:type="first" r:id="rId3"/>
      <w:type w:val="nextPage"/>
      <w:pgSz w:w="11906" w:h="16850"/>
      <w:pgMar w:left="720" w:right="720" w:header="709" w:top="766" w:footer="0" w:bottom="720"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Arial">
    <w:charset w:val="01"/>
    <w:family w:val="swiss"/>
    <w:pitch w:val="variable"/>
  </w:font>
  <w:font w:name="Calibri">
    <w:charset w:val="00"/>
    <w:family w:val="roman"/>
    <w:pitch w:val="variable"/>
  </w:font>
  <w:font w:name="Liberation Sans">
    <w:altName w:val="Arial"/>
    <w:charset w:val="00"/>
    <w:family w:val="swiss"/>
    <w:pitch w:val="variable"/>
  </w:font>
  <w:font w:name="Cambria Math">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drawing>
        <wp:anchor behindDoc="1" distT="0" distB="0" distL="0" distR="0" simplePos="0" locked="0" layoutInCell="1" allowOverlap="1" relativeHeight="2">
          <wp:simplePos x="0" y="0"/>
          <wp:positionH relativeFrom="column">
            <wp:posOffset>4718050</wp:posOffset>
          </wp:positionH>
          <wp:positionV relativeFrom="paragraph">
            <wp:posOffset>-343535</wp:posOffset>
          </wp:positionV>
          <wp:extent cx="2190115" cy="68643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highlight w:val="white"/>
        <w:szCs w:val="24"/>
        <w:rFonts w:cs="Symbol"/>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highlight w:val="white"/>
        <w:szCs w:val="24"/>
        <w:rFonts w:cs="Symbol"/>
        <w:color w:val="auto"/>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highlight w:val="white"/>
        <w:szCs w:val="24"/>
        <w:rFonts w:cs="Symbol"/>
        <w:color w:val="auto"/>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Arial" w:hAnsi="Arial" w:cs="Arial" w:hint="default"/>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9">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0">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1">
    <w:lvl w:ilvl="0">
      <w:start w:val="1"/>
      <w:numFmt w:val="bullet"/>
      <w:lvlText w:val=""/>
      <w:lvlJc w:val="left"/>
      <w:pPr>
        <w:ind w:left="720" w:hanging="360"/>
      </w:pPr>
      <w:rPr>
        <w:rFonts w:ascii="Symbol" w:hAnsi="Symbol" w:cs="Symbol" w:hint="default"/>
        <w:szCs w:val="24"/>
        <w:rFonts w:cs="Symbol"/>
        <w:color w:val="auto"/>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bullet"/>
      <w:lvlText w:val=""/>
      <w:lvlJc w:val="left"/>
      <w:pPr>
        <w:ind w:left="720" w:hanging="360"/>
      </w:pPr>
      <w:rPr>
        <w:rFonts w:ascii="Symbol" w:hAnsi="Symbol" w:cs="Symbol" w:hint="default"/>
        <w:rFonts w:cs="Symbo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4">
    <w:lvl w:ilvl="0">
      <w:start w:val="1"/>
      <w:numFmt w:val="bullet"/>
      <w:lvlText w:val=""/>
      <w:lvlJc w:val="left"/>
      <w:pPr>
        <w:ind w:left="555" w:hanging="360"/>
      </w:pPr>
      <w:rPr>
        <w:rFonts w:ascii="Symbol" w:hAnsi="Symbol" w:cs="Symbol" w:hint="default"/>
        <w:sz w:val="24"/>
        <w:szCs w:val="24"/>
        <w:rFonts w:cs="Symbol"/>
        <w:color w:val="auto"/>
      </w:rPr>
    </w:lvl>
    <w:lvl w:ilvl="1">
      <w:start w:val="1"/>
      <w:numFmt w:val="bullet"/>
      <w:lvlText w:val="o"/>
      <w:lvlJc w:val="left"/>
      <w:pPr>
        <w:ind w:left="1275" w:hanging="360"/>
      </w:pPr>
      <w:rPr>
        <w:rFonts w:ascii="Courier New" w:hAnsi="Courier New" w:cs="Courier New" w:hint="default"/>
        <w:rFonts w:cs="Courier New"/>
      </w:rPr>
    </w:lvl>
    <w:lvl w:ilvl="2">
      <w:start w:val="1"/>
      <w:numFmt w:val="bullet"/>
      <w:lvlText w:val=""/>
      <w:lvlJc w:val="left"/>
      <w:pPr>
        <w:ind w:left="1995" w:hanging="360"/>
      </w:pPr>
      <w:rPr>
        <w:rFonts w:ascii="Wingdings" w:hAnsi="Wingdings" w:cs="Wingdings" w:hint="default"/>
        <w:rFonts w:cs="Wingdings"/>
      </w:rPr>
    </w:lvl>
    <w:lvl w:ilvl="3">
      <w:start w:val="1"/>
      <w:numFmt w:val="bullet"/>
      <w:lvlText w:val=""/>
      <w:lvlJc w:val="left"/>
      <w:pPr>
        <w:ind w:left="2715" w:hanging="360"/>
      </w:pPr>
      <w:rPr>
        <w:rFonts w:ascii="Symbol" w:hAnsi="Symbol" w:cs="Symbol" w:hint="default"/>
        <w:sz w:val="24"/>
        <w:szCs w:val="24"/>
        <w:rFonts w:cs="Symbol"/>
        <w:color w:val="auto"/>
      </w:rPr>
    </w:lvl>
    <w:lvl w:ilvl="4">
      <w:start w:val="1"/>
      <w:numFmt w:val="bullet"/>
      <w:lvlText w:val="o"/>
      <w:lvlJc w:val="left"/>
      <w:pPr>
        <w:ind w:left="3435" w:hanging="360"/>
      </w:pPr>
      <w:rPr>
        <w:rFonts w:ascii="Courier New" w:hAnsi="Courier New" w:cs="Courier New" w:hint="default"/>
        <w:rFonts w:cs="Courier New"/>
      </w:rPr>
    </w:lvl>
    <w:lvl w:ilvl="5">
      <w:start w:val="1"/>
      <w:numFmt w:val="bullet"/>
      <w:lvlText w:val=""/>
      <w:lvlJc w:val="left"/>
      <w:pPr>
        <w:ind w:left="4155" w:hanging="360"/>
      </w:pPr>
      <w:rPr>
        <w:rFonts w:ascii="Wingdings" w:hAnsi="Wingdings" w:cs="Wingdings" w:hint="default"/>
        <w:rFonts w:cs="Wingdings"/>
      </w:rPr>
    </w:lvl>
    <w:lvl w:ilvl="6">
      <w:start w:val="1"/>
      <w:numFmt w:val="bullet"/>
      <w:lvlText w:val=""/>
      <w:lvlJc w:val="left"/>
      <w:pPr>
        <w:ind w:left="4875" w:hanging="360"/>
      </w:pPr>
      <w:rPr>
        <w:rFonts w:ascii="Symbol" w:hAnsi="Symbol" w:cs="Symbol" w:hint="default"/>
        <w:sz w:val="24"/>
        <w:szCs w:val="24"/>
        <w:rFonts w:cs="Symbol"/>
        <w:color w:val="auto"/>
      </w:rPr>
    </w:lvl>
    <w:lvl w:ilvl="7">
      <w:start w:val="1"/>
      <w:numFmt w:val="bullet"/>
      <w:lvlText w:val="o"/>
      <w:lvlJc w:val="left"/>
      <w:pPr>
        <w:ind w:left="5595" w:hanging="360"/>
      </w:pPr>
      <w:rPr>
        <w:rFonts w:ascii="Courier New" w:hAnsi="Courier New" w:cs="Courier New" w:hint="default"/>
        <w:rFonts w:cs="Courier New"/>
      </w:rPr>
    </w:lvl>
    <w:lvl w:ilvl="8">
      <w:start w:val="1"/>
      <w:numFmt w:val="bullet"/>
      <w:lvlText w:val=""/>
      <w:lvlJc w:val="left"/>
      <w:pPr>
        <w:ind w:left="6315" w:hanging="360"/>
      </w:pPr>
      <w:rPr>
        <w:rFonts w:ascii="Wingdings" w:hAnsi="Wingdings" w:cs="Wingdings" w:hint="default"/>
        <w:rFonts w:cs="Wingdings"/>
      </w:rPr>
    </w:lvl>
  </w:abstractNum>
  <w:abstractNum w:abstractNumId="15">
    <w:lvl w:ilvl="0">
      <w:start w:val="1"/>
      <w:numFmt w:val="bullet"/>
      <w:lvlText w:val=""/>
      <w:lvlJc w:val="left"/>
      <w:pPr>
        <w:ind w:left="720" w:hanging="360"/>
      </w:pPr>
      <w:rPr>
        <w:rFonts w:ascii="Symbol" w:hAnsi="Symbol" w:cs="Symbol" w:hint="default"/>
        <w:rFonts w:cs="Symbo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7">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8">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9">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20">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color w:val="auto"/>
      <w:szCs w:val="24"/>
      <w:highlight w:val="white"/>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Arial" w:hAnsi="Arial" w:cs="Aria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Symbol" w:hAnsi="Symbol" w:cs="Symbol"/>
      <w:szCs w:val="24"/>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color w:val="auto"/>
      <w:szCs w:val="24"/>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Symbol" w:hAnsi="Symbol" w:cs="Symbol"/>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Symbol" w:hAnsi="Symbol" w:cs="Symbol"/>
      <w:color w:val="auto"/>
      <w:sz w:val="24"/>
      <w:szCs w:val="24"/>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rFonts w:ascii="Symbol" w:hAnsi="Symbol" w:cs="Symbol"/>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Symbol" w:hAnsi="Symbol" w:cs="Symbol"/>
      <w:sz w:val="20"/>
    </w:rPr>
  </w:style>
  <w:style w:type="character" w:styleId="WW8Num15z1">
    <w:name w:val="WW8Num15z1"/>
    <w:qFormat/>
    <w:rPr>
      <w:rFonts w:ascii="Courier New" w:hAnsi="Courier New" w:cs="Courier New"/>
      <w:sz w:val="20"/>
    </w:rPr>
  </w:style>
  <w:style w:type="character" w:styleId="WW8Num15z2">
    <w:name w:val="WW8Num15z2"/>
    <w:qFormat/>
    <w:rPr>
      <w:rFonts w:ascii="Wingdings" w:hAnsi="Wingdings" w:cs="Wingdings"/>
      <w:sz w:val="20"/>
    </w:rPr>
  </w:style>
  <w:style w:type="character" w:styleId="WW8Num16z0">
    <w:name w:val="WW8Num16z0"/>
    <w:qFormat/>
    <w:rPr>
      <w:rFonts w:ascii="Symbol" w:hAnsi="Symbol" w:cs="Symbol"/>
      <w:sz w:val="20"/>
    </w:rPr>
  </w:style>
  <w:style w:type="character" w:styleId="WW8Num16z1">
    <w:name w:val="WW8Num16z1"/>
    <w:qFormat/>
    <w:rPr>
      <w:rFonts w:ascii="Courier New" w:hAnsi="Courier New" w:cs="Courier New"/>
      <w:sz w:val="20"/>
    </w:rPr>
  </w:style>
  <w:style w:type="character" w:styleId="WW8Num16z2">
    <w:name w:val="WW8Num16z2"/>
    <w:qFormat/>
    <w:rPr>
      <w:rFonts w:ascii="Wingdings" w:hAnsi="Wingdings" w:cs="Wingdings"/>
      <w:sz w:val="20"/>
    </w:rPr>
  </w:style>
  <w:style w:type="character" w:styleId="WW8Num17z0">
    <w:name w:val="WW8Num17z0"/>
    <w:qFormat/>
    <w:rPr>
      <w:rFonts w:ascii="Symbol" w:hAnsi="Symbol" w:cs="Symbol"/>
      <w:sz w:val="20"/>
    </w:rPr>
  </w:style>
  <w:style w:type="character" w:styleId="WW8Num17z1">
    <w:name w:val="WW8Num17z1"/>
    <w:qFormat/>
    <w:rPr>
      <w:rFonts w:ascii="Courier New" w:hAnsi="Courier New" w:cs="Courier New"/>
      <w:sz w:val="20"/>
    </w:rPr>
  </w:style>
  <w:style w:type="character" w:styleId="WW8Num17z2">
    <w:name w:val="WW8Num17z2"/>
    <w:qFormat/>
    <w:rPr>
      <w:rFonts w:ascii="Wingdings" w:hAnsi="Wingdings" w:cs="Wingdings"/>
      <w:sz w:val="20"/>
    </w:rPr>
  </w:style>
  <w:style w:type="character" w:styleId="WW8Num18z0">
    <w:name w:val="WW8Num18z0"/>
    <w:qFormat/>
    <w:rPr>
      <w:rFonts w:ascii="Symbol" w:hAnsi="Symbol" w:cs="Symbol"/>
      <w:sz w:val="20"/>
    </w:rPr>
  </w:style>
  <w:style w:type="character" w:styleId="WW8Num18z1">
    <w:name w:val="WW8Num18z1"/>
    <w:qFormat/>
    <w:rPr>
      <w:rFonts w:ascii="Courier New" w:hAnsi="Courier New" w:cs="Courier New"/>
      <w:sz w:val="20"/>
    </w:rPr>
  </w:style>
  <w:style w:type="character" w:styleId="WW8Num18z2">
    <w:name w:val="WW8Num18z2"/>
    <w:qFormat/>
    <w:rPr>
      <w:rFonts w:ascii="Wingdings" w:hAnsi="Wingdings" w:cs="Wingdings"/>
      <w:sz w:val="20"/>
    </w:rPr>
  </w:style>
  <w:style w:type="character" w:styleId="WW8Num19z0">
    <w:name w:val="WW8Num19z0"/>
    <w:qFormat/>
    <w:rPr>
      <w:rFonts w:ascii="Symbol" w:hAnsi="Symbol" w:cs="Symbol"/>
      <w:sz w:val="20"/>
    </w:rPr>
  </w:style>
  <w:style w:type="character" w:styleId="WW8Num19z1">
    <w:name w:val="WW8Num19z1"/>
    <w:qFormat/>
    <w:rPr>
      <w:rFonts w:ascii="Courier New" w:hAnsi="Courier New" w:cs="Courier New"/>
      <w:sz w:val="20"/>
    </w:rPr>
  </w:style>
  <w:style w:type="character" w:styleId="WW8Num19z2">
    <w:name w:val="WW8Num19z2"/>
    <w:qFormat/>
    <w:rPr>
      <w:rFonts w:ascii="Wingdings" w:hAnsi="Wingdings" w:cs="Wingdings"/>
      <w:sz w:val="20"/>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character" w:styleId="Normaltextrun">
    <w:name w:val="normaltextrun"/>
    <w:basedOn w:val="DefaultParagraphFont"/>
    <w:qFormat/>
    <w:rPr/>
  </w:style>
  <w:style w:type="character" w:styleId="Eop">
    <w:name w:val="eop"/>
    <w:basedOn w:val="DefaultParagraphFont"/>
    <w:qFormat/>
    <w:rPr/>
  </w:style>
  <w:style w:type="character" w:styleId="ListParagraphChar">
    <w:name w:val="List Paragraph Char"/>
    <w:basedOn w:val="DefaultParagraphFont"/>
    <w:qFormat/>
    <w:rPr>
      <w:rFonts w:ascii="Arial" w:hAnsi="Arial" w:eastAsia="Calibri" w:cs="Calibri"/>
      <w:color w:val="262626"/>
      <w:sz w:val="24"/>
      <w:lang w:val="en-GB"/>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ind w:left="993" w:right="0" w:hanging="633"/>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paragraph" w:styleId="Style11">
    <w:name w:val="Style1"/>
    <w:basedOn w:val="Normal"/>
    <w:qFormat/>
    <w:pPr>
      <w:widowControl/>
      <w:spacing w:lineRule="auto" w:line="240" w:before="80" w:after="120"/>
    </w:pPr>
    <w:rPr>
      <w:rFonts w:eastAsia="Times New Roman" w:cs="Times New Roman"/>
      <w:color w:val="000000"/>
      <w:sz w:val="20"/>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2026-07-14T09:03:00Z</dcterms:created>
  <dc:creator>Caddy-Dale, Anna (Manchester Growth Company)</dc:creator>
  <dc:description/>
  <dc:language>en-US</dc:language>
  <cp:lastModifiedBy>Bookless, Sean</cp:lastModifiedBy>
  <cp:lastPrinted>1995-11-21T17:41:00Z</cp:lastPrinted>
  <dcterms:modified xsi:type="dcterms:W3CDTF">2026-07-14T09:03:00Z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0x010100BAD9EDC4B33AFF4A9E4BC355B6DA48C1</vt:lpwstr>
  </property>
  <property fmtid="{D5CDD505-2E9C-101B-9397-08002B2CF9AE}" pid="4" name="Created">
    <vt:filetime>2018-12-06T00:00:00Z</vt:filetime>
  </property>
  <property fmtid="{D5CDD505-2E9C-101B-9397-08002B2CF9AE}" pid="5" name="Creator">
    <vt:lpwstr>Microsoft® Word 2016</vt:lpwstr>
  </property>
  <property fmtid="{D5CDD505-2E9C-101B-9397-08002B2CF9AE}" pid="6" name="DocSecurity">
    <vt:i4>2</vt:i4>
  </property>
  <property fmtid="{D5CDD505-2E9C-101B-9397-08002B2CF9AE}" pid="7" name="HyperlinksChanged">
    <vt:bool>0</vt:bool>
  </property>
  <property fmtid="{D5CDD505-2E9C-101B-9397-08002B2CF9AE}" pid="8" name="LastSaved">
    <vt:filetime>2021-02-17T00:00:00Z</vt:filetime>
  </property>
  <property fmtid="{D5CDD505-2E9C-101B-9397-08002B2CF9AE}" pid="9" name="LinksUpToDate">
    <vt:bool>0</vt:bool>
  </property>
  <property fmtid="{D5CDD505-2E9C-101B-9397-08002B2CF9AE}" pid="10" name="ScaleCrop">
    <vt:bool>0</vt:bool>
  </property>
  <property fmtid="{D5CDD505-2E9C-101B-9397-08002B2CF9AE}" pid="11" name="ShareDoc">
    <vt:bool>0</vt:bool>
  </property>
</Properties>
</file>