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49D6" w14:textId="6D12EEEB" w:rsidR="00A548CF" w:rsidRDefault="00A548CF" w:rsidP="00A548CF">
      <w:pPr>
        <w:ind w:right="-382"/>
        <w:jc w:val="center"/>
        <w:rPr>
          <w:rFonts w:ascii="Arial" w:hAnsi="Arial" w:cs="Arial"/>
        </w:rPr>
      </w:pPr>
      <w:r w:rsidRPr="00FB5290">
        <w:rPr>
          <w:rFonts w:ascii="Arial" w:hAnsi="Arial" w:cs="Arial"/>
          <w:noProof/>
        </w:rPr>
        <w:drawing>
          <wp:inline distT="0" distB="0" distL="0" distR="0" wp14:anchorId="26F8AC2F" wp14:editId="14BDD19D">
            <wp:extent cx="1841500" cy="590550"/>
            <wp:effectExtent l="0" t="0" r="0" b="0"/>
            <wp:docPr id="366295481" name="Picture 1" descr="A close up of a logo&#10;&#10;AI-generated content may be incorrect.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95481" name="Picture 1" descr="A close up of a logo&#10;&#10;AI-generated content may be incorrect.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6A83" w14:textId="77777777" w:rsidR="00A548CF" w:rsidRDefault="00A548CF" w:rsidP="00A548CF">
      <w:pPr>
        <w:ind w:right="-766"/>
        <w:jc w:val="center"/>
      </w:pPr>
    </w:p>
    <w:p w14:paraId="458E0047" w14:textId="77777777" w:rsidR="00A548CF" w:rsidRPr="00736B72" w:rsidRDefault="00A548CF" w:rsidP="00A548CF">
      <w:pPr>
        <w:ind w:right="-766"/>
        <w:jc w:val="center"/>
        <w:rPr>
          <w:rFonts w:ascii="Arial" w:hAnsi="Arial" w:cs="Arial"/>
        </w:rPr>
      </w:pPr>
    </w:p>
    <w:p w14:paraId="73AD71B7" w14:textId="77777777" w:rsidR="00A548CF" w:rsidRPr="00C6766A" w:rsidRDefault="00A548CF" w:rsidP="00A548CF">
      <w:pPr>
        <w:rPr>
          <w:rFonts w:ascii="Arial" w:hAnsi="Arial" w:cs="Arial"/>
          <w:b/>
          <w:u w:val="single"/>
        </w:rPr>
      </w:pPr>
    </w:p>
    <w:p w14:paraId="5FF07616" w14:textId="77777777" w:rsidR="00A548CF" w:rsidRPr="00C6766A" w:rsidRDefault="00A548CF" w:rsidP="00A548CF">
      <w:pPr>
        <w:jc w:val="center"/>
        <w:rPr>
          <w:rFonts w:ascii="Arial" w:hAnsi="Arial" w:cs="Arial"/>
          <w:b/>
        </w:rPr>
      </w:pPr>
    </w:p>
    <w:p w14:paraId="26EF0688" w14:textId="77777777" w:rsidR="00A548CF" w:rsidRPr="00C6766A" w:rsidRDefault="00A548CF" w:rsidP="00A548CF">
      <w:pPr>
        <w:jc w:val="center"/>
        <w:rPr>
          <w:rFonts w:ascii="Arial" w:hAnsi="Arial" w:cs="Arial"/>
          <w:b/>
          <w:u w:val="single"/>
        </w:rPr>
      </w:pPr>
      <w:r w:rsidRPr="00C6766A">
        <w:rPr>
          <w:rFonts w:ascii="Arial" w:hAnsi="Arial" w:cs="Arial"/>
          <w:b/>
          <w:u w:val="single"/>
        </w:rPr>
        <w:t>INDEPENDENT CUSTODY VISITOR</w:t>
      </w:r>
    </w:p>
    <w:p w14:paraId="3ADA4F65" w14:textId="77777777" w:rsidR="00A548CF" w:rsidRPr="00C6766A" w:rsidRDefault="00A548CF" w:rsidP="00A548CF">
      <w:pPr>
        <w:jc w:val="center"/>
        <w:rPr>
          <w:rFonts w:ascii="Arial" w:hAnsi="Arial" w:cs="Arial"/>
          <w:b/>
        </w:rPr>
      </w:pPr>
    </w:p>
    <w:tbl>
      <w:tblPr>
        <w:tblW w:w="10008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548CF" w:rsidRPr="00C6766A" w14:paraId="6F20FE0F" w14:textId="77777777" w:rsidTr="003D5DF4">
        <w:trPr>
          <w:trHeight w:val="340"/>
        </w:trPr>
        <w:tc>
          <w:tcPr>
            <w:tcW w:w="10008" w:type="dxa"/>
            <w:shd w:val="clear" w:color="auto" w:fill="A6A6A6"/>
            <w:vAlign w:val="center"/>
          </w:tcPr>
          <w:p w14:paraId="6424B42D" w14:textId="77777777" w:rsidR="00A548CF" w:rsidRPr="00C6766A" w:rsidRDefault="00A548CF" w:rsidP="003D5DF4">
            <w:pPr>
              <w:jc w:val="center"/>
              <w:rPr>
                <w:rFonts w:ascii="Arial" w:hAnsi="Arial" w:cs="Arial"/>
                <w:b/>
              </w:rPr>
            </w:pPr>
            <w:r w:rsidRPr="00C6766A">
              <w:rPr>
                <w:rFonts w:ascii="Arial" w:hAnsi="Arial" w:cs="Arial"/>
                <w:b/>
              </w:rPr>
              <w:t>ROLE DESCRIPTION</w:t>
            </w:r>
          </w:p>
        </w:tc>
      </w:tr>
    </w:tbl>
    <w:p w14:paraId="5FBF6BE0" w14:textId="77777777" w:rsidR="00A548CF" w:rsidRPr="00C6766A" w:rsidRDefault="00A548CF" w:rsidP="00A548CF">
      <w:pPr>
        <w:rPr>
          <w:rFonts w:ascii="Arial" w:hAnsi="Arial" w:cs="Arial"/>
        </w:rPr>
      </w:pPr>
    </w:p>
    <w:tbl>
      <w:tblPr>
        <w:tblW w:w="10008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A548CF" w:rsidRPr="00C6766A" w14:paraId="51B4F400" w14:textId="77777777" w:rsidTr="003D5DF4">
        <w:trPr>
          <w:trHeight w:val="340"/>
        </w:trPr>
        <w:tc>
          <w:tcPr>
            <w:tcW w:w="10008" w:type="dxa"/>
            <w:gridSpan w:val="2"/>
            <w:shd w:val="clear" w:color="auto" w:fill="A6A6A6"/>
            <w:vAlign w:val="center"/>
          </w:tcPr>
          <w:p w14:paraId="4D9A55E7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  <w:r w:rsidRPr="00C6766A">
              <w:rPr>
                <w:rFonts w:ascii="Arial" w:hAnsi="Arial" w:cs="Arial"/>
                <w:b/>
              </w:rPr>
              <w:t>Roles and Responsibilities:</w:t>
            </w:r>
          </w:p>
          <w:p w14:paraId="34DE5D7A" w14:textId="77777777" w:rsidR="00A548CF" w:rsidRPr="00C6766A" w:rsidRDefault="00A548CF" w:rsidP="003D5DF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48CF" w:rsidRPr="00C6766A" w14:paraId="7F690FB5" w14:textId="77777777" w:rsidTr="003D5DF4">
        <w:trPr>
          <w:trHeight w:val="340"/>
        </w:trPr>
        <w:tc>
          <w:tcPr>
            <w:tcW w:w="2808" w:type="dxa"/>
          </w:tcPr>
          <w:p w14:paraId="2601864F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  <w:r w:rsidRPr="00C6766A">
              <w:rPr>
                <w:rFonts w:ascii="Arial" w:hAnsi="Arial" w:cs="Arial"/>
                <w:b/>
              </w:rPr>
              <w:t>Role title</w:t>
            </w:r>
          </w:p>
        </w:tc>
        <w:tc>
          <w:tcPr>
            <w:tcW w:w="7200" w:type="dxa"/>
          </w:tcPr>
          <w:p w14:paraId="238A442A" w14:textId="77777777" w:rsidR="00A548CF" w:rsidRPr="00C6766A" w:rsidRDefault="00A548CF" w:rsidP="003D5DF4">
            <w:pPr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>Independent Custody Visitor (ICV)</w:t>
            </w:r>
          </w:p>
          <w:p w14:paraId="0A65D355" w14:textId="77777777" w:rsidR="00A548CF" w:rsidRPr="00C6766A" w:rsidRDefault="00A548CF" w:rsidP="003D5D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48CF" w:rsidRPr="00C6766A" w14:paraId="6A530D39" w14:textId="77777777" w:rsidTr="003D5DF4">
        <w:trPr>
          <w:trHeight w:val="340"/>
        </w:trPr>
        <w:tc>
          <w:tcPr>
            <w:tcW w:w="2808" w:type="dxa"/>
          </w:tcPr>
          <w:p w14:paraId="7C8C9CEB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6766A">
              <w:rPr>
                <w:rFonts w:ascii="Arial" w:hAnsi="Arial" w:cs="Arial"/>
                <w:b/>
                <w:bCs/>
              </w:rPr>
              <w:t>Responsible To</w:t>
            </w:r>
          </w:p>
        </w:tc>
        <w:tc>
          <w:tcPr>
            <w:tcW w:w="7200" w:type="dxa"/>
          </w:tcPr>
          <w:p w14:paraId="396CE17A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  <w:bCs/>
              </w:rPr>
              <w:t xml:space="preserve">Volunteer </w:t>
            </w:r>
            <w:r>
              <w:rPr>
                <w:rFonts w:ascii="Arial" w:hAnsi="Arial" w:cs="Arial"/>
              </w:rPr>
              <w:t>Manager</w:t>
            </w:r>
          </w:p>
          <w:p w14:paraId="2112D3C6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48CF" w:rsidRPr="00C6766A" w14:paraId="71DCF02E" w14:textId="77777777" w:rsidTr="003D5DF4">
        <w:trPr>
          <w:trHeight w:val="340"/>
        </w:trPr>
        <w:tc>
          <w:tcPr>
            <w:tcW w:w="2808" w:type="dxa"/>
          </w:tcPr>
          <w:p w14:paraId="0F2F29B0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6766A">
              <w:rPr>
                <w:rFonts w:ascii="Arial" w:hAnsi="Arial" w:cs="Arial"/>
                <w:b/>
                <w:bCs/>
              </w:rPr>
              <w:t>Where</w:t>
            </w:r>
          </w:p>
        </w:tc>
        <w:tc>
          <w:tcPr>
            <w:tcW w:w="7200" w:type="dxa"/>
          </w:tcPr>
          <w:p w14:paraId="1F5F0095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>At designated police stations within Greater Manchester</w:t>
            </w:r>
          </w:p>
          <w:p w14:paraId="1AA61E16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48CF" w:rsidRPr="00C6766A" w14:paraId="635C34EC" w14:textId="77777777" w:rsidTr="003D5DF4">
        <w:tc>
          <w:tcPr>
            <w:tcW w:w="2808" w:type="dxa"/>
          </w:tcPr>
          <w:p w14:paraId="43F70BC6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6766A">
              <w:rPr>
                <w:rFonts w:ascii="Arial" w:hAnsi="Arial" w:cs="Arial"/>
                <w:b/>
                <w:bCs/>
              </w:rPr>
              <w:t>When</w:t>
            </w:r>
          </w:p>
          <w:p w14:paraId="778B7687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3C4F23D0" w14:textId="47934E99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 xml:space="preserve">Visits can be conducted at random times, 7 days a </w:t>
            </w:r>
            <w:r w:rsidRPr="00C6766A">
              <w:rPr>
                <w:rFonts w:ascii="Arial" w:hAnsi="Arial" w:cs="Arial"/>
              </w:rPr>
              <w:t>week</w:t>
            </w:r>
            <w:r w:rsidRPr="00C6766A">
              <w:rPr>
                <w:rFonts w:ascii="Arial" w:hAnsi="Arial" w:cs="Arial"/>
              </w:rPr>
              <w:t>, 24 hours a day.</w:t>
            </w:r>
          </w:p>
          <w:p w14:paraId="431DA553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48CF" w:rsidRPr="00C6766A" w14:paraId="3A01E26F" w14:textId="77777777" w:rsidTr="003D5DF4">
        <w:tc>
          <w:tcPr>
            <w:tcW w:w="2808" w:type="dxa"/>
          </w:tcPr>
          <w:p w14:paraId="63671E6B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6766A">
              <w:rPr>
                <w:rFonts w:ascii="Arial" w:hAnsi="Arial" w:cs="Arial"/>
                <w:b/>
                <w:bCs/>
              </w:rPr>
              <w:t>Commitment</w:t>
            </w:r>
          </w:p>
          <w:p w14:paraId="0606E32A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51457223" w14:textId="77777777" w:rsidR="00A548CF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 xml:space="preserve">Volunteers are required to give annually a minimum commitment to12 visits, per year. </w:t>
            </w:r>
          </w:p>
          <w:p w14:paraId="4C40F830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38852C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/>
              </w:rPr>
              <w:t xml:space="preserve">Volunteers are required to attend a programme of mandatory training </w:t>
            </w:r>
            <w:r>
              <w:rPr>
                <w:rFonts w:ascii="Arial" w:hAnsi="Arial"/>
              </w:rPr>
              <w:t xml:space="preserve">in the first 6 months </w:t>
            </w:r>
            <w:r w:rsidRPr="00C6766A">
              <w:rPr>
                <w:rFonts w:ascii="Arial" w:hAnsi="Arial"/>
              </w:rPr>
              <w:t>and must attend refresher training of each module every 2 years after initial completion.</w:t>
            </w:r>
            <w:r w:rsidRPr="00C6766A">
              <w:rPr>
                <w:rFonts w:ascii="Arial" w:hAnsi="Arial" w:cs="Arial"/>
              </w:rPr>
              <w:t xml:space="preserve"> </w:t>
            </w:r>
          </w:p>
          <w:p w14:paraId="4359EEBB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285E9D" w14:textId="5768FFE1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/>
              </w:rPr>
              <w:t xml:space="preserve">Volunteers are also expected to attend meetings/training events in the evenings or weekends.  ICVs are also required to attend 2 </w:t>
            </w:r>
            <w:r>
              <w:rPr>
                <w:rFonts w:ascii="Arial" w:hAnsi="Arial"/>
              </w:rPr>
              <w:t xml:space="preserve">support meetings in a </w:t>
            </w:r>
            <w:r>
              <w:rPr>
                <w:rFonts w:ascii="Arial" w:hAnsi="Arial"/>
              </w:rPr>
              <w:t>2</w:t>
            </w:r>
            <w:r w:rsidRPr="00C6766A">
              <w:rPr>
                <w:rFonts w:ascii="Arial" w:hAnsi="Arial"/>
              </w:rPr>
              <w:t>-year</w:t>
            </w:r>
            <w:r>
              <w:rPr>
                <w:rFonts w:ascii="Arial" w:hAnsi="Arial"/>
              </w:rPr>
              <w:t xml:space="preserve"> period</w:t>
            </w:r>
            <w:r w:rsidRPr="00C6766A">
              <w:rPr>
                <w:rFonts w:ascii="Arial" w:hAnsi="Arial"/>
              </w:rPr>
              <w:t>.</w:t>
            </w:r>
          </w:p>
          <w:p w14:paraId="63C28F57" w14:textId="77777777" w:rsidR="00A548CF" w:rsidRPr="00C6766A" w:rsidRDefault="00A548CF" w:rsidP="003D5DF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48CF" w:rsidRPr="00C6766A" w14:paraId="4C376F77" w14:textId="77777777" w:rsidTr="003D5DF4">
        <w:tc>
          <w:tcPr>
            <w:tcW w:w="2808" w:type="dxa"/>
          </w:tcPr>
          <w:p w14:paraId="75589064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6766A">
              <w:rPr>
                <w:rFonts w:ascii="Arial" w:hAnsi="Arial" w:cs="Arial"/>
                <w:b/>
                <w:bCs/>
              </w:rPr>
              <w:t>Duration</w:t>
            </w:r>
          </w:p>
          <w:p w14:paraId="61A844E3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0F679C59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C6766A">
              <w:rPr>
                <w:rFonts w:ascii="Arial" w:hAnsi="Arial" w:cs="Arial"/>
                <w:u w:val="single"/>
              </w:rPr>
              <w:t>SEE SUPPORTING INFORMATION</w:t>
            </w:r>
          </w:p>
          <w:p w14:paraId="14E5BAAE" w14:textId="77777777" w:rsidR="00A548CF" w:rsidRPr="00C6766A" w:rsidRDefault="00A548CF" w:rsidP="003D5DF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48CF" w:rsidRPr="00C6766A" w14:paraId="7FBBD86F" w14:textId="77777777" w:rsidTr="003D5DF4">
        <w:tc>
          <w:tcPr>
            <w:tcW w:w="2808" w:type="dxa"/>
          </w:tcPr>
          <w:p w14:paraId="05BC024C" w14:textId="77777777" w:rsidR="00A548CF" w:rsidRPr="00C6766A" w:rsidRDefault="00A548CF" w:rsidP="003D5DF4">
            <w:pPr>
              <w:rPr>
                <w:rFonts w:ascii="Arial" w:hAnsi="Arial" w:cs="Arial"/>
                <w:b/>
              </w:rPr>
            </w:pPr>
            <w:r w:rsidRPr="00C6766A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200" w:type="dxa"/>
          </w:tcPr>
          <w:p w14:paraId="18B0DDD3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>Must be over 18 years of age and live, work, or study in Greater Manchester.</w:t>
            </w:r>
          </w:p>
          <w:p w14:paraId="543AB4AD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6B32468F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>Must not be a serving</w:t>
            </w:r>
            <w:r>
              <w:rPr>
                <w:rFonts w:ascii="Arial" w:hAnsi="Arial" w:cs="Arial"/>
              </w:rPr>
              <w:t xml:space="preserve"> Magistrate,</w:t>
            </w:r>
            <w:r w:rsidRPr="00C6766A">
              <w:rPr>
                <w:rFonts w:ascii="Arial" w:hAnsi="Arial" w:cs="Arial"/>
              </w:rPr>
              <w:t xml:space="preserve"> member of the police force</w:t>
            </w:r>
            <w:r>
              <w:rPr>
                <w:rFonts w:ascii="Arial" w:hAnsi="Arial" w:cs="Arial"/>
              </w:rPr>
              <w:t>, Appropriate Adult with GM area</w:t>
            </w:r>
            <w:r w:rsidRPr="00C6766A">
              <w:rPr>
                <w:rFonts w:ascii="Arial" w:hAnsi="Arial" w:cs="Arial"/>
              </w:rPr>
              <w:t xml:space="preserve"> or an officer within the</w:t>
            </w:r>
            <w:r>
              <w:rPr>
                <w:rFonts w:ascii="Arial" w:hAnsi="Arial" w:cs="Arial"/>
              </w:rPr>
              <w:t xml:space="preserve"> Police, Crime, Criminal Justice and Fire Office</w:t>
            </w:r>
            <w:r w:rsidRPr="00C6766A">
              <w:rPr>
                <w:rFonts w:ascii="Arial" w:hAnsi="Arial" w:cs="Arial"/>
              </w:rPr>
              <w:t xml:space="preserve">, and </w:t>
            </w:r>
            <w:proofErr w:type="gramStart"/>
            <w:r w:rsidRPr="00C6766A">
              <w:rPr>
                <w:rFonts w:ascii="Arial" w:hAnsi="Arial" w:cs="Arial"/>
              </w:rPr>
              <w:t>have no involvement</w:t>
            </w:r>
            <w:proofErr w:type="gramEnd"/>
            <w:r w:rsidRPr="00C6766A">
              <w:rPr>
                <w:rFonts w:ascii="Arial" w:hAnsi="Arial" w:cs="Arial"/>
              </w:rPr>
              <w:t xml:space="preserve"> in the criminal justice system.</w:t>
            </w:r>
          </w:p>
          <w:p w14:paraId="02C9C381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15DE08B" w14:textId="77777777" w:rsidR="00A548CF" w:rsidRPr="00C6766A" w:rsidRDefault="00A548CF" w:rsidP="003D5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</w:rPr>
              <w:t>Must be willing to undergo Greater Manchester Police Vetting and provide references.</w:t>
            </w:r>
          </w:p>
          <w:p w14:paraId="597BDC36" w14:textId="77777777" w:rsidR="00A548CF" w:rsidRPr="00C6766A" w:rsidRDefault="00A548CF" w:rsidP="003D5DF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646B0BD7" w14:textId="77777777" w:rsidR="00A548CF" w:rsidRDefault="00A548CF" w:rsidP="00A548CF">
      <w:pPr>
        <w:autoSpaceDE w:val="0"/>
        <w:autoSpaceDN w:val="0"/>
        <w:adjustRightInd w:val="0"/>
        <w:rPr>
          <w:rFonts w:ascii="Arial" w:hAnsi="Arial" w:cs="Arial"/>
        </w:rPr>
      </w:pPr>
    </w:p>
    <w:p w14:paraId="79B21822" w14:textId="77777777" w:rsidR="00A548CF" w:rsidRPr="00C6766A" w:rsidRDefault="00A548CF" w:rsidP="00A548C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08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548CF" w:rsidRPr="00C6766A" w14:paraId="121C3A8A" w14:textId="77777777" w:rsidTr="003D5DF4">
        <w:trPr>
          <w:trHeight w:val="340"/>
        </w:trPr>
        <w:tc>
          <w:tcPr>
            <w:tcW w:w="10008" w:type="dxa"/>
            <w:shd w:val="clear" w:color="auto" w:fill="A6A6A6"/>
            <w:vAlign w:val="center"/>
          </w:tcPr>
          <w:p w14:paraId="4054D92C" w14:textId="77777777" w:rsidR="00A548CF" w:rsidRPr="00C6766A" w:rsidRDefault="00A548CF" w:rsidP="003D5DF4">
            <w:pPr>
              <w:jc w:val="both"/>
              <w:rPr>
                <w:rFonts w:ascii="Arial" w:hAnsi="Arial" w:cs="Arial"/>
              </w:rPr>
            </w:pPr>
            <w:r w:rsidRPr="00C6766A">
              <w:rPr>
                <w:rFonts w:ascii="Arial" w:hAnsi="Arial" w:cs="Arial"/>
                <w:b/>
              </w:rPr>
              <w:t>Key duties:</w:t>
            </w:r>
          </w:p>
        </w:tc>
      </w:tr>
    </w:tbl>
    <w:p w14:paraId="5FFE7388" w14:textId="77777777" w:rsidR="00A548CF" w:rsidRPr="00C6766A" w:rsidRDefault="00A548CF" w:rsidP="00A548CF">
      <w:pPr>
        <w:rPr>
          <w:rFonts w:ascii="Arial" w:hAnsi="Arial" w:cs="Arial"/>
        </w:rPr>
      </w:pPr>
    </w:p>
    <w:p w14:paraId="3FA31979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  <w:b/>
        </w:rPr>
      </w:pPr>
      <w:r w:rsidRPr="00C6766A">
        <w:rPr>
          <w:rFonts w:ascii="Arial" w:hAnsi="Arial" w:cs="Arial"/>
        </w:rPr>
        <w:t>To undertake the role of ICV by carrying out random, unannounced visits, in pairs, to police station custody suites to check on the welfare of detainees.</w:t>
      </w:r>
    </w:p>
    <w:p w14:paraId="6F151477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16BF0D72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>To arrange visits with fellow custody visitors, in line with agreed rotas.</w:t>
      </w:r>
    </w:p>
    <w:p w14:paraId="3A739DC4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00782965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 xml:space="preserve">To keep the </w:t>
      </w:r>
      <w:r>
        <w:rPr>
          <w:rFonts w:ascii="Arial" w:hAnsi="Arial" w:cs="Arial"/>
        </w:rPr>
        <w:t>Greater Manchester Combined Authority</w:t>
      </w:r>
      <w:r w:rsidRPr="00C6766A">
        <w:rPr>
          <w:rFonts w:ascii="Arial" w:hAnsi="Arial" w:cs="Arial"/>
        </w:rPr>
        <w:t>, Lead Visitor and fellow custody visitors informed of any issues with visits.</w:t>
      </w:r>
    </w:p>
    <w:p w14:paraId="1CD8BC38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41B9707C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>To check on the conditions in which a detainee is kept, their health and well-being and their legal rights and entitlements, with reference to PACE Codes C &amp; H.</w:t>
      </w:r>
    </w:p>
    <w:p w14:paraId="021D169C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30F91A77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>Where appropriate, examine the detainee’s custody record to clarify and check any concerns raised by the detainee.</w:t>
      </w:r>
    </w:p>
    <w:p w14:paraId="5F791F1F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44ABDB94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>To discuss with the custody officer any concerns and requests arising from the visit and bring to their attention any issues that need to be dealt with.</w:t>
      </w:r>
    </w:p>
    <w:p w14:paraId="10138526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57E7C81D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>To complete the appropriate report forms, ensuring that all relevant information is recorded accurately and concisely.</w:t>
      </w:r>
    </w:p>
    <w:p w14:paraId="71F4DB0C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59844562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 xml:space="preserve">To complete and submit expense claims in line with the </w:t>
      </w:r>
      <w:r>
        <w:rPr>
          <w:rFonts w:ascii="Arial" w:hAnsi="Arial" w:cs="Arial"/>
        </w:rPr>
        <w:t xml:space="preserve">Greater Manchester Combined Authority </w:t>
      </w:r>
      <w:r w:rsidRPr="00C6766A">
        <w:rPr>
          <w:rFonts w:ascii="Arial" w:hAnsi="Arial" w:cs="Arial"/>
        </w:rPr>
        <w:t>Volunteer Expenses Policy.</w:t>
      </w:r>
    </w:p>
    <w:p w14:paraId="42669B57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7562312B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Attend </w:t>
      </w:r>
      <w:r w:rsidRPr="00C6766A">
        <w:rPr>
          <w:rFonts w:ascii="Arial" w:hAnsi="Arial" w:cs="Arial"/>
        </w:rPr>
        <w:t xml:space="preserve">mandatory training sessions within the first </w:t>
      </w:r>
      <w:r>
        <w:rPr>
          <w:rFonts w:ascii="Arial" w:hAnsi="Arial" w:cs="Arial"/>
        </w:rPr>
        <w:t xml:space="preserve">6 months </w:t>
      </w:r>
      <w:r w:rsidRPr="00C6766A">
        <w:rPr>
          <w:rFonts w:ascii="Arial" w:hAnsi="Arial" w:cs="Arial"/>
        </w:rPr>
        <w:t>and must attend refresher training of each session every 2 years after initial completion</w:t>
      </w:r>
      <w:r w:rsidRPr="00C6766A">
        <w:rPr>
          <w:rFonts w:ascii="Arial" w:hAnsi="Arial"/>
        </w:rPr>
        <w:t>.</w:t>
      </w:r>
    </w:p>
    <w:p w14:paraId="53053349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098D4A52" w14:textId="77777777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 xml:space="preserve">To attend, as appropriate, meetings of ICVs and one to-one supervision with the </w:t>
      </w:r>
      <w:r>
        <w:rPr>
          <w:rFonts w:ascii="Arial" w:hAnsi="Arial" w:cs="Arial"/>
        </w:rPr>
        <w:t>Combined Authority</w:t>
      </w:r>
      <w:r w:rsidRPr="00C6766A">
        <w:rPr>
          <w:rFonts w:ascii="Arial" w:hAnsi="Arial" w:cs="Arial"/>
        </w:rPr>
        <w:t>.</w:t>
      </w:r>
    </w:p>
    <w:p w14:paraId="0C68D441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2CA37863" w14:textId="31C30F34" w:rsidR="00A548CF" w:rsidRPr="00C6766A" w:rsidRDefault="00A548CF" w:rsidP="00A548CF">
      <w:pPr>
        <w:numPr>
          <w:ilvl w:val="0"/>
          <w:numId w:val="1"/>
        </w:numPr>
        <w:tabs>
          <w:tab w:val="clear" w:pos="720"/>
          <w:tab w:val="num" w:pos="-426"/>
        </w:tabs>
        <w:ind w:left="0" w:hanging="567"/>
        <w:rPr>
          <w:rFonts w:ascii="Arial" w:hAnsi="Arial" w:cs="Arial"/>
        </w:rPr>
      </w:pPr>
      <w:r w:rsidRPr="00C6766A">
        <w:rPr>
          <w:rFonts w:ascii="Arial" w:hAnsi="Arial" w:cs="Arial"/>
        </w:rPr>
        <w:t xml:space="preserve">To carry out the duties of an ICV as set out in the Scheme’s </w:t>
      </w:r>
      <w:r w:rsidRPr="00C6766A">
        <w:rPr>
          <w:rFonts w:ascii="Arial" w:hAnsi="Arial" w:cs="Arial"/>
        </w:rPr>
        <w:t>guidelines,</w:t>
      </w:r>
      <w:r w:rsidRPr="00C6766A">
        <w:rPr>
          <w:rFonts w:ascii="Arial" w:hAnsi="Arial" w:cs="Arial"/>
        </w:rPr>
        <w:t xml:space="preserve"> and with full regard to the </w:t>
      </w:r>
      <w:r>
        <w:rPr>
          <w:rFonts w:ascii="Arial" w:hAnsi="Arial" w:cs="Arial"/>
        </w:rPr>
        <w:t>Greater Manchester</w:t>
      </w:r>
      <w:r w:rsidRPr="00C6766A">
        <w:rPr>
          <w:rFonts w:ascii="Arial" w:hAnsi="Arial" w:cs="Arial"/>
        </w:rPr>
        <w:t xml:space="preserve"> Code of Conduct and Equalities, Health and Safety and Confidentiality policies.</w:t>
      </w:r>
    </w:p>
    <w:p w14:paraId="164E3F57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52E0AA1F" w14:textId="77777777" w:rsidR="00A548CF" w:rsidRPr="00C6766A" w:rsidRDefault="00A548CF" w:rsidP="00A548CF">
      <w:pPr>
        <w:tabs>
          <w:tab w:val="num" w:pos="-426"/>
        </w:tabs>
        <w:ind w:hanging="567"/>
        <w:rPr>
          <w:rFonts w:ascii="Arial" w:hAnsi="Arial" w:cs="Arial"/>
        </w:rPr>
      </w:pPr>
    </w:p>
    <w:p w14:paraId="0FEB45F9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4FE82BB6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18E1BF2F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27702E4A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15AC99E9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19994EFF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29784DD3" w14:textId="77777777" w:rsidR="00A548CF" w:rsidRDefault="00A548CF" w:rsidP="00A548CF">
      <w:pPr>
        <w:tabs>
          <w:tab w:val="num" w:pos="-426"/>
        </w:tabs>
        <w:ind w:right="-766" w:hanging="567"/>
        <w:rPr>
          <w:rFonts w:ascii="Arial" w:hAnsi="Arial" w:cs="Arial"/>
        </w:rPr>
      </w:pPr>
    </w:p>
    <w:p w14:paraId="023A681A" w14:textId="77777777" w:rsidR="001B5493" w:rsidRDefault="001B5493"/>
    <w:sectPr w:rsidR="001B5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577B"/>
    <w:multiLevelType w:val="hybridMultilevel"/>
    <w:tmpl w:val="768C5D3C"/>
    <w:lvl w:ilvl="0" w:tplc="3120F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11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CF"/>
    <w:rsid w:val="001B5493"/>
    <w:rsid w:val="00220329"/>
    <w:rsid w:val="00332999"/>
    <w:rsid w:val="009D55CF"/>
    <w:rsid w:val="00A548CF"/>
    <w:rsid w:val="00A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9DD1"/>
  <w15:chartTrackingRefBased/>
  <w15:docId w15:val="{FDA9742B-0A23-41C6-9713-ADDBB534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Combined Authority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Hindle, Lisa</dc:creator>
  <cp:keywords/>
  <dc:description/>
  <cp:lastModifiedBy>Hindle, Lisa</cp:lastModifiedBy>
  <cp:revision>1</cp:revision>
  <dcterms:created xsi:type="dcterms:W3CDTF">2025-09-03T15:21:00Z</dcterms:created>
  <dcterms:modified xsi:type="dcterms:W3CDTF">2025-09-03T15:59:00Z</dcterms:modified>
</cp:coreProperties>
</file>