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ody"/>
        <w:ind w:left="0" w:right="261" w:hanging="0"/>
        <w:jc w:val="center"/>
        <w:rPr>
          <w:rFonts w:eastAsia="Calibri"/>
          <w:b/>
          <w:b/>
          <w:bCs/>
          <w:iCs/>
        </w:rPr>
      </w:pPr>
      <w:r>
        <w:rPr>
          <w:rFonts w:eastAsia="Calibri"/>
          <w:b/>
          <w:bCs/>
          <w:iCs/>
        </w:rPr>
        <w:t>Greater Manchester Combined Authority</w:t>
      </w:r>
    </w:p>
    <w:p>
      <w:pPr>
        <w:pStyle w:val="Body"/>
        <w:ind w:left="0" w:right="261" w:hanging="0"/>
        <w:jc w:val="center"/>
        <w:rPr>
          <w:rFonts w:eastAsia="Calibri"/>
          <w:b/>
          <w:b/>
          <w:bCs/>
          <w:iCs/>
        </w:rPr>
      </w:pPr>
      <w:r>
        <w:rPr>
          <w:rFonts w:eastAsia="Calibri"/>
          <w:b/>
          <w:bCs/>
          <w:iCs/>
        </w:rPr>
        <w:t>Role Profile</w:t>
      </w:r>
    </w:p>
    <w:p>
      <w:pPr>
        <w:pStyle w:val="Body"/>
        <w:ind w:left="0" w:right="261" w:hanging="0"/>
        <w:jc w:val="both"/>
        <w:rPr>
          <w:rFonts w:eastAsia="Calibri"/>
          <w:b/>
          <w:b/>
          <w:bCs/>
          <w:iCs/>
        </w:rPr>
      </w:pPr>
      <w:r>
        <w:rPr>
          <w:rFonts w:eastAsia="Calibri"/>
          <w:b/>
          <w:bCs/>
          <w:iCs/>
        </w:rPr>
      </w:r>
    </w:p>
    <w:tbl>
      <w:tblPr>
        <w:tblW w:w="10357" w:type="dxa"/>
        <w:jc w:val="left"/>
        <w:tblInd w:w="-606" w:type="dxa"/>
        <w:tblCellMar>
          <w:top w:w="0" w:type="dxa"/>
          <w:left w:w="108" w:type="dxa"/>
          <w:bottom w:w="0" w:type="dxa"/>
          <w:right w:w="108" w:type="dxa"/>
        </w:tblCellMar>
      </w:tblPr>
      <w:tblGrid>
        <w:gridCol w:w="2127"/>
        <w:gridCol w:w="3092"/>
        <w:gridCol w:w="2309"/>
        <w:gridCol w:w="2829"/>
      </w:tblGrid>
      <w:tr>
        <w:trPr/>
        <w:tc>
          <w:tcPr>
            <w:tcW w:w="2127"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rPr>
            </w:pPr>
            <w:r>
              <w:rPr>
                <w:rFonts w:eastAsia="Calibri"/>
                <w:b/>
                <w:bCs/>
                <w:iCs/>
              </w:rPr>
              <w:t>Job Title:</w:t>
            </w:r>
          </w:p>
        </w:tc>
        <w:tc>
          <w:tcPr>
            <w:tcW w:w="3092"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rPr>
            </w:pPr>
            <w:r>
              <w:rPr>
                <w:rFonts w:eastAsia="Calibri"/>
              </w:rPr>
              <w:t>IDG Project Support Officer</w:t>
            </w:r>
          </w:p>
        </w:tc>
        <w:tc>
          <w:tcPr>
            <w:tcW w:w="2309"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rPr>
            </w:pPr>
            <w:r>
              <w:rPr>
                <w:rFonts w:eastAsia="Calibri"/>
                <w:b/>
                <w:bCs/>
                <w:iCs/>
              </w:rPr>
              <w:t>Date:</w:t>
            </w:r>
          </w:p>
        </w:tc>
        <w:tc>
          <w:tcPr>
            <w:tcW w:w="2829" w:type="dxa"/>
            <w:tcBorders>
              <w:top w:val="single" w:sz="4" w:space="0" w:color="000000"/>
              <w:left w:val="single" w:sz="4" w:space="0" w:color="000000"/>
              <w:bottom w:val="single" w:sz="4" w:space="0" w:color="000000"/>
              <w:right w:val="single" w:sz="4" w:space="0" w:color="000000"/>
            </w:tcBorders>
            <w:shd w:fill="auto" w:val="clear"/>
            <w:vAlign w:val="center"/>
          </w:tcPr>
          <w:p>
            <w:pPr>
              <w:pStyle w:val="Body"/>
              <w:pBdr/>
              <w:spacing w:lineRule="auto" w:line="240" w:before="120" w:after="120"/>
              <w:ind w:left="0" w:right="261" w:hanging="0"/>
              <w:rPr>
                <w:rFonts w:eastAsia="Calibri"/>
              </w:rPr>
            </w:pPr>
            <w:r>
              <w:rPr>
                <w:rFonts w:eastAsia="Calibri"/>
              </w:rPr>
              <w:t>30/07/2026</w:t>
            </w:r>
          </w:p>
        </w:tc>
      </w:tr>
      <w:tr>
        <w:trPr/>
        <w:tc>
          <w:tcPr>
            <w:tcW w:w="2127"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rPr>
            </w:pPr>
            <w:r>
              <w:rPr>
                <w:rFonts w:eastAsia="Calibri"/>
                <w:b/>
                <w:bCs/>
                <w:iCs/>
              </w:rPr>
              <w:t>Reporting Line:</w:t>
            </w:r>
          </w:p>
        </w:tc>
        <w:tc>
          <w:tcPr>
            <w:tcW w:w="3092"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lang w:val="en-US"/>
              </w:rPr>
            </w:pPr>
            <w:r>
              <w:rPr>
                <w:rFonts w:eastAsia="Calibri"/>
                <w:lang w:val="en-US"/>
              </w:rPr>
              <w:t>Change Programme Manager</w:t>
            </w:r>
          </w:p>
        </w:tc>
        <w:tc>
          <w:tcPr>
            <w:tcW w:w="2309"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rPr>
            </w:pPr>
            <w:r>
              <w:rPr>
                <w:rFonts w:eastAsia="Calibri"/>
                <w:b/>
                <w:bCs/>
                <w:iCs/>
              </w:rPr>
              <w:t>Job Level:</w:t>
            </w:r>
          </w:p>
        </w:tc>
        <w:tc>
          <w:tcPr>
            <w:tcW w:w="2829" w:type="dxa"/>
            <w:tcBorders>
              <w:top w:val="single" w:sz="4" w:space="0" w:color="000000"/>
              <w:left w:val="single" w:sz="4" w:space="0" w:color="000000"/>
              <w:bottom w:val="single" w:sz="4" w:space="0" w:color="000000"/>
              <w:right w:val="single" w:sz="4" w:space="0" w:color="000000"/>
            </w:tcBorders>
            <w:shd w:fill="auto" w:val="clear"/>
            <w:vAlign w:val="center"/>
          </w:tcPr>
          <w:p>
            <w:pPr>
              <w:pStyle w:val="Body"/>
              <w:pBdr/>
              <w:spacing w:lineRule="auto" w:line="240" w:before="120" w:after="120"/>
              <w:ind w:left="0" w:right="261" w:hanging="0"/>
              <w:rPr>
                <w:rFonts w:eastAsia="Calibri"/>
              </w:rPr>
            </w:pPr>
            <w:r>
              <w:rPr>
                <w:rFonts w:eastAsia="Calibri"/>
              </w:rPr>
              <w:t>Grade 6 £34,434 - £38,220</w:t>
            </w:r>
          </w:p>
        </w:tc>
      </w:tr>
      <w:tr>
        <w:trPr/>
        <w:tc>
          <w:tcPr>
            <w:tcW w:w="2127"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rPr>
            </w:pPr>
            <w:r>
              <w:rPr>
                <w:rFonts w:eastAsia="Calibri"/>
                <w:b/>
                <w:bCs/>
                <w:iCs/>
              </w:rPr>
              <w:t>Department:</w:t>
            </w:r>
          </w:p>
        </w:tc>
        <w:tc>
          <w:tcPr>
            <w:tcW w:w="3092"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rPr>
            </w:pPr>
            <w:r>
              <w:rPr>
                <w:rFonts w:eastAsia="Calibri"/>
              </w:rPr>
              <w:t>Information and Data Governance (IDG)</w:t>
            </w:r>
          </w:p>
        </w:tc>
        <w:tc>
          <w:tcPr>
            <w:tcW w:w="2309" w:type="dxa"/>
            <w:tcBorders>
              <w:top w:val="single" w:sz="4" w:space="0" w:color="000000"/>
              <w:left w:val="single" w:sz="4" w:space="0" w:color="000000"/>
              <w:bottom w:val="single" w:sz="4" w:space="0" w:color="000000"/>
            </w:tcBorders>
            <w:shd w:fill="auto" w:val="clear"/>
            <w:vAlign w:val="center"/>
          </w:tcPr>
          <w:p>
            <w:pPr>
              <w:pStyle w:val="Body"/>
              <w:pBdr/>
              <w:spacing w:lineRule="auto" w:line="240" w:before="120" w:after="120"/>
              <w:ind w:left="0" w:right="261" w:hanging="0"/>
              <w:rPr>
                <w:rFonts w:eastAsia="Calibri"/>
                <w:b/>
                <w:b/>
                <w:bCs/>
                <w:iCs/>
              </w:rPr>
            </w:pPr>
            <w:r>
              <w:rPr>
                <w:rFonts w:eastAsia="Calibri"/>
                <w:b/>
                <w:bCs/>
                <w:iCs/>
              </w:rPr>
              <w:t>Business Area:</w:t>
            </w:r>
          </w:p>
        </w:tc>
        <w:tc>
          <w:tcPr>
            <w:tcW w:w="2829" w:type="dxa"/>
            <w:tcBorders>
              <w:top w:val="single" w:sz="4" w:space="0" w:color="000000"/>
              <w:left w:val="single" w:sz="4" w:space="0" w:color="000000"/>
              <w:bottom w:val="single" w:sz="4" w:space="0" w:color="000000"/>
              <w:right w:val="single" w:sz="4" w:space="0" w:color="000000"/>
            </w:tcBorders>
            <w:shd w:fill="auto" w:val="clear"/>
            <w:vAlign w:val="center"/>
          </w:tcPr>
          <w:p>
            <w:pPr>
              <w:pStyle w:val="Body"/>
              <w:pBdr/>
              <w:spacing w:lineRule="auto" w:line="240" w:before="120" w:after="120"/>
              <w:ind w:left="0" w:right="261" w:hanging="0"/>
              <w:rPr>
                <w:rFonts w:eastAsia="Calibri"/>
                <w:bCs/>
                <w:iCs/>
              </w:rPr>
            </w:pPr>
            <w:r>
              <w:rPr>
                <w:rFonts w:eastAsia="Calibri"/>
                <w:bCs/>
                <w:iCs/>
              </w:rPr>
              <w:t>Legal and Governance</w:t>
            </w:r>
          </w:p>
        </w:tc>
      </w:tr>
    </w:tbl>
    <w:p>
      <w:pPr>
        <w:pStyle w:val="Body"/>
        <w:ind w:left="0" w:right="261" w:hanging="0"/>
        <w:jc w:val="both"/>
        <w:rPr>
          <w:rFonts w:eastAsia="Calibri"/>
          <w:b/>
          <w:b/>
          <w:bCs/>
          <w:iCs/>
        </w:rPr>
      </w:pPr>
      <w:r>
        <w:rPr>
          <w:rFonts w:eastAsia="Calibri"/>
          <w:b/>
          <w:bCs/>
          <w:iCs/>
        </w:rPr>
      </w:r>
    </w:p>
    <w:tbl>
      <w:tblPr>
        <w:tblW w:w="10371" w:type="dxa"/>
        <w:jc w:val="center"/>
        <w:tblInd w:w="0" w:type="dxa"/>
        <w:tblCellMar>
          <w:top w:w="80" w:type="dxa"/>
          <w:left w:w="80" w:type="dxa"/>
          <w:bottom w:w="80" w:type="dxa"/>
          <w:right w:w="80" w:type="dxa"/>
        </w:tblCellMar>
      </w:tblPr>
      <w:tblGrid>
        <w:gridCol w:w="10371"/>
      </w:tblGrid>
      <w:tr>
        <w:trPr>
          <w:trHeight w:val="180" w:hRule="atLeast"/>
        </w:trPr>
        <w:tc>
          <w:tcPr>
            <w:tcW w:w="10371" w:type="dxa"/>
            <w:tcBorders>
              <w:top w:val="single" w:sz="6" w:space="0" w:color="000000"/>
              <w:left w:val="single" w:sz="6" w:space="0" w:color="0000FF"/>
              <w:right w:val="single" w:sz="6" w:space="0" w:color="0000FF"/>
            </w:tcBorders>
            <w:shd w:fill="000000" w:val="clear"/>
            <w:vAlign w:val="center"/>
          </w:tcPr>
          <w:p>
            <w:pPr>
              <w:pStyle w:val="Heading3"/>
              <w:ind w:left="0" w:right="261" w:hanging="0"/>
              <w:rPr>
                <w:rFonts w:eastAsia="Calibri"/>
                <w:sz w:val="22"/>
                <w:szCs w:val="22"/>
                <w:lang w:val="en-GB"/>
              </w:rPr>
            </w:pPr>
            <w:r>
              <w:rPr>
                <w:rFonts w:eastAsia="Calibri"/>
                <w:sz w:val="22"/>
                <w:szCs w:val="22"/>
                <w:lang w:val="en-GB"/>
              </w:rPr>
              <w:t>JOB PURPOSE</w:t>
            </w:r>
          </w:p>
        </w:tc>
      </w:tr>
      <w:tr>
        <w:trPr>
          <w:trHeight w:val="793" w:hRule="atLeast"/>
        </w:trPr>
        <w:tc>
          <w:tcPr>
            <w:tcW w:w="10371" w:type="dxa"/>
            <w:tcBorders>
              <w:left w:val="single" w:sz="6" w:space="0" w:color="000000"/>
              <w:bottom w:val="single" w:sz="4" w:space="0" w:color="000000"/>
              <w:right w:val="single" w:sz="6" w:space="0" w:color="000000"/>
            </w:tcBorders>
            <w:shd w:fill="auto" w:val="clear"/>
            <w:vAlign w:val="center"/>
          </w:tcPr>
          <w:p>
            <w:pPr>
              <w:pStyle w:val="Normal"/>
              <w:jc w:val="both"/>
              <w:rPr/>
            </w:pPr>
            <w:r>
              <w:rPr>
                <w:rFonts w:cs="Arial" w:ascii="Arial" w:hAnsi="Arial"/>
                <w:sz w:val="22"/>
                <w:szCs w:val="22"/>
              </w:rPr>
              <w:t xml:space="preserve">The Project Support Officer </w:t>
            </w:r>
            <w:r>
              <w:rPr>
                <w:rStyle w:val="Normaltextrun"/>
                <w:rFonts w:cs="Arial" w:ascii="Arial" w:hAnsi="Arial"/>
                <w:sz w:val="22"/>
                <w:szCs w:val="22"/>
              </w:rPr>
              <w:t xml:space="preserve">will provide a comprehensive, effective, and efficient support service to the Change Programme and Change Project Management professionals within the Information and Data Governance team. In doing so, you will support the delivery of projects ranging from organisational improvement to GM wide system enabling initiatives. </w:t>
            </w:r>
          </w:p>
          <w:p>
            <w:pPr>
              <w:pStyle w:val="Normal"/>
              <w:jc w:val="both"/>
              <w:rPr>
                <w:rFonts w:ascii="Arial" w:hAnsi="Arial" w:cs="Arial"/>
                <w:sz w:val="22"/>
                <w:szCs w:val="22"/>
              </w:rPr>
            </w:pPr>
            <w:r>
              <w:rPr>
                <w:rFonts w:cs="Arial" w:ascii="Arial" w:hAnsi="Arial"/>
                <w:sz w:val="22"/>
                <w:szCs w:val="22"/>
              </w:rPr>
            </w:r>
          </w:p>
          <w:p>
            <w:pPr>
              <w:pStyle w:val="Normal"/>
              <w:jc w:val="both"/>
              <w:rPr/>
            </w:pPr>
            <w:r>
              <w:rPr>
                <w:rStyle w:val="Normaltextrun"/>
                <w:rFonts w:cs="Arial" w:ascii="Arial" w:hAnsi="Arial"/>
                <w:sz w:val="22"/>
                <w:szCs w:val="22"/>
              </w:rPr>
              <w:t xml:space="preserve">You will be joining a shared service that supports the Greater Manchester Combined Authority, Greater Manchester Fire and Rescue Service and Transport for Greater Manchester. As such, this is an exciting opportunity to join a cross functional team that is delivering projects across multiple organisations, and a city region in a complex political environment. </w:t>
            </w:r>
          </w:p>
          <w:p>
            <w:pPr>
              <w:pStyle w:val="Normal"/>
              <w:jc w:val="both"/>
              <w:rPr>
                <w:rFonts w:ascii="Arial" w:hAnsi="Arial" w:cs="Arial"/>
                <w:sz w:val="22"/>
                <w:szCs w:val="22"/>
              </w:rPr>
            </w:pPr>
            <w:r>
              <w:rPr>
                <w:rFonts w:cs="Arial" w:ascii="Arial" w:hAnsi="Arial"/>
                <w:sz w:val="22"/>
                <w:szCs w:val="22"/>
              </w:rPr>
            </w:r>
          </w:p>
          <w:p>
            <w:pPr>
              <w:pStyle w:val="Normal"/>
              <w:jc w:val="both"/>
              <w:rPr/>
            </w:pPr>
            <w:r>
              <w:rPr>
                <w:rStyle w:val="Normaltextrun"/>
                <w:rFonts w:cs="Arial" w:ascii="Arial" w:hAnsi="Arial"/>
                <w:sz w:val="22"/>
                <w:szCs w:val="22"/>
              </w:rPr>
              <w:t xml:space="preserve">We are looking for an individual who can take ownership for key tasks and provide a consistent level of support to the IDG Change Function. </w:t>
            </w:r>
            <w:r>
              <w:rPr>
                <w:rStyle w:val="Normaltextrun"/>
                <w:rFonts w:cs="Arial" w:ascii="Arial" w:hAnsi="Arial"/>
                <w:sz w:val="22"/>
                <w:szCs w:val="22"/>
                <w:shd w:fill="FFFFFF" w:val="clear"/>
              </w:rPr>
              <w:t xml:space="preserve">This role will undertake assigned duties as required by the Change Programme. The key to success in the role will be bringing a positive attitude, attention to detail and an organised approach. This will enable the Change Programme to deliver projects consistently and to a high a standard. </w:t>
            </w:r>
          </w:p>
        </w:tc>
      </w:tr>
    </w:tbl>
    <w:p>
      <w:pPr>
        <w:pStyle w:val="Body"/>
        <w:ind w:left="-567" w:right="261" w:hanging="0"/>
        <w:rPr>
          <w:rFonts w:eastAsia="Calibri"/>
          <w:b/>
          <w:b/>
          <w:bCs/>
          <w:iCs/>
        </w:rPr>
      </w:pPr>
      <w:r>
        <w:rPr>
          <w:rFonts w:eastAsia="Calibri"/>
          <w:b/>
          <w:bCs/>
          <w:iCs/>
        </w:rPr>
      </w:r>
    </w:p>
    <w:p>
      <w:pPr>
        <w:pStyle w:val="Normal"/>
        <w:pBdr/>
        <w:spacing w:lineRule="auto" w:line="276" w:before="0" w:after="200"/>
        <w:rPr>
          <w:rFonts w:ascii="Arial" w:hAnsi="Arial" w:eastAsia="Calibri" w:cs="Arial"/>
          <w:b/>
          <w:b/>
          <w:bCs/>
          <w:iCs/>
          <w:color w:val="000000"/>
          <w:sz w:val="22"/>
          <w:szCs w:val="22"/>
          <w:u w:val="none" w:color="000000"/>
          <w:lang w:val="en-GB"/>
        </w:rPr>
      </w:pPr>
      <w:r>
        <w:rPr>
          <w:rFonts w:eastAsia="Calibri" w:cs="Arial" w:ascii="Arial" w:hAnsi="Arial"/>
          <w:b/>
          <w:bCs/>
          <w:iCs/>
          <w:color w:val="000000"/>
          <w:sz w:val="22"/>
          <w:szCs w:val="22"/>
          <w:u w:val="none" w:color="000000"/>
          <w:lang w:val="en-GB"/>
        </w:rPr>
      </w:r>
      <w:r>
        <w:br w:type="page"/>
      </w:r>
    </w:p>
    <w:p>
      <w:pPr>
        <w:pStyle w:val="Body"/>
        <w:ind w:left="-567" w:right="261" w:hanging="0"/>
        <w:rPr>
          <w:rFonts w:ascii="Arial" w:hAnsi="Arial" w:eastAsia="Calibri" w:cs="Arial"/>
          <w:b/>
          <w:b/>
          <w:bCs/>
          <w:iCs/>
          <w:color w:val="000000"/>
          <w:sz w:val="22"/>
          <w:szCs w:val="22"/>
          <w:u w:val="none" w:color="000000"/>
          <w:lang w:val="en-GB"/>
        </w:rPr>
      </w:pPr>
      <w:r>
        <w:rPr>
          <w:rFonts w:eastAsia="Calibri" w:cs="Arial"/>
          <w:b/>
          <w:bCs/>
          <w:iCs/>
          <w:color w:val="000000"/>
          <w:sz w:val="22"/>
          <w:szCs w:val="22"/>
          <w:u w:val="none" w:color="000000"/>
          <w:lang w:val="en-GB"/>
        </w:rPr>
      </w:r>
    </w:p>
    <w:tbl>
      <w:tblPr>
        <w:tblW w:w="10374" w:type="dxa"/>
        <w:jc w:val="center"/>
        <w:tblInd w:w="0" w:type="dxa"/>
        <w:tblCellMar>
          <w:top w:w="80" w:type="dxa"/>
          <w:left w:w="80" w:type="dxa"/>
          <w:bottom w:w="80" w:type="dxa"/>
          <w:right w:w="80" w:type="dxa"/>
        </w:tblCellMar>
      </w:tblPr>
      <w:tblGrid>
        <w:gridCol w:w="10374"/>
      </w:tblGrid>
      <w:tr>
        <w:trPr>
          <w:trHeight w:val="478" w:hRule="atLeast"/>
        </w:trPr>
        <w:tc>
          <w:tcPr>
            <w:tcW w:w="10374" w:type="dxa"/>
            <w:tcBorders>
              <w:top w:val="single" w:sz="6" w:space="0" w:color="000000"/>
              <w:left w:val="single" w:sz="6" w:space="0" w:color="000000"/>
              <w:right w:val="single" w:sz="6" w:space="0" w:color="000000"/>
            </w:tcBorders>
            <w:shd w:fill="000000" w:val="clear"/>
            <w:vAlign w:val="center"/>
          </w:tcPr>
          <w:p>
            <w:pPr>
              <w:pStyle w:val="Body"/>
              <w:ind w:left="0" w:right="261" w:hanging="0"/>
              <w:rPr>
                <w:rFonts w:eastAsia="Calibri"/>
                <w:b/>
                <w:b/>
                <w:bCs/>
                <w:color w:val="FFFFFF"/>
                <w:u w:val="none" w:color="FFFFFF"/>
              </w:rPr>
            </w:pPr>
            <w:r>
              <w:rPr>
                <w:rFonts w:eastAsia="Calibri"/>
                <w:b/>
                <w:bCs/>
                <w:color w:val="FFFFFF"/>
                <w:u w:val="none" w:color="FFFFFF"/>
              </w:rPr>
              <w:t xml:space="preserve">KEY RELATIONSHIPS </w:t>
            </w:r>
          </w:p>
        </w:tc>
      </w:tr>
      <w:tr>
        <w:trPr>
          <w:trHeight w:val="4535" w:hRule="atLeast"/>
        </w:trPr>
        <w:tc>
          <w:tcPr>
            <w:tcW w:w="10374" w:type="dxa"/>
            <w:tcBorders>
              <w:left w:val="single" w:sz="4" w:space="0" w:color="000000"/>
              <w:right w:val="single" w:sz="6" w:space="0" w:color="000000"/>
            </w:tcBorders>
            <w:shd w:fill="auto" w:val="clear"/>
          </w:tcPr>
          <w:p>
            <w:pPr>
              <w:pStyle w:val="ListParagraph"/>
              <w:numPr>
                <w:ilvl w:val="0"/>
                <w:numId w:val="3"/>
              </w:numPr>
              <w:pBdr/>
              <w:rPr/>
            </w:pPr>
            <w:r>
              <w:rPr/>
              <w:t>Work with key stakeholders and partners at local and GM levels including:</w:t>
            </w:r>
          </w:p>
          <w:p>
            <w:pPr>
              <w:pStyle w:val="ListParagraph"/>
              <w:numPr>
                <w:ilvl w:val="0"/>
                <w:numId w:val="4"/>
              </w:numPr>
              <w:rPr>
                <w:color w:val="000000"/>
              </w:rPr>
            </w:pPr>
            <w:r>
              <w:rPr>
                <w:color w:val="000000"/>
              </w:rPr>
              <w:t>The GMCA and TfGM Information and Data Governance shared service</w:t>
            </w:r>
          </w:p>
          <w:p>
            <w:pPr>
              <w:pStyle w:val="ListParagraph"/>
              <w:numPr>
                <w:ilvl w:val="0"/>
                <w:numId w:val="4"/>
              </w:numPr>
              <w:rPr/>
            </w:pPr>
            <w:r>
              <w:rPr/>
              <w:t>Colleagues in the GMCA and TfGM</w:t>
            </w:r>
          </w:p>
          <w:p>
            <w:pPr>
              <w:pStyle w:val="ListParagraph"/>
              <w:numPr>
                <w:ilvl w:val="0"/>
                <w:numId w:val="4"/>
              </w:numPr>
              <w:rPr/>
            </w:pPr>
            <w:r>
              <w:rPr/>
              <w:t>Internal and external customer groups and strategic partners</w:t>
            </w:r>
          </w:p>
          <w:p>
            <w:pPr>
              <w:pStyle w:val="ListParagraph"/>
              <w:numPr>
                <w:ilvl w:val="0"/>
                <w:numId w:val="4"/>
              </w:numPr>
              <w:rPr/>
            </w:pPr>
            <w:r>
              <w:rPr/>
              <w:t xml:space="preserve">Charity, faith and social enterprise organisations </w:t>
            </w:r>
          </w:p>
          <w:p>
            <w:pPr>
              <w:pStyle w:val="ListParagraph"/>
              <w:numPr>
                <w:ilvl w:val="0"/>
                <w:numId w:val="4"/>
              </w:numPr>
              <w:rPr/>
            </w:pPr>
            <w:r>
              <w:rPr/>
              <w:t>Third party providers of systems and solutions</w:t>
            </w:r>
          </w:p>
          <w:p>
            <w:pPr>
              <w:pStyle w:val="ListParagraph"/>
              <w:numPr>
                <w:ilvl w:val="0"/>
                <w:numId w:val="4"/>
              </w:numPr>
              <w:rPr/>
            </w:pPr>
            <w:r>
              <w:rPr/>
              <w:t xml:space="preserve">Colleagues in Greater Manchester’s wider public sector </w:t>
            </w:r>
          </w:p>
          <w:p>
            <w:pPr>
              <w:pStyle w:val="ListParagraph"/>
              <w:numPr>
                <w:ilvl w:val="0"/>
                <w:numId w:val="4"/>
              </w:numPr>
              <w:rPr/>
            </w:pPr>
            <w:r>
              <w:rPr/>
              <w:t>Residents and resident groups</w:t>
            </w:r>
          </w:p>
          <w:p>
            <w:pPr>
              <w:pStyle w:val="ListParagraph"/>
              <w:numPr>
                <w:ilvl w:val="0"/>
                <w:numId w:val="4"/>
              </w:numPr>
              <w:rPr/>
            </w:pPr>
            <w:r>
              <w:rPr/>
              <w:t>Relevant government departments and national agencies.</w:t>
            </w:r>
          </w:p>
        </w:tc>
      </w:tr>
    </w:tbl>
    <w:p>
      <w:pPr>
        <w:pStyle w:val="Body"/>
        <w:ind w:left="0" w:right="261" w:hanging="0"/>
        <w:rPr>
          <w:rFonts w:eastAsia="Calibri"/>
          <w:b/>
          <w:b/>
          <w:bCs/>
          <w:iCs/>
        </w:rPr>
      </w:pPr>
      <w:r>
        <w:rPr>
          <w:rFonts w:eastAsia="Calibri"/>
          <w:b/>
          <w:bCs/>
          <w:iCs/>
        </w:rPr>
      </w:r>
    </w:p>
    <w:p>
      <w:pPr>
        <w:pStyle w:val="Body"/>
        <w:ind w:left="-567" w:right="261" w:hanging="0"/>
        <w:rPr>
          <w:rFonts w:eastAsia="Calibri"/>
          <w:b/>
          <w:b/>
          <w:bCs/>
          <w:iCs/>
        </w:rPr>
      </w:pPr>
      <w:r>
        <w:rPr>
          <w:rFonts w:eastAsia="Calibri"/>
          <w:b/>
          <w:bCs/>
          <w:iCs/>
        </w:rPr>
      </w:r>
    </w:p>
    <w:tbl>
      <w:tblPr>
        <w:tblW w:w="10374" w:type="dxa"/>
        <w:jc w:val="center"/>
        <w:tblInd w:w="0" w:type="dxa"/>
        <w:tblCellMar>
          <w:top w:w="80" w:type="dxa"/>
          <w:left w:w="80" w:type="dxa"/>
          <w:bottom w:w="80" w:type="dxa"/>
          <w:right w:w="80" w:type="dxa"/>
        </w:tblCellMar>
      </w:tblPr>
      <w:tblGrid>
        <w:gridCol w:w="10369"/>
        <w:gridCol w:w="5"/>
      </w:tblGrid>
      <w:tr>
        <w:trPr>
          <w:trHeight w:val="478" w:hRule="atLeast"/>
        </w:trPr>
        <w:tc>
          <w:tcPr>
            <w:tcW w:w="10374" w:type="dxa"/>
            <w:tcBorders>
              <w:top w:val="single" w:sz="6" w:space="0" w:color="000000"/>
              <w:left w:val="single" w:sz="6" w:space="0" w:color="000000"/>
              <w:right w:val="single" w:sz="6" w:space="0" w:color="000000"/>
            </w:tcBorders>
            <w:shd w:fill="000000" w:val="clear"/>
            <w:vAlign w:val="center"/>
          </w:tcPr>
          <w:p>
            <w:pPr>
              <w:pStyle w:val="Body"/>
              <w:ind w:left="0" w:right="261" w:hanging="0"/>
              <w:rPr>
                <w:rFonts w:eastAsia="Calibri"/>
                <w:b/>
                <w:b/>
                <w:bCs/>
                <w:color w:val="FFFFFF"/>
                <w:u w:val="none" w:color="FFFFFF"/>
              </w:rPr>
            </w:pPr>
            <w:r>
              <w:rPr>
                <w:rFonts w:eastAsia="Calibri"/>
                <w:b/>
                <w:bCs/>
                <w:color w:val="FFFFFF"/>
                <w:u w:val="none" w:color="FFFFFF"/>
              </w:rPr>
              <w:t xml:space="preserve">KEY RESPONSIBILITIES </w:t>
            </w:r>
          </w:p>
        </w:tc>
      </w:tr>
      <w:tr>
        <w:trPr>
          <w:trHeight w:val="3322" w:hRule="atLeast"/>
        </w:trPr>
        <w:tc>
          <w:tcPr>
            <w:tcW w:w="10374" w:type="dxa"/>
            <w:tcBorders>
              <w:left w:val="single" w:sz="4" w:space="0" w:color="000000"/>
              <w:right w:val="single" w:sz="6" w:space="0" w:color="000000"/>
            </w:tcBorders>
            <w:shd w:fill="auto" w:val="clear"/>
            <w:vAlign w:val="center"/>
          </w:tcPr>
          <w:p>
            <w:pPr>
              <w:pStyle w:val="ListParagraph"/>
              <w:numPr>
                <w:ilvl w:val="0"/>
                <w:numId w:val="2"/>
              </w:numPr>
              <w:pBdr/>
              <w:spacing w:before="120" w:after="120"/>
              <w:rPr>
                <w:color w:val="000000"/>
              </w:rPr>
            </w:pPr>
            <w:r>
              <w:rPr>
                <w:color w:val="000000"/>
              </w:rPr>
              <w:t xml:space="preserve">Support the IDG Change Function by performing key administrative tasks that support programme and project delivery. </w:t>
            </w:r>
          </w:p>
          <w:p>
            <w:pPr>
              <w:pStyle w:val="ListParagraph"/>
              <w:numPr>
                <w:ilvl w:val="0"/>
                <w:numId w:val="2"/>
              </w:numPr>
              <w:pBdr/>
              <w:spacing w:before="120" w:after="120"/>
              <w:rPr/>
            </w:pPr>
            <w:r>
              <w:rPr/>
              <w:t xml:space="preserve">Taking ownership of project support related tasks such as creating and monitoring the structure of projects. </w:t>
            </w:r>
          </w:p>
          <w:p>
            <w:pPr>
              <w:pStyle w:val="ListParagraph"/>
              <w:numPr>
                <w:ilvl w:val="0"/>
                <w:numId w:val="2"/>
              </w:numPr>
              <w:pBdr/>
              <w:spacing w:before="120" w:after="120"/>
              <w:rPr>
                <w:color w:val="000000"/>
              </w:rPr>
            </w:pPr>
            <w:r>
              <w:rPr>
                <w:color w:val="000000"/>
              </w:rPr>
              <w:t>Assist the management of stakeholders by maintaining a positive, professional approach in your communications and interactions.</w:t>
            </w:r>
          </w:p>
          <w:p>
            <w:pPr>
              <w:pStyle w:val="ListParagraph"/>
              <w:numPr>
                <w:ilvl w:val="0"/>
                <w:numId w:val="2"/>
              </w:numPr>
              <w:pBdr/>
              <w:spacing w:before="120" w:after="120"/>
              <w:rPr/>
            </w:pPr>
            <w:r>
              <w:rPr/>
              <w:t>Schedule programme and project related meetings, workshops and events, liaising with key stakeholders to monitor attendance and taking notes/minutes.</w:t>
            </w:r>
          </w:p>
          <w:p>
            <w:pPr>
              <w:pStyle w:val="ListParagraph"/>
              <w:numPr>
                <w:ilvl w:val="0"/>
                <w:numId w:val="2"/>
              </w:numPr>
              <w:pBdr/>
              <w:spacing w:before="120" w:after="120"/>
              <w:rPr/>
            </w:pPr>
            <w:r>
              <w:rPr/>
              <w:t>Assist with comms and engagement activities such as the collation of content for the GM Information Strategy newsletter and maintaining the IDG intranet sites across GMCA and TfGM.</w:t>
            </w:r>
          </w:p>
          <w:p>
            <w:pPr>
              <w:pStyle w:val="ListParagraph"/>
              <w:numPr>
                <w:ilvl w:val="0"/>
                <w:numId w:val="2"/>
              </w:numPr>
              <w:pBdr/>
              <w:spacing w:before="120" w:after="120"/>
              <w:rPr/>
            </w:pPr>
            <w:r>
              <w:rPr/>
              <w:t>Deputise for Project Managers at project meetings and events as required, and report back accordingly.</w:t>
            </w:r>
          </w:p>
          <w:p>
            <w:pPr>
              <w:pStyle w:val="ListParagraph"/>
              <w:numPr>
                <w:ilvl w:val="0"/>
                <w:numId w:val="2"/>
              </w:numPr>
              <w:pBdr/>
              <w:spacing w:before="120" w:after="120"/>
              <w:rPr/>
            </w:pPr>
            <w:r>
              <w:rPr/>
              <w:t xml:space="preserve">Support the Project Managers by monitoring key tasks and deadlines, following up with task owners and highlighting when milestones may be at risk. </w:t>
            </w:r>
          </w:p>
          <w:p>
            <w:pPr>
              <w:pStyle w:val="ListParagraph"/>
              <w:numPr>
                <w:ilvl w:val="0"/>
                <w:numId w:val="2"/>
              </w:numPr>
              <w:pBdr/>
              <w:spacing w:before="120" w:after="120"/>
              <w:rPr/>
            </w:pPr>
            <w:r>
              <w:rPr/>
              <w:t xml:space="preserve">Take an active role in benefits realisation by monitoring project benefits after they have transitioned to business as usual. </w:t>
            </w:r>
          </w:p>
          <w:p>
            <w:pPr>
              <w:pStyle w:val="ListParagraph"/>
              <w:numPr>
                <w:ilvl w:val="0"/>
                <w:numId w:val="2"/>
              </w:numPr>
              <w:pBdr/>
              <w:spacing w:before="120" w:after="120"/>
              <w:rPr/>
            </w:pPr>
            <w:r>
              <w:rPr/>
              <w:t>Ensure best practice and any change to guidance is incorporated into standard forms and is reflected in procedures and guidance documents.</w:t>
            </w:r>
          </w:p>
          <w:p>
            <w:pPr>
              <w:pStyle w:val="ListParagraph"/>
              <w:numPr>
                <w:ilvl w:val="0"/>
                <w:numId w:val="2"/>
              </w:numPr>
              <w:spacing w:before="120" w:after="120"/>
              <w:rPr/>
            </w:pPr>
            <w:r>
              <w:rPr/>
              <w:t>To support project procurement activities by raising purchase orders and ensuring payments are made in a timely fashion.</w:t>
            </w:r>
          </w:p>
          <w:p>
            <w:pPr>
              <w:pStyle w:val="ListParagraph"/>
              <w:numPr>
                <w:ilvl w:val="0"/>
                <w:numId w:val="2"/>
              </w:numPr>
              <w:spacing w:before="120" w:after="120"/>
              <w:rPr/>
            </w:pPr>
            <w:r>
              <w:rPr/>
              <w:t>To support the drafting and preparation of reports, presentations, and communications material for a range of GM stakeholders, tailored appropriately for the audience.</w:t>
            </w:r>
          </w:p>
          <w:p>
            <w:pPr>
              <w:pStyle w:val="ListParagraph"/>
              <w:numPr>
                <w:ilvl w:val="0"/>
                <w:numId w:val="2"/>
              </w:numPr>
              <w:pBdr/>
              <w:spacing w:before="120" w:after="0"/>
              <w:rPr/>
            </w:pPr>
            <w:r>
              <w:rPr/>
              <w:t>To undertake any other duties commensurate with the grade of the post.</w:t>
            </w:r>
          </w:p>
          <w:p>
            <w:pPr>
              <w:pStyle w:val="Normal"/>
              <w:pBdr/>
              <w:spacing w:before="120" w:after="0"/>
              <w:rPr>
                <w:rFonts w:ascii="Arial" w:hAnsi="Arial" w:cs="Arial"/>
                <w:bCs/>
                <w:sz w:val="22"/>
                <w:szCs w:val="22"/>
              </w:rPr>
            </w:pPr>
            <w:r>
              <w:rPr>
                <w:rFonts w:cs="Arial" w:ascii="Arial" w:hAnsi="Arial"/>
                <w:bCs/>
                <w:sz w:val="22"/>
                <w:szCs w:val="22"/>
              </w:rPr>
            </w:r>
          </w:p>
        </w:tc>
      </w:tr>
      <w:tr>
        <w:trPr>
          <w:trHeight w:val="180" w:hRule="atLeast"/>
        </w:trPr>
        <w:tc>
          <w:tcPr>
            <w:tcW w:w="10369" w:type="dxa"/>
            <w:tcBorders>
              <w:top w:val="single" w:sz="4" w:space="0" w:color="000000"/>
              <w:left w:val="single" w:sz="4" w:space="0" w:color="000000"/>
              <w:bottom w:val="single" w:sz="4" w:space="0" w:color="000000"/>
              <w:right w:val="single" w:sz="4" w:space="0" w:color="000000"/>
            </w:tcBorders>
            <w:shd w:fill="000000" w:val="clear"/>
            <w:vAlign w:val="center"/>
          </w:tcPr>
          <w:p>
            <w:pPr>
              <w:pStyle w:val="Body"/>
              <w:ind w:left="0" w:right="261" w:hanging="0"/>
              <w:rPr/>
            </w:pPr>
            <w:r>
              <w:rPr>
                <w:rFonts w:eastAsia="Arial"/>
                <w:b/>
                <w:bCs/>
                <w:color w:val="FFFFFF"/>
                <w:lang w:val="en-US"/>
              </w:rPr>
              <w:t xml:space="preserve"> </w:t>
            </w:r>
            <w:r>
              <w:rPr>
                <w:rFonts w:eastAsia="Calibri"/>
                <w:b/>
                <w:bCs/>
                <w:color w:val="FFFFFF"/>
                <w:lang w:val="en-US"/>
              </w:rPr>
              <w:t>KNOWLEDGE, SKILLS AND EXPERIENCE</w:t>
            </w:r>
          </w:p>
        </w:tc>
      </w:tr>
      <w:tr>
        <w:trPr>
          <w:trHeight w:val="1045" w:hRule="atLeast"/>
        </w:trPr>
        <w:tc>
          <w:tcPr>
            <w:tcW w:w="10369" w:type="dxa"/>
            <w:tcBorders>
              <w:top w:val="single" w:sz="4" w:space="0" w:color="000000"/>
              <w:left w:val="single" w:sz="4" w:space="0" w:color="000000"/>
              <w:bottom w:val="single" w:sz="4" w:space="0" w:color="000000"/>
              <w:right w:val="single" w:sz="4" w:space="0" w:color="000000"/>
            </w:tcBorders>
            <w:shd w:fill="auto" w:val="clear"/>
            <w:tcMar>
              <w:left w:w="363" w:type="dxa"/>
            </w:tcMar>
            <w:vAlign w:val="center"/>
          </w:tcPr>
          <w:p>
            <w:pPr>
              <w:pStyle w:val="Normal"/>
              <w:pBdr/>
              <w:spacing w:before="120" w:after="120"/>
              <w:rPr>
                <w:rFonts w:ascii="Arial" w:hAnsi="Arial" w:cs="Arial"/>
                <w:b/>
                <w:b/>
                <w:bCs/>
                <w:sz w:val="22"/>
                <w:szCs w:val="22"/>
              </w:rPr>
            </w:pPr>
            <w:r>
              <w:rPr>
                <w:rFonts w:cs="Arial" w:ascii="Arial" w:hAnsi="Arial"/>
                <w:b/>
                <w:bCs/>
                <w:sz w:val="22"/>
                <w:szCs w:val="22"/>
              </w:rPr>
              <w:t>Knowledge &amp; Experience</w:t>
            </w:r>
          </w:p>
          <w:p>
            <w:pPr>
              <w:pStyle w:val="Normal"/>
              <w:pBdr/>
              <w:rPr>
                <w:rFonts w:ascii="Arial" w:hAnsi="Arial" w:cs="Arial"/>
                <w:sz w:val="22"/>
                <w:szCs w:val="22"/>
              </w:rPr>
            </w:pPr>
            <w:r>
              <w:rPr>
                <w:rFonts w:cs="Arial" w:ascii="Arial" w:hAnsi="Arial"/>
                <w:sz w:val="22"/>
                <w:szCs w:val="22"/>
              </w:rPr>
              <w:t>Essential:</w:t>
            </w:r>
          </w:p>
          <w:p>
            <w:pPr>
              <w:pStyle w:val="Normal"/>
              <w:numPr>
                <w:ilvl w:val="0"/>
                <w:numId w:val="5"/>
              </w:numPr>
              <w:pBdr/>
              <w:tabs>
                <w:tab w:val="clear" w:pos="720"/>
                <w:tab w:val="left" w:pos="420" w:leader="none"/>
              </w:tabs>
              <w:rPr>
                <w:rFonts w:ascii="Arial" w:hAnsi="Arial" w:cs="Arial"/>
                <w:sz w:val="22"/>
                <w:szCs w:val="22"/>
              </w:rPr>
            </w:pPr>
            <w:r>
              <w:rPr>
                <w:rFonts w:cs="Arial" w:ascii="Arial" w:hAnsi="Arial"/>
                <w:sz w:val="22"/>
                <w:szCs w:val="22"/>
              </w:rPr>
              <w:t xml:space="preserve">Demonstration of relevant project support work experience. </w:t>
            </w:r>
          </w:p>
          <w:p>
            <w:pPr>
              <w:pStyle w:val="ListParagraph"/>
              <w:numPr>
                <w:ilvl w:val="0"/>
                <w:numId w:val="5"/>
              </w:numPr>
              <w:rPr/>
            </w:pPr>
            <w:r>
              <w:rPr/>
              <w:t>Knowledge of project methodologies e.g. Prince2, Agile etc.</w:t>
            </w:r>
          </w:p>
          <w:p>
            <w:pPr>
              <w:pStyle w:val="ListParagraph"/>
              <w:numPr>
                <w:ilvl w:val="0"/>
                <w:numId w:val="5"/>
              </w:numPr>
              <w:rPr/>
            </w:pPr>
            <w:r>
              <w:rPr/>
              <w:t>Knowledge of project management documents and tools e.g. Microsoft Planner or Microsoft Project, Project Documentation, Risk Registers etc.</w:t>
            </w:r>
          </w:p>
          <w:p>
            <w:pPr>
              <w:pStyle w:val="Normal"/>
              <w:numPr>
                <w:ilvl w:val="0"/>
                <w:numId w:val="5"/>
              </w:numPr>
              <w:pBdr/>
              <w:tabs>
                <w:tab w:val="clear" w:pos="720"/>
                <w:tab w:val="left" w:pos="420" w:leader="none"/>
              </w:tabs>
              <w:rPr>
                <w:rFonts w:ascii="Arial" w:hAnsi="Arial" w:cs="Arial"/>
                <w:sz w:val="22"/>
                <w:szCs w:val="22"/>
              </w:rPr>
            </w:pPr>
            <w:r>
              <w:rPr>
                <w:rFonts w:cs="Arial" w:ascii="Arial" w:hAnsi="Arial"/>
                <w:sz w:val="22"/>
                <w:szCs w:val="22"/>
              </w:rPr>
              <w:t>Experience in administrative activities providing consistent and high-quality outputs in the role.</w:t>
            </w:r>
          </w:p>
          <w:p>
            <w:pPr>
              <w:pStyle w:val="Normal"/>
              <w:numPr>
                <w:ilvl w:val="0"/>
                <w:numId w:val="5"/>
              </w:numPr>
              <w:pBdr/>
              <w:tabs>
                <w:tab w:val="clear" w:pos="720"/>
                <w:tab w:val="left" w:pos="420" w:leader="none"/>
              </w:tabs>
              <w:rPr>
                <w:rFonts w:ascii="Arial" w:hAnsi="Arial" w:cs="Arial"/>
                <w:sz w:val="22"/>
                <w:szCs w:val="22"/>
              </w:rPr>
            </w:pPr>
            <w:r>
              <w:rPr>
                <w:rFonts w:cs="Arial" w:ascii="Arial" w:hAnsi="Arial"/>
                <w:sz w:val="22"/>
                <w:szCs w:val="22"/>
              </w:rPr>
              <w:t>Experience of producing reports, briefing papers and presentations.</w:t>
            </w:r>
          </w:p>
          <w:p>
            <w:pPr>
              <w:pStyle w:val="Normal"/>
              <w:numPr>
                <w:ilvl w:val="0"/>
                <w:numId w:val="5"/>
              </w:numPr>
              <w:pBdr/>
              <w:tabs>
                <w:tab w:val="clear" w:pos="720"/>
                <w:tab w:val="left" w:pos="420" w:leader="none"/>
              </w:tabs>
              <w:rPr>
                <w:rFonts w:ascii="Arial" w:hAnsi="Arial" w:cs="Arial"/>
                <w:sz w:val="22"/>
                <w:szCs w:val="22"/>
              </w:rPr>
            </w:pPr>
            <w:r>
              <w:rPr>
                <w:rFonts w:cs="Arial" w:ascii="Arial" w:hAnsi="Arial"/>
                <w:sz w:val="22"/>
                <w:szCs w:val="22"/>
              </w:rPr>
              <w:t xml:space="preserve">Experience of managing multiple tasks and prioritising workload to manage expectations. </w:t>
            </w:r>
          </w:p>
          <w:p>
            <w:pPr>
              <w:pStyle w:val="Normal"/>
              <w:rPr>
                <w:iCs/>
              </w:rPr>
            </w:pPr>
            <w:r>
              <w:rPr>
                <w:iCs/>
              </w:rPr>
              <w:t>Desirable:</w:t>
            </w:r>
          </w:p>
          <w:p>
            <w:pPr>
              <w:pStyle w:val="ListParagraph"/>
              <w:numPr>
                <w:ilvl w:val="0"/>
                <w:numId w:val="5"/>
              </w:numPr>
              <w:rPr/>
            </w:pPr>
            <w:r>
              <w:rPr/>
              <w:t xml:space="preserve">Qualifications relevant to the post which support either administrative support work or project delivery  </w:t>
            </w:r>
          </w:p>
          <w:p>
            <w:pPr>
              <w:pStyle w:val="ListParagraph"/>
              <w:numPr>
                <w:ilvl w:val="0"/>
                <w:numId w:val="5"/>
              </w:numPr>
              <w:rPr/>
            </w:pPr>
            <w:r>
              <w:rPr/>
              <w:t>Experience of operating across multiple organisations or in a complex political environment</w:t>
            </w:r>
          </w:p>
          <w:p>
            <w:pPr>
              <w:pStyle w:val="Normal"/>
              <w:numPr>
                <w:ilvl w:val="0"/>
                <w:numId w:val="5"/>
              </w:numPr>
              <w:pBdr/>
              <w:tabs>
                <w:tab w:val="clear" w:pos="720"/>
                <w:tab w:val="left" w:pos="420" w:leader="none"/>
              </w:tabs>
              <w:rPr>
                <w:rFonts w:ascii="Arial" w:hAnsi="Arial" w:cs="Arial"/>
                <w:sz w:val="22"/>
                <w:szCs w:val="22"/>
              </w:rPr>
            </w:pPr>
            <w:r>
              <w:rPr>
                <w:rFonts w:cs="Arial" w:ascii="Arial" w:hAnsi="Arial"/>
                <w:sz w:val="22"/>
                <w:szCs w:val="22"/>
              </w:rPr>
              <w:t>Experience of working with a range of stakeholders to deliver a project’s vision and goals</w:t>
            </w:r>
          </w:p>
          <w:p>
            <w:pPr>
              <w:pStyle w:val="Normal"/>
              <w:numPr>
                <w:ilvl w:val="0"/>
                <w:numId w:val="5"/>
              </w:numPr>
              <w:pBdr/>
              <w:tabs>
                <w:tab w:val="clear" w:pos="720"/>
                <w:tab w:val="left" w:pos="420" w:leader="none"/>
              </w:tabs>
              <w:rPr>
                <w:rFonts w:ascii="Arial" w:hAnsi="Arial" w:cs="Arial"/>
                <w:sz w:val="22"/>
                <w:szCs w:val="22"/>
              </w:rPr>
            </w:pPr>
            <w:r>
              <w:rPr>
                <w:rFonts w:cs="Arial" w:ascii="Arial" w:hAnsi="Arial"/>
                <w:sz w:val="22"/>
                <w:szCs w:val="22"/>
              </w:rPr>
              <w:t>Experience or knowledge of Information Governance and Data Protection</w:t>
            </w:r>
          </w:p>
          <w:p>
            <w:pPr>
              <w:pStyle w:val="Normal"/>
              <w:pBdr/>
              <w:tabs>
                <w:tab w:val="clear" w:pos="720"/>
                <w:tab w:val="left" w:pos="420" w:leader="none"/>
              </w:tabs>
              <w:ind w:left="720" w:right="0" w:hanging="0"/>
              <w:rPr>
                <w:rFonts w:ascii="Arial" w:hAnsi="Arial" w:cs="Arial"/>
                <w:sz w:val="22"/>
                <w:szCs w:val="22"/>
              </w:rPr>
            </w:pPr>
            <w:r>
              <w:rPr>
                <w:rFonts w:cs="Arial" w:ascii="Arial" w:hAnsi="Arial"/>
                <w:sz w:val="22"/>
                <w:szCs w:val="22"/>
              </w:rPr>
            </w:r>
          </w:p>
          <w:p>
            <w:pPr>
              <w:pStyle w:val="ListParagraph"/>
              <w:rPr>
                <w:rFonts w:ascii="Arial" w:hAnsi="Arial" w:cs="Arial"/>
                <w:iCs/>
                <w:sz w:val="22"/>
                <w:szCs w:val="22"/>
              </w:rPr>
            </w:pPr>
            <w:r>
              <w:rPr>
                <w:rFonts w:cs="Arial"/>
                <w:iCs/>
                <w:sz w:val="22"/>
                <w:szCs w:val="22"/>
              </w:rPr>
            </w:r>
          </w:p>
          <w:p>
            <w:pPr>
              <w:pStyle w:val="Normal"/>
              <w:spacing w:before="120" w:after="120"/>
              <w:rPr>
                <w:rFonts w:ascii="Arial" w:hAnsi="Arial" w:cs="Arial"/>
                <w:b/>
                <w:b/>
                <w:bCs/>
                <w:sz w:val="22"/>
                <w:szCs w:val="22"/>
              </w:rPr>
            </w:pPr>
            <w:r>
              <w:rPr>
                <w:rFonts w:cs="Arial" w:ascii="Arial" w:hAnsi="Arial"/>
                <w:b/>
                <w:bCs/>
                <w:sz w:val="22"/>
                <w:szCs w:val="22"/>
              </w:rPr>
              <w:t>Skills &amp; Behaviour</w:t>
            </w:r>
          </w:p>
          <w:p>
            <w:pPr>
              <w:pStyle w:val="Normal"/>
              <w:numPr>
                <w:ilvl w:val="0"/>
                <w:numId w:val="5"/>
              </w:numPr>
              <w:pBdr/>
              <w:tabs>
                <w:tab w:val="clear" w:pos="720"/>
                <w:tab w:val="left" w:pos="420" w:leader="none"/>
              </w:tabs>
              <w:rPr>
                <w:rFonts w:ascii="Arial" w:hAnsi="Arial" w:cs="Arial"/>
                <w:sz w:val="22"/>
                <w:szCs w:val="22"/>
              </w:rPr>
            </w:pPr>
            <w:r>
              <w:rPr>
                <w:rFonts w:cs="Arial" w:ascii="Arial" w:hAnsi="Arial"/>
                <w:sz w:val="22"/>
                <w:szCs w:val="22"/>
              </w:rPr>
              <w:t xml:space="preserve">Excellent time management and organisational skills, </w:t>
            </w:r>
          </w:p>
          <w:p>
            <w:pPr>
              <w:pStyle w:val="Normal"/>
              <w:numPr>
                <w:ilvl w:val="0"/>
                <w:numId w:val="5"/>
              </w:numPr>
              <w:pBdr/>
              <w:tabs>
                <w:tab w:val="clear" w:pos="720"/>
                <w:tab w:val="left" w:pos="420" w:leader="none"/>
              </w:tabs>
              <w:rPr>
                <w:rFonts w:ascii="Arial" w:hAnsi="Arial" w:cs="Arial"/>
                <w:sz w:val="22"/>
                <w:szCs w:val="22"/>
              </w:rPr>
            </w:pPr>
            <w:r>
              <w:rPr>
                <w:rFonts w:cs="Arial" w:ascii="Arial" w:hAnsi="Arial"/>
                <w:sz w:val="22"/>
                <w:szCs w:val="22"/>
              </w:rPr>
              <w:t>Ability to prioritise to meet stakeholder and business needs.</w:t>
            </w:r>
          </w:p>
          <w:p>
            <w:pPr>
              <w:pStyle w:val="Normal"/>
              <w:numPr>
                <w:ilvl w:val="0"/>
                <w:numId w:val="5"/>
              </w:numPr>
              <w:pBdr/>
              <w:tabs>
                <w:tab w:val="clear" w:pos="720"/>
                <w:tab w:val="left" w:pos="420" w:leader="none"/>
              </w:tabs>
              <w:rPr>
                <w:rFonts w:ascii="Arial" w:hAnsi="Arial" w:cs="Arial"/>
                <w:sz w:val="22"/>
                <w:szCs w:val="22"/>
              </w:rPr>
            </w:pPr>
            <w:r>
              <w:rPr>
                <w:rFonts w:cs="Arial" w:ascii="Arial" w:hAnsi="Arial"/>
                <w:sz w:val="22"/>
                <w:szCs w:val="22"/>
              </w:rPr>
              <w:t>Attention to detail.</w:t>
            </w:r>
          </w:p>
          <w:p>
            <w:pPr>
              <w:pStyle w:val="Normal"/>
              <w:numPr>
                <w:ilvl w:val="0"/>
                <w:numId w:val="5"/>
              </w:numPr>
              <w:pBdr/>
              <w:tabs>
                <w:tab w:val="clear" w:pos="720"/>
                <w:tab w:val="left" w:pos="420" w:leader="none"/>
              </w:tabs>
              <w:rPr>
                <w:rFonts w:ascii="Arial" w:hAnsi="Arial" w:cs="Arial"/>
                <w:sz w:val="22"/>
                <w:szCs w:val="22"/>
              </w:rPr>
            </w:pPr>
            <w:r>
              <w:rPr>
                <w:rFonts w:cs="Arial" w:ascii="Arial" w:hAnsi="Arial"/>
                <w:sz w:val="22"/>
                <w:szCs w:val="22"/>
              </w:rPr>
              <w:t xml:space="preserve">A positive outlook and flexible approach </w:t>
            </w:r>
          </w:p>
          <w:p>
            <w:pPr>
              <w:pStyle w:val="Normal"/>
              <w:numPr>
                <w:ilvl w:val="0"/>
                <w:numId w:val="5"/>
              </w:numPr>
              <w:pBdr/>
              <w:rPr>
                <w:rFonts w:ascii="Arial" w:hAnsi="Arial" w:cs="Arial"/>
                <w:sz w:val="22"/>
                <w:szCs w:val="22"/>
              </w:rPr>
            </w:pPr>
            <w:r>
              <w:rPr>
                <w:rFonts w:cs="Arial" w:ascii="Arial" w:hAnsi="Arial"/>
                <w:sz w:val="22"/>
                <w:szCs w:val="22"/>
              </w:rPr>
              <w:t xml:space="preserve">High professional standards </w:t>
            </w:r>
          </w:p>
          <w:p>
            <w:pPr>
              <w:pStyle w:val="Normal"/>
              <w:numPr>
                <w:ilvl w:val="0"/>
                <w:numId w:val="5"/>
              </w:numPr>
              <w:pBdr/>
              <w:rPr>
                <w:rFonts w:ascii="Arial" w:hAnsi="Arial" w:cs="Arial"/>
                <w:sz w:val="22"/>
                <w:szCs w:val="22"/>
              </w:rPr>
            </w:pPr>
            <w:r>
              <w:rPr>
                <w:rFonts w:cs="Arial" w:ascii="Arial" w:hAnsi="Arial"/>
                <w:sz w:val="22"/>
                <w:szCs w:val="22"/>
              </w:rPr>
              <w:t>Planning and task management skills.</w:t>
            </w:r>
          </w:p>
          <w:p>
            <w:pPr>
              <w:pStyle w:val="Normal"/>
              <w:numPr>
                <w:ilvl w:val="0"/>
                <w:numId w:val="5"/>
              </w:numPr>
              <w:pBdr/>
              <w:rPr>
                <w:rFonts w:ascii="Arial" w:hAnsi="Arial" w:cs="Arial"/>
                <w:sz w:val="22"/>
                <w:szCs w:val="22"/>
              </w:rPr>
            </w:pPr>
            <w:r>
              <w:rPr>
                <w:rFonts w:cs="Arial" w:ascii="Arial" w:hAnsi="Arial"/>
                <w:sz w:val="22"/>
                <w:szCs w:val="22"/>
              </w:rPr>
              <w:t>Proactive team player who is self-motivated.</w:t>
            </w:r>
          </w:p>
          <w:p>
            <w:pPr>
              <w:pStyle w:val="Normal"/>
              <w:numPr>
                <w:ilvl w:val="0"/>
                <w:numId w:val="5"/>
              </w:numPr>
              <w:pBdr/>
              <w:rPr>
                <w:rFonts w:ascii="Arial" w:hAnsi="Arial" w:cs="Arial"/>
                <w:sz w:val="22"/>
                <w:szCs w:val="22"/>
              </w:rPr>
            </w:pPr>
            <w:r>
              <w:rPr>
                <w:rFonts w:cs="Arial" w:ascii="Arial" w:hAnsi="Arial"/>
                <w:sz w:val="22"/>
                <w:szCs w:val="22"/>
              </w:rPr>
              <w:t>Deadline-driven.</w:t>
            </w:r>
          </w:p>
          <w:p>
            <w:pPr>
              <w:pStyle w:val="Normal"/>
              <w:numPr>
                <w:ilvl w:val="0"/>
                <w:numId w:val="5"/>
              </w:numPr>
              <w:pBdr/>
              <w:rPr>
                <w:rFonts w:ascii="Arial" w:hAnsi="Arial" w:cs="Arial"/>
                <w:sz w:val="22"/>
                <w:szCs w:val="22"/>
              </w:rPr>
            </w:pPr>
            <w:r>
              <w:rPr>
                <w:rFonts w:cs="Arial" w:ascii="Arial" w:hAnsi="Arial"/>
                <w:sz w:val="22"/>
                <w:szCs w:val="22"/>
              </w:rPr>
              <w:t>Ability to produce high quality work to tight deadlines.</w:t>
            </w:r>
          </w:p>
          <w:p>
            <w:pPr>
              <w:pStyle w:val="Normal"/>
              <w:numPr>
                <w:ilvl w:val="0"/>
                <w:numId w:val="5"/>
              </w:numPr>
              <w:pBdr/>
              <w:rPr>
                <w:rFonts w:ascii="Arial" w:hAnsi="Arial" w:cs="Arial"/>
                <w:sz w:val="22"/>
                <w:szCs w:val="22"/>
              </w:rPr>
            </w:pPr>
            <w:r>
              <w:rPr>
                <w:rFonts w:cs="Arial" w:ascii="Arial" w:hAnsi="Arial"/>
                <w:sz w:val="22"/>
                <w:szCs w:val="22"/>
              </w:rPr>
              <w:t>Proficiency with Microsoft Office 365.</w:t>
            </w:r>
          </w:p>
        </w:tc>
      </w:tr>
    </w:tbl>
    <w:p>
      <w:pPr>
        <w:pStyle w:val="Body"/>
        <w:ind w:left="0" w:right="261" w:hanging="0"/>
        <w:rPr>
          <w:rFonts w:eastAsia="Calibri"/>
          <w:b/>
          <w:b/>
          <w:bCs/>
          <w:iCs/>
        </w:rPr>
      </w:pPr>
      <w:r>
        <w:rPr>
          <w:rFonts w:eastAsia="Calibri"/>
          <w:b/>
          <w:bCs/>
          <w:iCs/>
        </w:rPr>
      </w:r>
    </w:p>
    <w:p>
      <w:pPr>
        <w:pStyle w:val="Body"/>
        <w:ind w:left="-567" w:right="261" w:hanging="0"/>
        <w:rPr>
          <w:rFonts w:eastAsia="Calibri"/>
          <w:b/>
          <w:b/>
          <w:bCs/>
          <w:iCs/>
        </w:rPr>
      </w:pPr>
      <w:r>
        <w:rPr>
          <w:rFonts w:eastAsia="Calibri"/>
          <w:b/>
          <w:bCs/>
          <w:iCs/>
        </w:rPr>
      </w:r>
    </w:p>
    <w:sectPr>
      <w:headerReference w:type="default" r:id="rId2"/>
      <w:headerReference w:type="first" r:id="rId3"/>
      <w:footerReference w:type="default" r:id="rId4"/>
      <w:footerReference w:type="first" r:id="rId5"/>
      <w:type w:val="nextPage"/>
      <w:pgSz w:w="11906" w:h="16838"/>
      <w:pgMar w:left="1440" w:right="1440" w:header="426" w:top="993" w:footer="144" w:bottom="851"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Courier New">
    <w:charset w:val="00"/>
    <w:family w:val="roman"/>
    <w:pitch w:val="variable"/>
  </w:font>
  <w:font w:name="inherit">
    <w:charset w:val="00"/>
    <w:family w:val="roman"/>
    <w:pitch w:val="variable"/>
  </w:font>
  <w:font w:name="Liberation Sans">
    <w:altName w:val="Arial"/>
    <w:charset w:val="00"/>
    <w:family w:val="swiss"/>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3</w:t>
    </w:r>
    <w:r>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b/>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524" w:hanging="360"/>
      </w:pPr>
      <w:rPr>
        <w:rFonts w:ascii="Symbol" w:hAnsi="Symbol" w:cs="Symbol" w:hint="default"/>
        <w:rFonts w:cs="Symbol"/>
      </w:rPr>
    </w:lvl>
    <w:lvl w:ilvl="1">
      <w:start w:val="1"/>
      <w:numFmt w:val="bullet"/>
      <w:lvlText w:val="o"/>
      <w:lvlJc w:val="left"/>
      <w:pPr>
        <w:ind w:left="1244" w:hanging="360"/>
      </w:pPr>
      <w:rPr>
        <w:rFonts w:ascii="Courier New" w:hAnsi="Courier New" w:cs="Courier New" w:hint="default"/>
        <w:rFonts w:cs="Courier New"/>
      </w:rPr>
    </w:lvl>
    <w:lvl w:ilvl="2">
      <w:start w:val="1"/>
      <w:numFmt w:val="bullet"/>
      <w:lvlText w:val=""/>
      <w:lvlJc w:val="left"/>
      <w:pPr>
        <w:ind w:left="1964" w:hanging="360"/>
      </w:pPr>
      <w:rPr>
        <w:rFonts w:ascii="Wingdings" w:hAnsi="Wingdings" w:cs="Wingdings" w:hint="default"/>
        <w:rFonts w:cs="Wingdings"/>
      </w:rPr>
    </w:lvl>
    <w:lvl w:ilvl="3">
      <w:start w:val="1"/>
      <w:numFmt w:val="bullet"/>
      <w:lvlText w:val=""/>
      <w:lvlJc w:val="left"/>
      <w:pPr>
        <w:ind w:left="2684" w:hanging="360"/>
      </w:pPr>
      <w:rPr>
        <w:rFonts w:ascii="Symbol" w:hAnsi="Symbol" w:cs="Symbol" w:hint="default"/>
        <w:rFonts w:cs="Symbol"/>
      </w:rPr>
    </w:lvl>
    <w:lvl w:ilvl="4">
      <w:start w:val="1"/>
      <w:numFmt w:val="bullet"/>
      <w:lvlText w:val="o"/>
      <w:lvlJc w:val="left"/>
      <w:pPr>
        <w:ind w:left="3404" w:hanging="360"/>
      </w:pPr>
      <w:rPr>
        <w:rFonts w:ascii="Courier New" w:hAnsi="Courier New" w:cs="Courier New" w:hint="default"/>
        <w:rFonts w:cs="Courier New"/>
      </w:rPr>
    </w:lvl>
    <w:lvl w:ilvl="5">
      <w:start w:val="1"/>
      <w:numFmt w:val="bullet"/>
      <w:lvlText w:val=""/>
      <w:lvlJc w:val="left"/>
      <w:pPr>
        <w:ind w:left="4124" w:hanging="360"/>
      </w:pPr>
      <w:rPr>
        <w:rFonts w:ascii="Wingdings" w:hAnsi="Wingdings" w:cs="Wingdings" w:hint="default"/>
        <w:rFonts w:cs="Wingdings"/>
      </w:rPr>
    </w:lvl>
    <w:lvl w:ilvl="6">
      <w:start w:val="1"/>
      <w:numFmt w:val="bullet"/>
      <w:lvlText w:val=""/>
      <w:lvlJc w:val="left"/>
      <w:pPr>
        <w:ind w:left="4844" w:hanging="360"/>
      </w:pPr>
      <w:rPr>
        <w:rFonts w:ascii="Symbol" w:hAnsi="Symbol" w:cs="Symbol" w:hint="default"/>
        <w:rFonts w:cs="Symbol"/>
      </w:rPr>
    </w:lvl>
    <w:lvl w:ilvl="7">
      <w:start w:val="1"/>
      <w:numFmt w:val="bullet"/>
      <w:lvlText w:val="o"/>
      <w:lvlJc w:val="left"/>
      <w:pPr>
        <w:ind w:left="5564" w:hanging="360"/>
      </w:pPr>
      <w:rPr>
        <w:rFonts w:ascii="Courier New" w:hAnsi="Courier New" w:cs="Courier New" w:hint="default"/>
        <w:rFonts w:cs="Courier New"/>
      </w:rPr>
    </w:lvl>
    <w:lvl w:ilvl="8">
      <w:start w:val="1"/>
      <w:numFmt w:val="bullet"/>
      <w:lvlText w:val=""/>
      <w:lvlJc w:val="left"/>
      <w:pPr>
        <w:ind w:left="6284" w:hanging="360"/>
      </w:pPr>
      <w:rPr>
        <w:rFonts w:ascii="Wingdings" w:hAnsi="Wingdings" w:cs="Wingdings" w:hint="default"/>
        <w:rFonts w:cs="Wingdings"/>
      </w:rPr>
    </w:lvl>
  </w:abstractNum>
  <w:abstractNum w:abstractNumId="3">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4">
    <w:lvl w:ilvl="0">
      <w:start w:val="1"/>
      <w:numFmt w:val="bullet"/>
      <w:lvlText w:val="o"/>
      <w:lvlJc w:val="left"/>
      <w:pPr>
        <w:ind w:left="720" w:hanging="360"/>
      </w:pPr>
      <w:rPr>
        <w:rFonts w:ascii="Courier New" w:hAnsi="Courier New" w:cs="Courier New" w:hint="default"/>
        <w:rFonts w:cs="Courier New"/>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pBdr/>
      <w:suppressAutoHyphens w:val="true"/>
      <w:bidi w:val="0"/>
      <w:spacing w:lineRule="auto" w:line="240" w:before="0" w:after="0"/>
      <w:jc w:val="left"/>
    </w:pPr>
    <w:rPr>
      <w:rFonts w:ascii="Calibri" w:hAnsi="Calibri" w:eastAsia="Arial Unicode MS" w:cs="Calibri"/>
      <w:color w:val="auto"/>
      <w:kern w:val="0"/>
      <w:sz w:val="24"/>
      <w:szCs w:val="24"/>
      <w:lang w:val="en-US" w:eastAsia="en-US" w:bidi="ar-SA"/>
    </w:rPr>
  </w:style>
  <w:style w:type="paragraph" w:styleId="Heading1">
    <w:name w:val="Heading 1"/>
    <w:basedOn w:val="Normal"/>
    <w:next w:val="Normal"/>
    <w:qFormat/>
    <w:pPr>
      <w:keepNext w:val="true"/>
      <w:keepLines/>
      <w:numPr>
        <w:ilvl w:val="0"/>
        <w:numId w:val="1"/>
      </w:numPr>
      <w:spacing w:lineRule="auto" w:line="276" w:before="240" w:after="120"/>
      <w:outlineLvl w:val="0"/>
    </w:pPr>
    <w:rPr>
      <w:rFonts w:ascii="Cambria" w:hAnsi="Cambria" w:eastAsia="ＭＳ ゴシック" w:cs="Times New Roman"/>
      <w:b/>
      <w:bCs/>
      <w:color w:val="000000"/>
      <w:sz w:val="22"/>
      <w:szCs w:val="28"/>
    </w:rPr>
  </w:style>
  <w:style w:type="paragraph" w:styleId="Heading2">
    <w:name w:val="Heading 2"/>
    <w:basedOn w:val="Normal"/>
    <w:next w:val="Normal"/>
    <w:qFormat/>
    <w:pPr>
      <w:keepNext w:val="true"/>
      <w:keepLines/>
      <w:numPr>
        <w:ilvl w:val="1"/>
        <w:numId w:val="1"/>
      </w:numPr>
      <w:spacing w:before="200" w:after="0"/>
      <w:outlineLvl w:val="1"/>
    </w:pPr>
    <w:rPr>
      <w:rFonts w:ascii="Cambria" w:hAnsi="Cambria" w:eastAsia="ＭＳ ゴシック" w:cs="Times New Roman"/>
      <w:b/>
      <w:bCs/>
      <w:color w:val="4F81BD"/>
      <w:sz w:val="26"/>
      <w:szCs w:val="26"/>
    </w:rPr>
  </w:style>
  <w:style w:type="paragraph" w:styleId="Heading3">
    <w:name w:val="Heading 3"/>
    <w:next w:val="Body"/>
    <w:qFormat/>
    <w:pPr>
      <w:keepNext w:val="true"/>
      <w:widowControl/>
      <w:numPr>
        <w:ilvl w:val="2"/>
        <w:numId w:val="1"/>
      </w:numPr>
      <w:pBdr/>
      <w:suppressAutoHyphens w:val="true"/>
      <w:bidi w:val="0"/>
      <w:spacing w:lineRule="auto" w:line="240" w:before="0" w:after="0"/>
      <w:jc w:val="left"/>
      <w:outlineLvl w:val="2"/>
    </w:pPr>
    <w:rPr>
      <w:rFonts w:ascii="Arial" w:hAnsi="Arial" w:eastAsia="Arial" w:cs="Arial"/>
      <w:b/>
      <w:bCs/>
      <w:color w:val="FFFFFF"/>
      <w:kern w:val="0"/>
      <w:sz w:val="24"/>
      <w:szCs w:val="24"/>
      <w:u w:val="none" w:color="FFFFFF"/>
      <w:lang w:val="en-US"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Heading3Char">
    <w:name w:val="Heading 3 Char"/>
    <w:basedOn w:val="DefaultParagraphFont"/>
    <w:qFormat/>
    <w:rPr>
      <w:rFonts w:ascii="Arial" w:hAnsi="Arial" w:eastAsia="Arial" w:cs="Arial"/>
      <w:b/>
      <w:bCs/>
      <w:color w:val="FFFFFF"/>
      <w:sz w:val="24"/>
      <w:szCs w:val="24"/>
      <w:u w:val="none" w:color="FFFFFF"/>
      <w:lang w:val="en-US"/>
    </w:rPr>
  </w:style>
  <w:style w:type="character" w:styleId="HeaderChar">
    <w:name w:val="Header Char"/>
    <w:basedOn w:val="DefaultParagraphFont"/>
    <w:qFormat/>
    <w:rPr>
      <w:rFonts w:ascii="Arial" w:hAnsi="Arial" w:eastAsia="Arial" w:cs="Arial"/>
      <w:color w:val="000000"/>
      <w:u w:val="none" w:color="000000"/>
      <w:lang w:val="en-US"/>
    </w:rPr>
  </w:style>
  <w:style w:type="character" w:styleId="FooterChar">
    <w:name w:val="Footer Char"/>
    <w:basedOn w:val="DefaultParagraphFont"/>
    <w:qFormat/>
    <w:rPr>
      <w:rFonts w:ascii="Arial" w:hAnsi="Arial" w:eastAsia="Arial" w:cs="Arial"/>
      <w:color w:val="000000"/>
      <w:u w:val="none" w:color="000000"/>
      <w:lang w:val="en-US"/>
    </w:rPr>
  </w:style>
  <w:style w:type="character" w:styleId="Heading1Char">
    <w:name w:val="Heading 1 Char"/>
    <w:basedOn w:val="DefaultParagraphFont"/>
    <w:qFormat/>
    <w:rPr>
      <w:rFonts w:ascii="Cambria" w:hAnsi="Cambria" w:eastAsia="ＭＳ ゴシック" w:cs="Times New Roman"/>
      <w:b/>
      <w:bCs/>
      <w:color w:val="000000"/>
      <w:szCs w:val="28"/>
      <w:lang w:val="en-US"/>
    </w:rPr>
  </w:style>
  <w:style w:type="character" w:styleId="Heading2Char">
    <w:name w:val="Heading 2 Char"/>
    <w:basedOn w:val="DefaultParagraphFont"/>
    <w:qFormat/>
    <w:rPr>
      <w:rFonts w:ascii="Cambria" w:hAnsi="Cambria" w:eastAsia="ＭＳ ゴシック" w:cs="Times New Roman"/>
      <w:b/>
      <w:bCs/>
      <w:color w:val="4F81BD"/>
      <w:sz w:val="26"/>
      <w:szCs w:val="26"/>
      <w:lang w:val="en-US"/>
    </w:rPr>
  </w:style>
  <w:style w:type="character" w:styleId="BalloonTextChar">
    <w:name w:val="Balloon Text Char"/>
    <w:basedOn w:val="DefaultParagraphFont"/>
    <w:qFormat/>
    <w:rPr>
      <w:rFonts w:ascii="Tahoma" w:hAnsi="Tahoma" w:eastAsia="Arial Unicode MS" w:cs="Tahoma"/>
      <w:sz w:val="16"/>
      <w:szCs w:val="16"/>
      <w:lang w:val="en-US"/>
    </w:rPr>
  </w:style>
  <w:style w:type="character" w:styleId="PlainTextChar">
    <w:name w:val="Plain Text Char"/>
    <w:basedOn w:val="DefaultParagraphFont"/>
    <w:qFormat/>
    <w:rPr>
      <w:rFonts w:ascii="Courier New" w:hAnsi="Courier New" w:eastAsia="Times New Roman" w:cs="Times New Roman"/>
      <w:sz w:val="20"/>
      <w:szCs w:val="20"/>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Arial Unicode MS" w:cs="Times New Roman"/>
      <w:sz w:val="20"/>
      <w:szCs w:val="20"/>
      <w:lang w:val="en-US"/>
    </w:rPr>
  </w:style>
  <w:style w:type="character" w:styleId="CommentSubjectChar">
    <w:name w:val="Comment Subject Char"/>
    <w:basedOn w:val="CommentTextChar"/>
    <w:qFormat/>
    <w:rPr>
      <w:rFonts w:ascii="Times New Roman" w:hAnsi="Times New Roman" w:eastAsia="Arial Unicode MS" w:cs="Times New Roman"/>
      <w:b/>
      <w:bCs/>
      <w:sz w:val="20"/>
      <w:szCs w:val="20"/>
      <w:lang w:val="en-US"/>
    </w:rPr>
  </w:style>
  <w:style w:type="character" w:styleId="TitleChar">
    <w:name w:val="Title Char"/>
    <w:basedOn w:val="DefaultParagraphFont"/>
    <w:qFormat/>
    <w:rPr>
      <w:rFonts w:ascii="Arial" w:hAnsi="Arial" w:eastAsia="Times New Roman" w:cs="Arial"/>
      <w:b/>
      <w:bCs/>
      <w:sz w:val="32"/>
      <w:szCs w:val="32"/>
    </w:rPr>
  </w:style>
  <w:style w:type="character" w:styleId="BodyTextIndent2Char">
    <w:name w:val="Body Text Indent 2 Char"/>
    <w:basedOn w:val="DefaultParagraphFont"/>
    <w:qFormat/>
    <w:rPr>
      <w:rFonts w:ascii="Arial" w:hAnsi="Arial" w:eastAsia="Times New Roman" w:cs="Times New Roman"/>
      <w:sz w:val="20"/>
      <w:szCs w:val="20"/>
    </w:rPr>
  </w:style>
  <w:style w:type="character" w:styleId="1BulletCharChar">
    <w:name w:val="1 Bullet Char Char"/>
    <w:qFormat/>
    <w:rPr>
      <w:rFonts w:ascii="Arial" w:hAnsi="Arial" w:eastAsia="Times New Roman" w:cs="Times New Roman"/>
      <w:szCs w:val="24"/>
    </w:rPr>
  </w:style>
  <w:style w:type="character" w:styleId="BodyTextChar">
    <w:name w:val="Body Text Char"/>
    <w:basedOn w:val="DefaultParagraphFont"/>
    <w:qFormat/>
    <w:rPr>
      <w:rFonts w:eastAsia="Arial Unicode MS" w:cs="Times New Roman"/>
      <w:sz w:val="24"/>
      <w:szCs w:val="24"/>
      <w:lang w:val="en-US"/>
    </w:rPr>
  </w:style>
  <w:style w:type="character" w:styleId="C0">
    <w:name w:val="c0"/>
    <w:basedOn w:val="DefaultParagraphFont"/>
    <w:qFormat/>
    <w:rPr>
      <w:rFonts w:ascii="inherit" w:hAnsi="inherit" w:cs="inherit"/>
    </w:rPr>
  </w:style>
  <w:style w:type="character" w:styleId="Normaltextrun">
    <w:name w:val="normaltextrun"/>
    <w:basedOn w:val="DefaultParagraphFont"/>
    <w:qFormat/>
    <w:rPr/>
  </w:style>
  <w:style w:type="character" w:styleId="Eop">
    <w:name w:val="eop"/>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0" w:after="12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pPr>
      <w:widowControl/>
      <w:pBdr/>
      <w:tabs>
        <w:tab w:val="clear" w:pos="720"/>
        <w:tab w:val="center" w:pos="4153" w:leader="none"/>
        <w:tab w:val="right" w:pos="8306" w:leader="none"/>
      </w:tabs>
      <w:suppressAutoHyphens w:val="true"/>
      <w:bidi w:val="0"/>
      <w:spacing w:lineRule="auto" w:line="240" w:before="0" w:after="0"/>
      <w:jc w:val="left"/>
    </w:pPr>
    <w:rPr>
      <w:rFonts w:ascii="Arial" w:hAnsi="Arial" w:eastAsia="Arial" w:cs="Arial"/>
      <w:color w:val="000000"/>
      <w:kern w:val="0"/>
      <w:sz w:val="24"/>
      <w:szCs w:val="22"/>
      <w:u w:val="none" w:color="000000"/>
      <w:lang w:val="en-US" w:eastAsia="en-US" w:bidi="ar-SA"/>
    </w:rPr>
  </w:style>
  <w:style w:type="paragraph" w:styleId="Footer">
    <w:name w:val="Footer"/>
    <w:pPr>
      <w:widowControl/>
      <w:pBdr/>
      <w:tabs>
        <w:tab w:val="clear" w:pos="720"/>
        <w:tab w:val="center" w:pos="4153" w:leader="none"/>
        <w:tab w:val="right" w:pos="8306" w:leader="none"/>
      </w:tabs>
      <w:suppressAutoHyphens w:val="true"/>
      <w:bidi w:val="0"/>
      <w:spacing w:lineRule="auto" w:line="240" w:before="0" w:after="0"/>
      <w:jc w:val="left"/>
    </w:pPr>
    <w:rPr>
      <w:rFonts w:ascii="Arial" w:hAnsi="Arial" w:eastAsia="Arial" w:cs="Arial"/>
      <w:color w:val="000000"/>
      <w:kern w:val="0"/>
      <w:sz w:val="24"/>
      <w:szCs w:val="22"/>
      <w:u w:val="none" w:color="000000"/>
      <w:lang w:val="en-US" w:eastAsia="en-US" w:bidi="ar-SA"/>
    </w:rPr>
  </w:style>
  <w:style w:type="paragraph" w:styleId="Body">
    <w:name w:val="Body"/>
    <w:qFormat/>
    <w:pPr>
      <w:widowControl/>
      <w:pBdr/>
      <w:suppressAutoHyphens w:val="true"/>
      <w:bidi w:val="0"/>
      <w:spacing w:lineRule="auto" w:line="240" w:before="0" w:after="0"/>
      <w:jc w:val="left"/>
    </w:pPr>
    <w:rPr>
      <w:rFonts w:ascii="Arial" w:hAnsi="Arial" w:eastAsia="Arial" w:cs="Arial"/>
      <w:color w:val="000000"/>
      <w:kern w:val="0"/>
      <w:sz w:val="24"/>
      <w:szCs w:val="22"/>
      <w:u w:val="none" w:color="000000"/>
      <w:lang w:val="en-GB" w:eastAsia="en-US" w:bidi="ar-SA"/>
    </w:rPr>
  </w:style>
  <w:style w:type="paragraph" w:styleId="ListParagraph">
    <w:name w:val="List Paragraph"/>
    <w:qFormat/>
    <w:pPr>
      <w:widowControl/>
      <w:pBdr/>
      <w:suppressAutoHyphens w:val="true"/>
      <w:bidi w:val="0"/>
      <w:spacing w:lineRule="auto" w:line="240" w:before="0" w:after="0"/>
      <w:ind w:left="720" w:right="0" w:hanging="0"/>
      <w:jc w:val="left"/>
    </w:pPr>
    <w:rPr>
      <w:rFonts w:ascii="Arial" w:hAnsi="Arial" w:eastAsia="Arial" w:cs="Arial"/>
      <w:color w:val="000000"/>
      <w:kern w:val="0"/>
      <w:sz w:val="24"/>
      <w:szCs w:val="22"/>
      <w:u w:val="none" w:color="000000"/>
      <w:lang w:val="en-US" w:eastAsia="en-US" w:bidi="ar-SA"/>
    </w:rPr>
  </w:style>
  <w:style w:type="paragraph" w:styleId="BalloonText">
    <w:name w:val="Balloon Text"/>
    <w:basedOn w:val="Normal"/>
    <w:qFormat/>
    <w:pPr/>
    <w:rPr>
      <w:rFonts w:ascii="Tahoma" w:hAnsi="Tahoma" w:cs="Tahoma"/>
      <w:sz w:val="16"/>
      <w:szCs w:val="16"/>
    </w:rPr>
  </w:style>
  <w:style w:type="paragraph" w:styleId="Default">
    <w:name w:val="Default"/>
    <w:qFormat/>
    <w:pPr>
      <w:widowControl/>
      <w:suppressAutoHyphens w:val="true"/>
      <w:bidi w:val="0"/>
      <w:spacing w:lineRule="auto" w:line="240" w:before="0" w:after="0"/>
      <w:jc w:val="left"/>
    </w:pPr>
    <w:rPr>
      <w:rFonts w:ascii="Verdana" w:hAnsi="Verdana" w:eastAsia="Times New Roman" w:cs="Verdana"/>
      <w:color w:val="000000"/>
      <w:kern w:val="0"/>
      <w:sz w:val="24"/>
      <w:szCs w:val="24"/>
      <w:lang w:val="en-GB" w:eastAsia="en-GB" w:bidi="ar-SA"/>
    </w:rPr>
  </w:style>
  <w:style w:type="paragraph" w:styleId="PlainText">
    <w:name w:val="Plain Text"/>
    <w:basedOn w:val="Normal"/>
    <w:qFormat/>
    <w:pPr>
      <w:pBdr/>
    </w:pPr>
    <w:rPr>
      <w:rFonts w:ascii="Courier New" w:hAnsi="Courier New" w:eastAsia="Times New Roman" w:cs="Courier New"/>
      <w:sz w:val="20"/>
      <w:szCs w:val="20"/>
      <w:lang w:val="en-GB"/>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Title">
    <w:name w:val="Title"/>
    <w:basedOn w:val="Normal"/>
    <w:next w:val="TextBody"/>
    <w:qFormat/>
    <w:pPr>
      <w:pBdr/>
      <w:spacing w:before="120" w:after="0"/>
      <w:jc w:val="center"/>
    </w:pPr>
    <w:rPr>
      <w:rFonts w:ascii="Arial" w:hAnsi="Arial" w:eastAsia="Times New Roman" w:cs="Arial"/>
      <w:b/>
      <w:bCs/>
      <w:sz w:val="32"/>
      <w:szCs w:val="32"/>
      <w:lang w:val="en-GB"/>
    </w:rPr>
  </w:style>
  <w:style w:type="paragraph" w:styleId="ColorfulListAccent11">
    <w:name w:val="Colorful List - Accent 11"/>
    <w:basedOn w:val="Normal"/>
    <w:qFormat/>
    <w:pPr>
      <w:pBdr/>
      <w:ind w:left="720" w:right="0" w:hanging="0"/>
    </w:pPr>
    <w:rPr>
      <w:rFonts w:eastAsia="Times New Roman"/>
      <w:szCs w:val="20"/>
      <w:lang w:val="en-GB"/>
    </w:rPr>
  </w:style>
  <w:style w:type="paragraph" w:styleId="BodyTextIndent2">
    <w:name w:val="Body Text Indent 2"/>
    <w:basedOn w:val="Normal"/>
    <w:qFormat/>
    <w:pPr>
      <w:pBdr/>
      <w:tabs>
        <w:tab w:val="clear" w:pos="720"/>
        <w:tab w:val="left" w:pos="2268" w:leader="none"/>
      </w:tabs>
      <w:ind w:left="2694" w:right="0" w:hanging="2835"/>
      <w:jc w:val="both"/>
    </w:pPr>
    <w:rPr>
      <w:rFonts w:ascii="Arial" w:hAnsi="Arial" w:eastAsia="Times New Roman" w:cs="Arial"/>
      <w:sz w:val="20"/>
      <w:szCs w:val="20"/>
      <w:lang w:val="en-GB"/>
    </w:rPr>
  </w:style>
  <w:style w:type="paragraph" w:styleId="1Bullet">
    <w:name w:val="1 Bullet"/>
    <w:basedOn w:val="Normal"/>
    <w:qFormat/>
    <w:pPr>
      <w:pBdr/>
      <w:spacing w:lineRule="atLeast" w:line="240" w:before="120" w:after="120"/>
      <w:jc w:val="both"/>
    </w:pPr>
    <w:rPr>
      <w:rFonts w:ascii="Arial" w:hAnsi="Arial" w:eastAsia="Times New Roman" w:cs="Arial"/>
      <w:sz w:val="22"/>
      <w:lang w:val="en-GB"/>
    </w:rPr>
  </w:style>
  <w:style w:type="paragraph" w:styleId="NormalWeb">
    <w:name w:val="Normal (Web)"/>
    <w:basedOn w:val="Normal"/>
    <w:qFormat/>
    <w:pPr>
      <w:pBdr/>
      <w:spacing w:before="280" w:after="280"/>
    </w:pPr>
    <w:rPr>
      <w:rFonts w:ascii="Times New Roman" w:hAnsi="Times New Roman" w:eastAsia="Times New Roman" w:cs="Times New Roman"/>
      <w:lang w:val="en-GB" w:eastAsia="en-GB"/>
    </w:rPr>
  </w:style>
  <w:style w:type="paragraph" w:styleId="Revision">
    <w:name w:val="Revision"/>
    <w:qFormat/>
    <w:pPr>
      <w:widowControl/>
      <w:suppressAutoHyphens w:val="true"/>
      <w:bidi w:val="0"/>
      <w:spacing w:lineRule="auto" w:line="240" w:before="0" w:after="0"/>
      <w:jc w:val="left"/>
    </w:pPr>
    <w:rPr>
      <w:rFonts w:ascii="Calibri" w:hAnsi="Calibri" w:eastAsia="Arial Unicode MS" w:cs="Calibri"/>
      <w:color w:val="auto"/>
      <w:kern w:val="0"/>
      <w:sz w:val="24"/>
      <w:szCs w:val="24"/>
      <w:lang w:val="en-US"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4</TotalTime>
  <Application>LibreOffice/6.3.4.2$Windows_X86_64 LibreOffice_project/60da17e045e08f1793c57c00ba83cdfce946d0aa</Application>
  <Company>Economic Solutions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2026-07-30T13:03:00Z</dcterms:created>
  <dc:creator>phil swan</dc:creator>
  <dc:description/>
  <dc:language>en-US</dc:language>
  <cp:lastModifiedBy>Whalley, Danielle</cp:lastModifiedBy>
  <cp:lastPrinted>1995-11-21T17:41:00Z</cp:lastPrinted>
  <dcterms:modified xsi:type="dcterms:W3CDTF">2026-07-30T13:03:00Z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Economic Solutions</vt:lpwstr>
  </property>
  <property fmtid="{D5CDD505-2E9C-101B-9397-08002B2CF9AE}" pid="4" name="ContentTypeId">
    <vt:lpwstr>0x010100C4A31867FA604B43B0DFAE7552030CF5</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