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hd w:fill="004F6E" w:val="clear"/>
        <w:ind w:hanging="0" w:left="0"/>
        <w:rPr>
          <w:rFonts w:cs="Arial"/>
          <w:sz w:val="24"/>
          <w:szCs w:val="24"/>
        </w:rPr>
      </w:pPr>
      <w:r>
        <w:rPr>
          <w:rFonts w:cs="Arial"/>
          <w:sz w:val="24"/>
          <w:szCs w:val="24"/>
        </w:rPr>
        <w:t>Role profile</w:t>
        <w:br/>
        <w:t xml:space="preserve">Risk and Assurance Lead (Resilience) </w:t>
      </w:r>
    </w:p>
    <w:p>
      <w:pPr>
        <w:pStyle w:val="ListParagraph"/>
        <w:numPr>
          <w:ilvl w:val="0"/>
          <w:numId w:val="2"/>
        </w:numPr>
        <w:rPr/>
      </w:pPr>
      <w:r>
        <w:rPr>
          <w:rFonts w:cs="Arial"/>
          <w:b/>
          <w:bCs/>
          <w:szCs w:val="24"/>
        </w:rPr>
        <w:t>Grade:</w:t>
      </w:r>
      <w:r>
        <w:rPr>
          <w:rFonts w:cs="Arial"/>
          <w:szCs w:val="24"/>
        </w:rPr>
        <w:t xml:space="preserve"> G9 </w:t>
      </w:r>
    </w:p>
    <w:p>
      <w:pPr>
        <w:pStyle w:val="ListParagraph"/>
        <w:numPr>
          <w:ilvl w:val="0"/>
          <w:numId w:val="2"/>
        </w:numPr>
        <w:rPr/>
      </w:pPr>
      <w:r>
        <w:rPr>
          <w:rFonts w:cs="Arial"/>
          <w:b/>
          <w:bCs/>
          <w:szCs w:val="24"/>
        </w:rPr>
        <w:t>Business area:</w:t>
      </w:r>
      <w:r>
        <w:rPr>
          <w:rFonts w:cs="Arial"/>
          <w:szCs w:val="24"/>
        </w:rPr>
        <w:t xml:space="preserve"> Resilience </w:t>
      </w:r>
    </w:p>
    <w:p>
      <w:pPr>
        <w:pStyle w:val="ListParagraph"/>
        <w:numPr>
          <w:ilvl w:val="0"/>
          <w:numId w:val="2"/>
        </w:numPr>
        <w:rPr/>
      </w:pPr>
      <w:r>
        <w:rPr>
          <w:rFonts w:cs="Arial"/>
          <w:b/>
          <w:bCs/>
          <w:szCs w:val="24"/>
        </w:rPr>
        <w:t>Team:</w:t>
      </w:r>
      <w:r>
        <w:rPr>
          <w:rFonts w:cs="Arial"/>
          <w:szCs w:val="24"/>
        </w:rPr>
        <w:t xml:space="preserve"> GM Resilience Unit</w:t>
      </w:r>
    </w:p>
    <w:p>
      <w:pPr>
        <w:pStyle w:val="ListParagraph"/>
        <w:numPr>
          <w:ilvl w:val="0"/>
          <w:numId w:val="2"/>
        </w:numPr>
        <w:rPr/>
      </w:pPr>
      <w:r>
        <w:rPr>
          <w:rFonts w:cs="Arial"/>
          <w:b/>
          <w:bCs/>
          <w:szCs w:val="24"/>
        </w:rPr>
        <w:t>Reporting line:</w:t>
      </w:r>
      <w:r>
        <w:rPr>
          <w:rFonts w:cs="Arial"/>
          <w:szCs w:val="24"/>
        </w:rPr>
        <w:t xml:space="preserve"> LRF Manager </w:t>
      </w:r>
    </w:p>
    <w:p>
      <w:pPr>
        <w:pStyle w:val="Heading2"/>
        <w:ind w:hanging="0" w:left="0"/>
        <w:rPr>
          <w:rFonts w:cs="Arial"/>
          <w:sz w:val="24"/>
          <w:szCs w:val="24"/>
        </w:rPr>
      </w:pPr>
      <w:r>
        <w:rPr>
          <w:rFonts w:cs="Arial"/>
          <w:sz w:val="24"/>
          <w:szCs w:val="24"/>
        </w:rPr>
        <w:t>Job Purpose</w:t>
      </w:r>
    </w:p>
    <w:p>
      <w:pPr>
        <w:pStyle w:val="Normal"/>
        <w:rPr/>
      </w:pPr>
      <w:r>
        <w:rPr/>
        <w:t xml:space="preserve">On behalf of the Resilience Directorate, the role holder will be responsible for ensuring that risks, threats, vulnerabilities and capabilities are understood, monitored and assured. </w:t>
      </w:r>
    </w:p>
    <w:p>
      <w:pPr>
        <w:pStyle w:val="Normal"/>
        <w:rPr/>
      </w:pPr>
      <w:r>
        <w:rPr/>
        <w:t>The role holder will also ensure civil contingencies risks are effectively embedded in decision-making processes across the GM Resilience Forum, GMCA and the wider GM system. This includes maintaining and communicating a coherent risk picture (Community Risk Register), overseeing multi-agency assurance frameworks and reporting of compliance to senior leaders and governance structures.</w:t>
      </w:r>
    </w:p>
    <w:p>
      <w:pPr>
        <w:pStyle w:val="Normal"/>
        <w:rPr/>
      </w:pPr>
      <w:r>
        <w:rPr/>
        <w:t xml:space="preserve">The GM Resilience Unit hosts a 24-hour response service that gives technical advice to GM Local Authorities in an emergency, providing a 24/7/365 on-call rota supporting emergency preparedness, response, and recovery. The post holder will be required to join the on-call rota. </w:t>
      </w:r>
    </w:p>
    <w:p>
      <w:pPr>
        <w:pStyle w:val="Heading2"/>
        <w:ind w:hanging="0" w:left="0"/>
        <w:rPr>
          <w:rFonts w:cs="Arial"/>
          <w:sz w:val="24"/>
          <w:szCs w:val="24"/>
        </w:rPr>
      </w:pPr>
      <w:r>
        <w:rPr>
          <w:rFonts w:cs="Arial"/>
          <w:sz w:val="24"/>
          <w:szCs w:val="24"/>
        </w:rPr>
        <w:t>Key working relationships</w:t>
      </w:r>
    </w:p>
    <w:p>
      <w:pPr>
        <w:pStyle w:val="ListParagraph"/>
        <w:numPr>
          <w:ilvl w:val="0"/>
          <w:numId w:val="7"/>
        </w:numPr>
        <w:spacing w:lineRule="auto" w:line="240" w:before="60" w:after="0"/>
        <w:rPr/>
      </w:pPr>
      <w:r>
        <w:rPr/>
        <w:t>Chief Resilience Officer (Director of Resilience)</w:t>
      </w:r>
    </w:p>
    <w:p>
      <w:pPr>
        <w:pStyle w:val="ListParagraph"/>
        <w:numPr>
          <w:ilvl w:val="0"/>
          <w:numId w:val="7"/>
        </w:numPr>
        <w:spacing w:lineRule="auto" w:line="240" w:before="60" w:after="0"/>
        <w:rPr/>
      </w:pPr>
      <w:r>
        <w:rPr/>
        <w:t>Resilience Directorate Senior Leadership Team</w:t>
      </w:r>
    </w:p>
    <w:p>
      <w:pPr>
        <w:pStyle w:val="ListParagraph"/>
        <w:numPr>
          <w:ilvl w:val="0"/>
          <w:numId w:val="7"/>
        </w:numPr>
        <w:spacing w:lineRule="auto" w:line="240" w:before="60" w:after="0"/>
        <w:rPr/>
      </w:pPr>
      <w:r>
        <w:rPr/>
        <w:t>Senior managers and staff within GMCA</w:t>
      </w:r>
    </w:p>
    <w:p>
      <w:pPr>
        <w:pStyle w:val="ListParagraph"/>
        <w:numPr>
          <w:ilvl w:val="0"/>
          <w:numId w:val="7"/>
        </w:numPr>
        <w:spacing w:lineRule="auto" w:line="240" w:before="60" w:after="0"/>
        <w:rPr/>
      </w:pPr>
      <w:r>
        <w:rPr/>
        <w:t>Partners of the GM Resilience Forum</w:t>
      </w:r>
    </w:p>
    <w:p>
      <w:pPr>
        <w:pStyle w:val="ListParagraph"/>
        <w:numPr>
          <w:ilvl w:val="0"/>
          <w:numId w:val="7"/>
        </w:numPr>
        <w:spacing w:lineRule="auto" w:line="240" w:before="60" w:after="0"/>
        <w:rPr/>
      </w:pPr>
      <w:r>
        <w:rPr/>
        <w:t>Local and National Resilience Forums</w:t>
      </w:r>
    </w:p>
    <w:p>
      <w:pPr>
        <w:pStyle w:val="ListParagraph"/>
        <w:numPr>
          <w:ilvl w:val="0"/>
          <w:numId w:val="7"/>
        </w:numPr>
        <w:spacing w:lineRule="auto" w:line="240" w:before="60" w:after="0"/>
        <w:rPr/>
      </w:pPr>
      <w:r>
        <w:rPr>
          <w:color w:val="000000"/>
        </w:rPr>
        <w:t xml:space="preserve">Central and local government, liaison, </w:t>
      </w:r>
      <w:r>
        <w:rPr/>
        <w:t>including MHCLG</w:t>
      </w:r>
    </w:p>
    <w:p>
      <w:pPr>
        <w:pStyle w:val="ListParagraph"/>
        <w:numPr>
          <w:ilvl w:val="0"/>
          <w:numId w:val="7"/>
        </w:numPr>
        <w:spacing w:lineRule="auto" w:line="240" w:before="60" w:after="0"/>
        <w:rPr/>
      </w:pPr>
      <w:r>
        <w:rPr/>
        <w:t>Relevant external bodies and agencies</w:t>
      </w:r>
    </w:p>
    <w:p>
      <w:pPr>
        <w:pStyle w:val="ListParagraph"/>
        <w:numPr>
          <w:ilvl w:val="0"/>
          <w:numId w:val="7"/>
        </w:numPr>
        <w:spacing w:lineRule="auto" w:line="240" w:before="60" w:after="0"/>
        <w:rPr/>
      </w:pPr>
      <w:r>
        <w:rPr/>
        <w:t>Private sector organisations</w:t>
      </w:r>
    </w:p>
    <w:p>
      <w:pPr>
        <w:pStyle w:val="ListParagraph"/>
        <w:numPr>
          <w:ilvl w:val="0"/>
          <w:numId w:val="7"/>
        </w:numPr>
        <w:spacing w:lineRule="auto" w:line="240" w:before="60" w:after="0"/>
        <w:rPr/>
      </w:pPr>
      <w:r>
        <w:rPr>
          <w:color w:val="auto"/>
        </w:rPr>
        <w:t>Voluntary Sector</w:t>
      </w:r>
    </w:p>
    <w:p>
      <w:pPr>
        <w:pStyle w:val="Heading2"/>
        <w:ind w:hanging="0" w:left="0"/>
        <w:rPr>
          <w:rFonts w:cs="Arial"/>
          <w:sz w:val="24"/>
          <w:szCs w:val="24"/>
        </w:rPr>
      </w:pPr>
      <w:r>
        <w:rPr>
          <w:rFonts w:cs="Arial"/>
          <w:sz w:val="24"/>
          <w:szCs w:val="24"/>
        </w:rPr>
        <w:t>Key Responsibilities</w:t>
      </w:r>
    </w:p>
    <w:p>
      <w:pPr>
        <w:pStyle w:val="ListParagraph"/>
        <w:numPr>
          <w:ilvl w:val="0"/>
          <w:numId w:val="4"/>
        </w:numPr>
        <w:spacing w:lineRule="auto" w:line="276"/>
        <w:rPr/>
      </w:pPr>
      <w:r>
        <w:rPr>
          <w:rFonts w:cs="Arial"/>
          <w:color w:val="auto"/>
          <w:szCs w:val="24"/>
        </w:rPr>
        <w:t xml:space="preserve">Lead the operational delivery of the Anticipate, Assess, Validation and Assurance elements of the Integrated Emergency Management Framework, ensuring that risks, threats and vulnerabilities are identified, understood, tested and assured. </w:t>
      </w:r>
    </w:p>
    <w:p>
      <w:pPr>
        <w:pStyle w:val="ListParagraph"/>
        <w:numPr>
          <w:ilvl w:val="0"/>
          <w:numId w:val="4"/>
        </w:numPr>
        <w:spacing w:lineRule="auto" w:line="276"/>
        <w:rPr/>
      </w:pPr>
      <w:r>
        <w:rPr>
          <w:rFonts w:cs="Arial"/>
          <w:color w:val="auto"/>
          <w:szCs w:val="24"/>
        </w:rPr>
        <w:t>On behalf of the directorate, directly inform the multi-agency risk management process, including the development and maintenance of the Community Risk Register (CRR). Ensuring risk assessments are robust, evidence-based, regularly reviewed and aligned with national guidance.</w:t>
      </w:r>
    </w:p>
    <w:p>
      <w:pPr>
        <w:pStyle w:val="ListParagraph"/>
        <w:numPr>
          <w:ilvl w:val="0"/>
          <w:numId w:val="4"/>
        </w:numPr>
        <w:spacing w:lineRule="auto" w:line="276"/>
        <w:rPr/>
      </w:pPr>
      <w:r>
        <w:rPr>
          <w:rFonts w:cs="Arial"/>
          <w:color w:val="auto"/>
          <w:szCs w:val="24"/>
        </w:rPr>
        <w:t xml:space="preserve">Oversee risk prioritisation using likelihood and impact methodologies to inform planning. Ensuring risk outputs directly inform emergency planning, business continuity plans and capability development programmes. </w:t>
      </w:r>
    </w:p>
    <w:p>
      <w:pPr>
        <w:pStyle w:val="ListParagraph"/>
        <w:widowControl/>
        <w:numPr>
          <w:ilvl w:val="0"/>
          <w:numId w:val="4"/>
        </w:numPr>
        <w:spacing w:lineRule="auto" w:line="276" w:before="0" w:after="200"/>
        <w:contextualSpacing/>
        <w:rPr/>
      </w:pPr>
      <w:r>
        <w:rPr/>
        <w:t>Ensure acute and chronic risks continually informs the resilience risk reporting toolkit to support GMCA’s governance and advisory groups in developing a common understanding of city-region risks, vulnerabilities, interdependencies and cascading impacts.</w:t>
        <w:br/>
      </w:r>
    </w:p>
    <w:p>
      <w:pPr>
        <w:pStyle w:val="ListParagraph"/>
        <w:numPr>
          <w:ilvl w:val="0"/>
          <w:numId w:val="4"/>
        </w:numPr>
        <w:spacing w:lineRule="auto" w:line="276"/>
        <w:rPr/>
      </w:pPr>
      <w:r>
        <w:rPr>
          <w:rFonts w:cs="Arial"/>
          <w:color w:val="auto"/>
          <w:szCs w:val="24"/>
        </w:rPr>
        <w:t xml:space="preserve">Lead effective partnership working with relevant GMCA teams and directorates to ensure alignment between local civil contingencies risk assessment and GMCA’s corporate risk frameworks. Ensuring that CRR outputs and emerging resilience risks are reflected within GMCA corporate risk registers, GM policy, strategic governance processes and the GMS Coordination Group. </w:t>
      </w:r>
    </w:p>
    <w:p>
      <w:pPr>
        <w:pStyle w:val="ListParagraph"/>
        <w:numPr>
          <w:ilvl w:val="0"/>
          <w:numId w:val="4"/>
        </w:numPr>
        <w:spacing w:lineRule="auto" w:line="276"/>
        <w:rPr/>
      </w:pPr>
      <w:r>
        <w:rPr>
          <w:rFonts w:cs="Arial"/>
          <w:color w:val="auto"/>
          <w:szCs w:val="24"/>
        </w:rPr>
        <w:t>Provide expert advice and assurance to GMCA and LRF partners on civil contingencies risks, including interdependencies, cascading impacts and cross-cutting threats.</w:t>
      </w:r>
    </w:p>
    <w:p>
      <w:pPr>
        <w:pStyle w:val="ListParagraph"/>
        <w:numPr>
          <w:ilvl w:val="0"/>
          <w:numId w:val="4"/>
        </w:numPr>
        <w:spacing w:lineRule="auto" w:line="276"/>
        <w:rPr/>
      </w:pPr>
      <w:r>
        <w:rPr>
          <w:rFonts w:cs="Arial"/>
          <w:color w:val="auto"/>
          <w:szCs w:val="24"/>
        </w:rPr>
        <w:t xml:space="preserve">Facilitate effective information sharing, collaboration and interoperability across partners and fulfil a leading role in relevant working groups such as the GM Risk Assessment Working Group. </w:t>
      </w:r>
    </w:p>
    <w:p>
      <w:pPr>
        <w:pStyle w:val="ListParagraph"/>
        <w:numPr>
          <w:ilvl w:val="0"/>
          <w:numId w:val="4"/>
        </w:numPr>
        <w:spacing w:lineRule="auto" w:line="276"/>
        <w:rPr/>
      </w:pPr>
      <w:r>
        <w:rPr>
          <w:rFonts w:cs="Arial"/>
          <w:color w:val="auto"/>
          <w:szCs w:val="24"/>
        </w:rPr>
        <w:t xml:space="preserve">Facilitate the two-way flow of risk intelligence between the LRF and GMCA to strengthen situational awareness and strategic prioritisation. </w:t>
      </w:r>
    </w:p>
    <w:p>
      <w:pPr>
        <w:pStyle w:val="ListParagraph"/>
        <w:numPr>
          <w:ilvl w:val="0"/>
          <w:numId w:val="4"/>
        </w:numPr>
        <w:spacing w:lineRule="auto" w:line="276"/>
        <w:rPr/>
      </w:pPr>
      <w:r>
        <w:rPr>
          <w:rFonts w:cs="Arial"/>
          <w:color w:val="auto"/>
          <w:szCs w:val="24"/>
        </w:rPr>
        <w:t xml:space="preserve">Lead and coordinate the production of briefings and impact assessments to improve LRF and GMCA situational awareness following sudden or rising tide events. </w:t>
      </w:r>
    </w:p>
    <w:p>
      <w:pPr>
        <w:pStyle w:val="Normal"/>
        <w:widowControl/>
        <w:numPr>
          <w:ilvl w:val="0"/>
          <w:numId w:val="4"/>
        </w:numPr>
        <w:spacing w:lineRule="auto" w:line="276" w:before="0" w:after="160"/>
        <w:rPr/>
      </w:pPr>
      <w:r>
        <w:rPr/>
        <w:t xml:space="preserve">Implement, develop and maintain a comprehensive assurance and performance framework covering risk management and emergency preparedness capabilities. This includes providing assurance reports, accessing compliance against relevant duties and responsibilities. </w:t>
      </w:r>
    </w:p>
    <w:p>
      <w:pPr>
        <w:pStyle w:val="Normal"/>
        <w:widowControl/>
        <w:numPr>
          <w:ilvl w:val="0"/>
          <w:numId w:val="4"/>
        </w:numPr>
        <w:spacing w:lineRule="auto" w:line="276" w:before="0" w:after="160"/>
        <w:rPr/>
      </w:pPr>
      <w:r>
        <w:rPr/>
        <w:t>Lead and coordinate the LRF debrief tracker, ensuring lessons learned are accurately captured, synthesised into actionable themes, and measured against agreed improvement actions; collaborate with internal and external partners to monitor progress and ensure recommendations are implemented and embedded.</w:t>
      </w:r>
    </w:p>
    <w:p>
      <w:pPr>
        <w:pStyle w:val="Normal"/>
        <w:widowControl/>
        <w:numPr>
          <w:ilvl w:val="0"/>
          <w:numId w:val="4"/>
        </w:numPr>
        <w:spacing w:lineRule="auto" w:line="276" w:before="0" w:after="160"/>
        <w:rPr/>
      </w:pPr>
      <w:r>
        <w:rPr/>
        <w:t xml:space="preserve">Maintain an up-to-date knowledge of emergency planning and wider resilience legislation, policies, practice and guidance and to monitor national and local circumstances and developments which may have resilience implications. </w:t>
      </w:r>
    </w:p>
    <w:p>
      <w:pPr>
        <w:pStyle w:val="Normal"/>
        <w:widowControl/>
        <w:numPr>
          <w:ilvl w:val="0"/>
          <w:numId w:val="4"/>
        </w:numPr>
        <w:shd w:fill="FFFFFF" w:val="clear"/>
        <w:spacing w:lineRule="auto" w:line="276" w:before="0" w:after="0"/>
        <w:textAlignment w:val="baseline"/>
        <w:rPr/>
      </w:pPr>
      <w:r>
        <w:rPr>
          <w:rFonts w:eastAsia="Times New Roman" w:cs="Arial"/>
          <w:szCs w:val="24"/>
          <w:lang w:eastAsia="en-GB"/>
        </w:rPr>
        <w:t xml:space="preserve">Act as the liaison between internal departments and external stakeholders to ensure smooth review and compliance cycles. This includes preparing reports and leading on government capability returns. </w:t>
        <w:br/>
      </w:r>
    </w:p>
    <w:p>
      <w:pPr>
        <w:pStyle w:val="Normal"/>
        <w:widowControl/>
        <w:numPr>
          <w:ilvl w:val="0"/>
          <w:numId w:val="4"/>
        </w:numPr>
        <w:shd w:fill="FFFFFF" w:val="clear"/>
        <w:spacing w:lineRule="auto" w:line="276" w:before="0" w:after="0"/>
        <w:textAlignment w:val="baseline"/>
        <w:rPr/>
      </w:pPr>
      <w:r>
        <w:rPr/>
        <w:t>Working with senior leaders, elected members and partner organisations, provide evidence and assurance to support decision-making and continuous improvement.</w:t>
      </w:r>
      <w:r>
        <w:rPr>
          <w:rFonts w:eastAsia="Times New Roman" w:cs="Arial"/>
          <w:szCs w:val="24"/>
          <w:lang w:eastAsia="en-GB"/>
        </w:rPr>
        <w:br/>
      </w:r>
    </w:p>
    <w:p>
      <w:pPr>
        <w:pStyle w:val="Normal"/>
        <w:widowControl/>
        <w:numPr>
          <w:ilvl w:val="0"/>
          <w:numId w:val="4"/>
        </w:numPr>
        <w:shd w:fill="FFFFFF" w:val="clear"/>
        <w:spacing w:lineRule="auto" w:line="276" w:before="0" w:after="0"/>
        <w:textAlignment w:val="baseline"/>
        <w:rPr/>
      </w:pPr>
      <w:r>
        <w:rPr>
          <w:color w:val="auto"/>
        </w:rPr>
        <w:t xml:space="preserve">To research, analyse and advise on international, national, and local policy changes and their implications for Greater Manchester’s risk management process. </w:t>
        <w:br/>
      </w:r>
    </w:p>
    <w:p>
      <w:pPr>
        <w:pStyle w:val="Normal"/>
        <w:ind w:left="360" w:right="0"/>
        <w:rPr>
          <w:rFonts w:cs="Arial"/>
          <w:b/>
          <w:color w:val="auto"/>
        </w:rPr>
      </w:pPr>
      <w:r>
        <w:rPr>
          <w:rFonts w:cs="Arial"/>
          <w:b/>
          <w:color w:val="auto"/>
        </w:rPr>
        <w:t>NB: This list of duties and responsibilities is by no means exhaustive, and the post holder may be required to undertake other relevant and appropriate duties as required.</w:t>
      </w:r>
    </w:p>
    <w:p>
      <w:pPr>
        <w:pStyle w:val="Heading2"/>
        <w:ind w:hanging="0" w:left="0"/>
        <w:rPr>
          <w:rFonts w:cs="Arial"/>
          <w:sz w:val="24"/>
          <w:szCs w:val="24"/>
        </w:rPr>
      </w:pPr>
      <w:r>
        <w:rPr>
          <w:rFonts w:cs="Arial"/>
          <w:sz w:val="24"/>
          <w:szCs w:val="24"/>
        </w:rPr>
        <w:t>General</w:t>
      </w:r>
    </w:p>
    <w:p>
      <w:pPr>
        <w:pStyle w:val="ListParagraph"/>
        <w:numPr>
          <w:ilvl w:val="0"/>
          <w:numId w:val="3"/>
        </w:numPr>
        <w:ind w:hanging="633" w:left="993" w:right="0"/>
        <w:rPr/>
      </w:pPr>
      <w:r>
        <w:rPr>
          <w:bCs/>
          <w:color w:val="auto"/>
          <w:szCs w:val="24"/>
        </w:rPr>
        <w:t>Through personal example, open commitment and clear action, ensure diversity is positively valued, resulting in equal access and treatment in employment, service delivery and communications.</w:t>
      </w:r>
    </w:p>
    <w:p>
      <w:pPr>
        <w:pStyle w:val="ListParagraph"/>
        <w:numPr>
          <w:ilvl w:val="0"/>
          <w:numId w:val="3"/>
        </w:numPr>
        <w:ind w:hanging="633" w:left="993" w:right="0"/>
        <w:rPr/>
      </w:pPr>
      <w:r>
        <w:rPr>
          <w:rFonts w:cs="Arial"/>
          <w:color w:val="auto"/>
        </w:rPr>
        <w:t>Hold themselves and others to a high standard of professionalism at all times, demonstrating commitment to the values and behaviours of GMCA as well as ensuring service confidentiality is maintained throughout all they do.</w:t>
      </w:r>
    </w:p>
    <w:p>
      <w:pPr>
        <w:pStyle w:val="ListParagraph"/>
        <w:numPr>
          <w:ilvl w:val="0"/>
          <w:numId w:val="3"/>
        </w:numPr>
        <w:ind w:hanging="633" w:left="993" w:right="0"/>
        <w:rPr/>
      </w:pPr>
      <w:r>
        <w:rPr>
          <w:rFonts w:eastAsia="Arial" w:cs="Arial"/>
          <w:color w:val="auto"/>
          <w:szCs w:val="24"/>
        </w:rPr>
        <w:t>Working with other teams internally and externally ensure collaboration is maximised, supporting on activity where appropriate.</w:t>
      </w:r>
    </w:p>
    <w:p>
      <w:pPr>
        <w:pStyle w:val="ListParagraph"/>
        <w:numPr>
          <w:ilvl w:val="0"/>
          <w:numId w:val="3"/>
        </w:numPr>
        <w:ind w:hanging="633" w:left="993" w:right="0"/>
        <w:rPr/>
      </w:pPr>
      <w:r>
        <w:rPr>
          <w:color w:val="auto"/>
        </w:rPr>
        <w:t xml:space="preserve">Ensure the services delivered internally and externally are inclusive and accessible, integrated with the service. </w:t>
      </w:r>
    </w:p>
    <w:p>
      <w:pPr>
        <w:pStyle w:val="ListParagraph"/>
        <w:numPr>
          <w:ilvl w:val="0"/>
          <w:numId w:val="3"/>
        </w:numPr>
        <w:ind w:hanging="633" w:left="993" w:right="0"/>
        <w:rPr/>
      </w:pPr>
      <w:r>
        <w:rPr>
          <w:rFonts w:cs="Arial"/>
          <w:color w:val="auto"/>
        </w:rPr>
        <w:t xml:space="preserve">To align work area to the Sustainability Strategy and ensure work practices are inclusive of these values and strategic intent. </w:t>
      </w:r>
    </w:p>
    <w:p>
      <w:pPr>
        <w:pStyle w:val="Heading2"/>
        <w:ind w:hanging="0" w:left="0"/>
        <w:rPr>
          <w:rFonts w:cs="Arial"/>
          <w:sz w:val="24"/>
          <w:szCs w:val="24"/>
        </w:rPr>
      </w:pPr>
      <w:r>
        <w:rPr>
          <w:rFonts w:cs="Arial"/>
          <w:sz w:val="24"/>
          <w:szCs w:val="24"/>
        </w:rPr>
        <w:t>Knowledge, Skills, and Experience</w:t>
      </w:r>
    </w:p>
    <w:p>
      <w:pPr>
        <w:pStyle w:val="Heading3"/>
        <w:ind w:hanging="0" w:left="0"/>
        <w:rPr>
          <w:rFonts w:cs="Arial"/>
          <w:sz w:val="24"/>
        </w:rPr>
      </w:pPr>
      <w:r>
        <w:rPr>
          <w:rFonts w:cs="Arial"/>
          <w:sz w:val="24"/>
        </w:rPr>
        <w:t>Knowledge &amp; Experience</w:t>
      </w:r>
    </w:p>
    <w:p>
      <w:pPr>
        <w:pStyle w:val="Heading3"/>
        <w:numPr>
          <w:ilvl w:val="0"/>
          <w:numId w:val="5"/>
        </w:numPr>
        <w:rPr/>
      </w:pPr>
      <w:r>
        <w:rPr>
          <w:rFonts w:cs="Arial"/>
          <w:color w:val="auto"/>
          <w:sz w:val="24"/>
        </w:rPr>
        <w:t xml:space="preserve">Knowledge and experience of civil contingencies functions, emergency and business continuity planning, risk management frameworks and the wider resilience agenda. </w:t>
      </w:r>
    </w:p>
    <w:p>
      <w:pPr>
        <w:pStyle w:val="Normal"/>
        <w:widowControl/>
        <w:numPr>
          <w:ilvl w:val="0"/>
          <w:numId w:val="5"/>
        </w:numPr>
        <w:spacing w:lineRule="auto" w:line="276" w:before="0" w:after="160"/>
        <w:rPr/>
      </w:pPr>
      <w:r>
        <w:rPr/>
        <w:t xml:space="preserve">Knowledge and experience of: </w:t>
      </w:r>
    </w:p>
    <w:p>
      <w:pPr>
        <w:pStyle w:val="Normal"/>
        <w:widowControl/>
        <w:numPr>
          <w:ilvl w:val="1"/>
          <w:numId w:val="5"/>
        </w:numPr>
        <w:spacing w:lineRule="auto" w:line="276" w:before="0" w:after="160"/>
        <w:rPr/>
      </w:pPr>
      <w:r>
        <w:rPr/>
        <w:t>Multi-agency resilience / emergency management</w:t>
      </w:r>
    </w:p>
    <w:p>
      <w:pPr>
        <w:pStyle w:val="Normal"/>
        <w:widowControl/>
        <w:numPr>
          <w:ilvl w:val="1"/>
          <w:numId w:val="5"/>
        </w:numPr>
        <w:spacing w:lineRule="auto" w:line="276" w:before="0" w:after="160"/>
        <w:rPr/>
      </w:pPr>
      <w:r>
        <w:rPr/>
        <w:t>Risk assessment and assurance delivery</w:t>
      </w:r>
    </w:p>
    <w:p>
      <w:pPr>
        <w:pStyle w:val="Normal"/>
        <w:widowControl/>
        <w:numPr>
          <w:ilvl w:val="1"/>
          <w:numId w:val="5"/>
        </w:numPr>
        <w:spacing w:lineRule="auto" w:line="276" w:before="0" w:after="160"/>
        <w:rPr/>
      </w:pPr>
      <w:r>
        <w:rPr/>
        <w:t>Governance, audit or performance frameworks</w:t>
      </w:r>
    </w:p>
    <w:p>
      <w:pPr>
        <w:pStyle w:val="Normal"/>
        <w:widowControl/>
        <w:numPr>
          <w:ilvl w:val="1"/>
          <w:numId w:val="5"/>
        </w:numPr>
        <w:spacing w:lineRule="auto" w:line="276" w:before="0" w:after="160"/>
        <w:rPr/>
      </w:pPr>
      <w:r>
        <w:rPr/>
        <w:t>Working across complex systems or regional partnerships</w:t>
      </w:r>
    </w:p>
    <w:p>
      <w:pPr>
        <w:pStyle w:val="Heading3"/>
        <w:ind w:hanging="0" w:left="0"/>
        <w:rPr/>
      </w:pPr>
      <w:r>
        <w:rPr>
          <w:rFonts w:cs="Arial"/>
          <w:sz w:val="24"/>
        </w:rPr>
        <w:t>Skills, Values</w:t>
      </w:r>
      <w:r>
        <w:rPr>
          <w:rFonts w:cs="Arial"/>
          <w:spacing w:val="-3"/>
          <w:sz w:val="24"/>
        </w:rPr>
        <w:t xml:space="preserve"> </w:t>
      </w:r>
      <w:r>
        <w:rPr>
          <w:rFonts w:cs="Arial"/>
          <w:sz w:val="24"/>
        </w:rPr>
        <w:t>&amp;</w:t>
      </w:r>
      <w:r>
        <w:rPr>
          <w:rFonts w:cs="Arial"/>
          <w:spacing w:val="-3"/>
          <w:sz w:val="24"/>
        </w:rPr>
        <w:t xml:space="preserve"> </w:t>
      </w:r>
      <w:r>
        <w:rPr>
          <w:rFonts w:cs="Arial"/>
          <w:sz w:val="24"/>
        </w:rPr>
        <w:t>Behaviours</w:t>
      </w:r>
    </w:p>
    <w:p>
      <w:pPr>
        <w:pStyle w:val="ListParagraph"/>
        <w:numPr>
          <w:ilvl w:val="0"/>
          <w:numId w:val="6"/>
        </w:numPr>
        <w:rPr/>
      </w:pPr>
      <w:r>
        <w:rPr/>
        <w:t xml:space="preserve">Ability to communicate equally, appropriately, and effectively with the widest range of individuals and groups across all sectors and levels of society, exhibiting integrity and creating rapport, trust, and confidence. </w:t>
      </w:r>
    </w:p>
    <w:p>
      <w:pPr>
        <w:pStyle w:val="ListParagraph"/>
        <w:numPr>
          <w:ilvl w:val="0"/>
          <w:numId w:val="6"/>
        </w:numPr>
        <w:rPr/>
      </w:pPr>
      <w:r>
        <w:rPr/>
        <w:t xml:space="preserve">Ability to sell ideas and concepts with the ability to articulate shared vision across a range of stakeholders and to negotiate effectively to achieve successful outcomes. </w:t>
      </w:r>
    </w:p>
    <w:p>
      <w:pPr>
        <w:pStyle w:val="ListParagraph"/>
        <w:numPr>
          <w:ilvl w:val="0"/>
          <w:numId w:val="6"/>
        </w:numPr>
        <w:rPr/>
      </w:pPr>
      <w:r>
        <w:rPr/>
        <w:t xml:space="preserve">Ability to build and maintain strong networks of support both internally and externally and to forge effective partnerships with external agencies, voluntary and statutory, and key stakeholders for the continuous improvement of services. </w:t>
      </w:r>
    </w:p>
    <w:p>
      <w:pPr>
        <w:pStyle w:val="ListParagraph"/>
        <w:numPr>
          <w:ilvl w:val="0"/>
          <w:numId w:val="6"/>
        </w:numPr>
        <w:rPr/>
      </w:pPr>
      <w:r>
        <w:rPr/>
        <w:t xml:space="preserve">Ability to harness the full commitment and responsibility of key stakeholders in delivering the vision of excellence for the city. </w:t>
      </w:r>
    </w:p>
    <w:p>
      <w:pPr>
        <w:pStyle w:val="ListParagraph"/>
        <w:numPr>
          <w:ilvl w:val="0"/>
          <w:numId w:val="6"/>
        </w:numPr>
        <w:rPr/>
      </w:pPr>
      <w:r>
        <w:rPr/>
        <w:t xml:space="preserve">Understanding the dynamics of conflict and how to achieve mutual agreement. </w:t>
      </w:r>
    </w:p>
    <w:p>
      <w:pPr>
        <w:pStyle w:val="ListParagraph"/>
        <w:numPr>
          <w:ilvl w:val="0"/>
          <w:numId w:val="6"/>
        </w:numPr>
        <w:rPr/>
      </w:pPr>
      <w:r>
        <w:rPr/>
        <w:t xml:space="preserve">Demonstrates the ability to apply analytical and logical thinking to gathering and analysing information, designing, and testing solutions to problems, and formulating plans. </w:t>
      </w:r>
    </w:p>
    <w:p>
      <w:pPr>
        <w:pStyle w:val="ListParagraph"/>
        <w:numPr>
          <w:ilvl w:val="0"/>
          <w:numId w:val="6"/>
        </w:numPr>
        <w:rPr/>
      </w:pPr>
      <w:r>
        <w:rPr/>
        <w:t>Ability to turn strategic ideas and objectives into practical, well organised plans.</w:t>
      </w:r>
    </w:p>
    <w:p>
      <w:pPr>
        <w:pStyle w:val="ListParagraph"/>
        <w:numPr>
          <w:ilvl w:val="0"/>
          <w:numId w:val="6"/>
        </w:numPr>
        <w:rPr/>
      </w:pPr>
      <w:r>
        <w:rPr/>
        <w:t xml:space="preserve">Thinks creatively to plan and examine potential business processes and operating models and to develop a range of creative and original solutions that meet the strategic needs of the business. </w:t>
      </w:r>
    </w:p>
    <w:p>
      <w:pPr>
        <w:pStyle w:val="ListParagraph"/>
        <w:numPr>
          <w:ilvl w:val="0"/>
          <w:numId w:val="6"/>
        </w:numPr>
        <w:rPr/>
      </w:pPr>
      <w:r>
        <w:rPr/>
        <w:t xml:space="preserve">Ability to analyse and present evidenced based information from a variety of different sources, often conflicting, using established research methodology. </w:t>
      </w:r>
    </w:p>
    <w:p>
      <w:pPr>
        <w:pStyle w:val="ListParagraph"/>
        <w:numPr>
          <w:ilvl w:val="0"/>
          <w:numId w:val="6"/>
        </w:numPr>
        <w:rPr/>
      </w:pPr>
      <w:r>
        <w:rPr/>
        <w:t xml:space="preserve">An ability to proactively predict future trends and challenges and to develop policies that are future-proofed whilst at the same time being flexible yet articulate. </w:t>
      </w:r>
    </w:p>
    <w:p>
      <w:pPr>
        <w:pStyle w:val="ListParagraph"/>
        <w:numPr>
          <w:ilvl w:val="0"/>
          <w:numId w:val="6"/>
        </w:numPr>
        <w:rPr/>
      </w:pPr>
      <w:r>
        <w:rPr/>
        <w:t>Ability to demonstrate how policy options deliver or align with wider political objectives at a national, regional and sub-regional level.</w:t>
      </w:r>
    </w:p>
    <w:p>
      <w:pPr>
        <w:pStyle w:val="ListParagraph"/>
        <w:numPr>
          <w:ilvl w:val="0"/>
          <w:numId w:val="6"/>
        </w:numPr>
        <w:rPr/>
      </w:pPr>
      <w:r>
        <w:rPr/>
        <w:t xml:space="preserve">Ability to identify, investigate and engineer connections with other policy programmes. Ability to represent the organisation at a senior level in financial, commercial and general management relationships with other organisations in both public and private sectors. </w:t>
      </w:r>
    </w:p>
    <w:p>
      <w:pPr>
        <w:pStyle w:val="ListParagraph"/>
        <w:numPr>
          <w:ilvl w:val="0"/>
          <w:numId w:val="6"/>
        </w:numPr>
        <w:rPr/>
      </w:pPr>
      <w:r>
        <w:rPr/>
        <w:t xml:space="preserve">Demonstrates sound business intelligence and ability to identify commercially viable opportunities and secure value for money in service delivery. </w:t>
      </w:r>
    </w:p>
    <w:p>
      <w:pPr>
        <w:pStyle w:val="NoSpacing"/>
        <w:rPr>
          <w:rFonts w:ascii="Arial" w:hAnsi="Arial" w:cs="Arial"/>
          <w:b/>
          <w:bCs/>
        </w:rPr>
      </w:pPr>
      <w:r>
        <w:rPr>
          <w:rFonts w:cs="Arial" w:ascii="Arial" w:hAnsi="Arial"/>
          <w:b/>
          <w:bCs/>
        </w:rPr>
        <w:t>Mandatory requirements</w:t>
      </w:r>
    </w:p>
    <w:p>
      <w:pPr>
        <w:pStyle w:val="NoSpacing"/>
        <w:rPr>
          <w:rFonts w:ascii="Arial" w:hAnsi="Arial" w:cs="Arial"/>
        </w:rPr>
      </w:pPr>
      <w:r>
        <w:rPr>
          <w:rFonts w:cs="Arial" w:ascii="Arial" w:hAnsi="Arial"/>
        </w:rPr>
      </w:r>
    </w:p>
    <w:p>
      <w:pPr>
        <w:pStyle w:val="ListParagraph"/>
        <w:numPr>
          <w:ilvl w:val="0"/>
          <w:numId w:val="6"/>
        </w:numPr>
        <w:rPr/>
      </w:pPr>
      <w:r>
        <w:rPr>
          <w:rFonts w:cs="Arial"/>
          <w:color w:val="000000"/>
        </w:rPr>
        <w:t xml:space="preserve">The post holder will be required to work flexibly to meet the needs of the service and </w:t>
      </w:r>
      <w:r>
        <w:rPr/>
        <w:t xml:space="preserve">commit to be a member of GMRU’s on-call rota, providing 365/24/7 expert support to the 10 Greater Manchester local authorities in their response to emergencies. The post holder will be compensated for their on-call working hours. </w:t>
      </w:r>
    </w:p>
    <w:p>
      <w:pPr>
        <w:pStyle w:val="ListParagraph"/>
        <w:numPr>
          <w:ilvl w:val="0"/>
          <w:numId w:val="6"/>
        </w:numPr>
        <w:rPr/>
      </w:pPr>
      <w:r>
        <w:rPr/>
        <w:t>The post holder must successfully undertake, and maintain, police security clearance through Greater Manchester Police.</w:t>
      </w:r>
    </w:p>
    <w:p>
      <w:pPr>
        <w:pStyle w:val="ListParagraph"/>
        <w:numPr>
          <w:ilvl w:val="0"/>
          <w:numId w:val="6"/>
        </w:numPr>
        <w:rPr/>
      </w:pPr>
      <w:r>
        <w:rPr>
          <w:rFonts w:cs="Arial"/>
        </w:rPr>
        <w:t>Hold a full driving license and have access to a vehicle for business use for which casual car user allowance will be paid.</w:t>
      </w:r>
    </w:p>
    <w:p>
      <w:pPr>
        <w:pStyle w:val="ListParagraph"/>
        <w:numPr>
          <w:ilvl w:val="0"/>
          <w:numId w:val="6"/>
        </w:numPr>
        <w:rPr/>
      </w:pPr>
      <w:r>
        <w:rPr>
          <w:rFonts w:cs="Arial"/>
        </w:rPr>
        <w:t>Be prepared to travel across Greater Manchester, and outside of Greater Manchester if business needs require.</w:t>
      </w:r>
    </w:p>
    <w:p>
      <w:pPr>
        <w:pStyle w:val="Heading2"/>
        <w:ind w:hanging="0" w:left="0"/>
        <w:rPr>
          <w:rFonts w:cs="Arial"/>
          <w:sz w:val="24"/>
          <w:szCs w:val="24"/>
        </w:rPr>
      </w:pPr>
      <w:r>
        <w:rPr>
          <w:rFonts w:cs="Arial"/>
          <w:sz w:val="24"/>
          <w:szCs w:val="24"/>
        </w:rPr>
        <w:t>Corporate Duties</w:t>
      </w:r>
    </w:p>
    <w:p>
      <w:pPr>
        <w:pStyle w:val="Normal"/>
        <w:rPr/>
      </w:pPr>
      <w:r>
        <w:rPr>
          <w:rFonts w:cs="Arial"/>
          <w:i/>
          <w:iCs/>
          <w:sz w:val="20"/>
          <w:szCs w:val="20"/>
        </w:rPr>
        <w:t>Do not behave in way which discriminates against your fellow employees, or potential</w:t>
      </w:r>
      <w:r>
        <w:rPr>
          <w:rFonts w:cs="Arial"/>
          <w:i/>
          <w:iCs/>
          <w:spacing w:val="1"/>
          <w:sz w:val="20"/>
          <w:szCs w:val="20"/>
        </w:rPr>
        <w:t xml:space="preserve"> </w:t>
      </w:r>
      <w:r>
        <w:rPr>
          <w:rFonts w:cs="Arial"/>
          <w:i/>
          <w:iCs/>
          <w:sz w:val="20"/>
          <w:szCs w:val="20"/>
        </w:rPr>
        <w:t>employees on the grounds of their sex, sexual orientation, marital status, race, religion,</w:t>
      </w:r>
      <w:r>
        <w:rPr>
          <w:rFonts w:cs="Arial"/>
          <w:i/>
          <w:iCs/>
          <w:spacing w:val="-59"/>
          <w:sz w:val="20"/>
          <w:szCs w:val="20"/>
        </w:rPr>
        <w:t xml:space="preserve"> </w:t>
      </w:r>
      <w:r>
        <w:rPr>
          <w:rFonts w:cs="Arial"/>
          <w:i/>
          <w:iCs/>
          <w:sz w:val="20"/>
          <w:szCs w:val="20"/>
        </w:rPr>
        <w:t>creed,</w:t>
      </w:r>
      <w:r>
        <w:rPr>
          <w:rFonts w:cs="Arial"/>
          <w:i/>
          <w:iCs/>
          <w:spacing w:val="-2"/>
          <w:sz w:val="20"/>
          <w:szCs w:val="20"/>
        </w:rPr>
        <w:t xml:space="preserve"> </w:t>
      </w:r>
      <w:r>
        <w:rPr>
          <w:rFonts w:cs="Arial"/>
          <w:i/>
          <w:iCs/>
          <w:sz w:val="20"/>
          <w:szCs w:val="20"/>
        </w:rPr>
        <w:t>colour,</w:t>
      </w:r>
      <w:r>
        <w:rPr>
          <w:rFonts w:cs="Arial"/>
          <w:i/>
          <w:iCs/>
          <w:spacing w:val="2"/>
          <w:sz w:val="20"/>
          <w:szCs w:val="20"/>
        </w:rPr>
        <w:t xml:space="preserve"> </w:t>
      </w:r>
      <w:r>
        <w:rPr>
          <w:rFonts w:cs="Arial"/>
          <w:i/>
          <w:iCs/>
          <w:sz w:val="20"/>
          <w:szCs w:val="20"/>
        </w:rPr>
        <w:t>nationality,</w:t>
      </w:r>
      <w:r>
        <w:rPr>
          <w:rFonts w:cs="Arial"/>
          <w:i/>
          <w:iCs/>
          <w:spacing w:val="2"/>
          <w:sz w:val="20"/>
          <w:szCs w:val="20"/>
        </w:rPr>
        <w:t xml:space="preserve"> </w:t>
      </w:r>
      <w:r>
        <w:rPr>
          <w:rFonts w:cs="Arial"/>
          <w:i/>
          <w:iCs/>
          <w:sz w:val="20"/>
          <w:szCs w:val="20"/>
        </w:rPr>
        <w:t>ethnic</w:t>
      </w:r>
      <w:r>
        <w:rPr>
          <w:rFonts w:cs="Arial"/>
          <w:i/>
          <w:iCs/>
          <w:spacing w:val="1"/>
          <w:sz w:val="20"/>
          <w:szCs w:val="20"/>
        </w:rPr>
        <w:t xml:space="preserve"> </w:t>
      </w:r>
      <w:r>
        <w:rPr>
          <w:rFonts w:cs="Arial"/>
          <w:i/>
          <w:iCs/>
          <w:sz w:val="20"/>
          <w:szCs w:val="20"/>
        </w:rPr>
        <w:t>origin</w:t>
      </w:r>
      <w:r>
        <w:rPr>
          <w:rFonts w:cs="Arial"/>
          <w:i/>
          <w:iCs/>
          <w:spacing w:val="1"/>
          <w:sz w:val="20"/>
          <w:szCs w:val="20"/>
        </w:rPr>
        <w:t xml:space="preserve"> </w:t>
      </w:r>
      <w:r>
        <w:rPr>
          <w:rFonts w:cs="Arial"/>
          <w:i/>
          <w:iCs/>
          <w:sz w:val="20"/>
          <w:szCs w:val="20"/>
        </w:rPr>
        <w:t>or</w:t>
      </w:r>
      <w:r>
        <w:rPr>
          <w:rFonts w:cs="Arial"/>
          <w:i/>
          <w:iCs/>
          <w:spacing w:val="-2"/>
          <w:sz w:val="20"/>
          <w:szCs w:val="20"/>
        </w:rPr>
        <w:t xml:space="preserve"> </w:t>
      </w:r>
      <w:r>
        <w:rPr>
          <w:rFonts w:cs="Arial"/>
          <w:i/>
          <w:iCs/>
          <w:sz w:val="20"/>
          <w:szCs w:val="20"/>
        </w:rPr>
        <w:t>disability.</w:t>
      </w:r>
    </w:p>
    <w:p>
      <w:pPr>
        <w:pStyle w:val="Normal"/>
        <w:rPr/>
      </w:pPr>
      <w:r>
        <w:rPr>
          <w:rFonts w:cs="Arial"/>
          <w:i/>
          <w:iCs/>
          <w:sz w:val="20"/>
          <w:szCs w:val="20"/>
        </w:rPr>
        <w:t xml:space="preserve">Safeguard at all times confidentiality of information relating to staff and pensioners. </w:t>
      </w:r>
      <w:r>
        <w:rPr>
          <w:rFonts w:cs="Arial"/>
          <w:i/>
          <w:iCs/>
          <w:spacing w:val="-59"/>
          <w:sz w:val="20"/>
          <w:szCs w:val="20"/>
        </w:rPr>
        <w:t xml:space="preserve"> </w:t>
      </w:r>
      <w:r>
        <w:rPr>
          <w:rFonts w:cs="Arial"/>
          <w:i/>
          <w:iCs/>
          <w:sz w:val="20"/>
          <w:szCs w:val="20"/>
        </w:rPr>
        <w:t>Refrain</w:t>
      </w:r>
      <w:r>
        <w:rPr>
          <w:rFonts w:cs="Arial"/>
          <w:i/>
          <w:iCs/>
          <w:spacing w:val="-3"/>
          <w:sz w:val="20"/>
          <w:szCs w:val="20"/>
        </w:rPr>
        <w:t xml:space="preserve"> </w:t>
      </w:r>
      <w:r>
        <w:rPr>
          <w:rFonts w:cs="Arial"/>
          <w:i/>
          <w:iCs/>
          <w:sz w:val="20"/>
          <w:szCs w:val="20"/>
        </w:rPr>
        <w:t>from</w:t>
      </w:r>
      <w:r>
        <w:rPr>
          <w:rFonts w:cs="Arial"/>
          <w:i/>
          <w:iCs/>
          <w:spacing w:val="2"/>
          <w:sz w:val="20"/>
          <w:szCs w:val="20"/>
        </w:rPr>
        <w:t xml:space="preserve"> </w:t>
      </w:r>
      <w:r>
        <w:rPr>
          <w:rFonts w:cs="Arial"/>
          <w:i/>
          <w:iCs/>
          <w:sz w:val="20"/>
          <w:szCs w:val="20"/>
        </w:rPr>
        <w:t>smoking</w:t>
      </w:r>
      <w:r>
        <w:rPr>
          <w:rFonts w:cs="Arial"/>
          <w:i/>
          <w:iCs/>
          <w:spacing w:val="4"/>
          <w:sz w:val="20"/>
          <w:szCs w:val="20"/>
        </w:rPr>
        <w:t xml:space="preserve"> </w:t>
      </w:r>
      <w:r>
        <w:rPr>
          <w:rFonts w:cs="Arial"/>
          <w:i/>
          <w:iCs/>
          <w:sz w:val="20"/>
          <w:szCs w:val="20"/>
        </w:rPr>
        <w:t>in</w:t>
      </w:r>
      <w:r>
        <w:rPr>
          <w:rFonts w:cs="Arial"/>
          <w:i/>
          <w:iCs/>
          <w:spacing w:val="-5"/>
          <w:sz w:val="20"/>
          <w:szCs w:val="20"/>
        </w:rPr>
        <w:t xml:space="preserve"> </w:t>
      </w:r>
      <w:r>
        <w:rPr>
          <w:rFonts w:cs="Arial"/>
          <w:i/>
          <w:iCs/>
          <w:sz w:val="20"/>
          <w:szCs w:val="20"/>
        </w:rPr>
        <w:t>any</w:t>
      </w:r>
      <w:r>
        <w:rPr>
          <w:rFonts w:cs="Arial"/>
          <w:i/>
          <w:iCs/>
          <w:spacing w:val="-1"/>
          <w:sz w:val="20"/>
          <w:szCs w:val="20"/>
        </w:rPr>
        <w:t xml:space="preserve"> </w:t>
      </w:r>
      <w:r>
        <w:rPr>
          <w:rFonts w:cs="Arial"/>
          <w:i/>
          <w:iCs/>
          <w:sz w:val="20"/>
          <w:szCs w:val="20"/>
        </w:rPr>
        <w:t>areas</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premises.</w:t>
      </w:r>
    </w:p>
    <w:p>
      <w:pPr>
        <w:pStyle w:val="Normal"/>
        <w:rPr/>
      </w:pPr>
      <w:r>
        <w:rPr>
          <w:rFonts w:cs="Arial"/>
          <w:i/>
          <w:iCs/>
          <w:sz w:val="20"/>
          <w:szCs w:val="20"/>
        </w:rPr>
        <w:t>Behave in a manner that ensures the security of property and resources.</w:t>
      </w:r>
      <w:r>
        <w:rPr>
          <w:rFonts w:cs="Arial"/>
          <w:i/>
          <w:iCs/>
          <w:spacing w:val="-59"/>
          <w:sz w:val="20"/>
          <w:szCs w:val="20"/>
        </w:rPr>
        <w:t xml:space="preserve"> </w:t>
      </w:r>
      <w:r>
        <w:rPr>
          <w:rFonts w:cs="Arial"/>
          <w:i/>
          <w:iCs/>
          <w:sz w:val="20"/>
          <w:szCs w:val="20"/>
        </w:rPr>
        <w:t>Abide</w:t>
      </w:r>
      <w:r>
        <w:rPr>
          <w:rFonts w:cs="Arial"/>
          <w:i/>
          <w:iCs/>
          <w:spacing w:val="-1"/>
          <w:sz w:val="20"/>
          <w:szCs w:val="20"/>
        </w:rPr>
        <w:t xml:space="preserve"> </w:t>
      </w:r>
      <w:r>
        <w:rPr>
          <w:rFonts w:cs="Arial"/>
          <w:i/>
          <w:iCs/>
          <w:sz w:val="20"/>
          <w:szCs w:val="20"/>
        </w:rPr>
        <w:t>by</w:t>
      </w:r>
      <w:r>
        <w:rPr>
          <w:rFonts w:cs="Arial"/>
          <w:i/>
          <w:iCs/>
          <w:spacing w:val="-2"/>
          <w:sz w:val="20"/>
          <w:szCs w:val="20"/>
        </w:rPr>
        <w:t xml:space="preserve"> </w:t>
      </w:r>
      <w:r>
        <w:rPr>
          <w:rFonts w:cs="Arial"/>
          <w:i/>
          <w:iCs/>
          <w:sz w:val="20"/>
          <w:szCs w:val="20"/>
        </w:rPr>
        <w:t>all relevant</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Policies and Procedures.</w:t>
      </w:r>
    </w:p>
    <w:p>
      <w:pPr>
        <w:pStyle w:val="Normal"/>
        <w:rPr/>
      </w:pPr>
      <w:r>
        <w:rPr>
          <w:rFonts w:cs="Arial"/>
          <w:b/>
          <w:bCs/>
          <w:i/>
          <w:iCs/>
          <w:sz w:val="20"/>
          <w:szCs w:val="20"/>
        </w:rPr>
        <w:t>Records Management / Data Protection</w:t>
      </w:r>
      <w:r>
        <w:rPr>
          <w:rFonts w:cs="Arial"/>
          <w:i/>
          <w:iCs/>
          <w:sz w:val="20"/>
          <w:szCs w:val="20"/>
        </w:rPr>
        <w:t xml:space="preserve"> - As an employee of the GMCA, you have a legal</w:t>
      </w:r>
      <w:r>
        <w:rPr>
          <w:rFonts w:cs="Arial"/>
          <w:i/>
          <w:iCs/>
          <w:spacing w:val="1"/>
          <w:sz w:val="20"/>
          <w:szCs w:val="20"/>
        </w:rPr>
        <w:t xml:space="preserve"> </w:t>
      </w:r>
      <w:r>
        <w:rPr>
          <w:rFonts w:cs="Arial"/>
          <w:i/>
          <w:iCs/>
          <w:spacing w:val="-1"/>
          <w:sz w:val="20"/>
          <w:szCs w:val="20"/>
        </w:rPr>
        <w:t>responsibility</w:t>
      </w:r>
      <w:r>
        <w:rPr>
          <w:rFonts w:cs="Arial"/>
          <w:i/>
          <w:iCs/>
          <w:spacing w:val="-16"/>
          <w:sz w:val="20"/>
          <w:szCs w:val="20"/>
        </w:rPr>
        <w:t xml:space="preserve"> </w:t>
      </w:r>
      <w:r>
        <w:rPr>
          <w:rFonts w:cs="Arial"/>
          <w:i/>
          <w:iCs/>
          <w:spacing w:val="-1"/>
          <w:sz w:val="20"/>
          <w:szCs w:val="20"/>
        </w:rPr>
        <w:t>for</w:t>
      </w:r>
      <w:r>
        <w:rPr>
          <w:rFonts w:cs="Arial"/>
          <w:i/>
          <w:iCs/>
          <w:spacing w:val="-15"/>
          <w:sz w:val="20"/>
          <w:szCs w:val="20"/>
        </w:rPr>
        <w:t xml:space="preserve"> </w:t>
      </w:r>
      <w:r>
        <w:rPr>
          <w:rFonts w:cs="Arial"/>
          <w:i/>
          <w:iCs/>
          <w:spacing w:val="-1"/>
          <w:sz w:val="20"/>
          <w:szCs w:val="20"/>
        </w:rPr>
        <w:t>all</w:t>
      </w:r>
      <w:r>
        <w:rPr>
          <w:rFonts w:cs="Arial"/>
          <w:i/>
          <w:iCs/>
          <w:spacing w:val="-14"/>
          <w:sz w:val="20"/>
          <w:szCs w:val="20"/>
        </w:rPr>
        <w:t xml:space="preserve"> </w:t>
      </w:r>
      <w:r>
        <w:rPr>
          <w:rFonts w:cs="Arial"/>
          <w:i/>
          <w:iCs/>
          <w:spacing w:val="-1"/>
          <w:sz w:val="20"/>
          <w:szCs w:val="20"/>
        </w:rPr>
        <w:t>records</w:t>
      </w:r>
      <w:r>
        <w:rPr>
          <w:rFonts w:cs="Arial"/>
          <w:i/>
          <w:iCs/>
          <w:spacing w:val="-13"/>
          <w:sz w:val="20"/>
          <w:szCs w:val="20"/>
        </w:rPr>
        <w:t xml:space="preserve"> </w:t>
      </w:r>
      <w:r>
        <w:rPr>
          <w:rFonts w:cs="Arial"/>
          <w:i/>
          <w:iCs/>
          <w:sz w:val="20"/>
          <w:szCs w:val="20"/>
        </w:rPr>
        <w:t>(including</w:t>
      </w:r>
      <w:r>
        <w:rPr>
          <w:rFonts w:cs="Arial"/>
          <w:i/>
          <w:iCs/>
          <w:spacing w:val="-11"/>
          <w:sz w:val="20"/>
          <w:szCs w:val="20"/>
        </w:rPr>
        <w:t xml:space="preserve"> </w:t>
      </w:r>
      <w:r>
        <w:rPr>
          <w:rFonts w:cs="Arial"/>
          <w:i/>
          <w:iCs/>
          <w:sz w:val="20"/>
          <w:szCs w:val="20"/>
        </w:rPr>
        <w:t>employee</w:t>
      </w:r>
      <w:r>
        <w:rPr>
          <w:rFonts w:cs="Arial"/>
          <w:i/>
          <w:iCs/>
          <w:spacing w:val="-13"/>
          <w:sz w:val="20"/>
          <w:szCs w:val="20"/>
        </w:rPr>
        <w:t xml:space="preserve"> </w:t>
      </w:r>
      <w:r>
        <w:rPr>
          <w:rFonts w:cs="Arial"/>
          <w:i/>
          <w:iCs/>
          <w:sz w:val="20"/>
          <w:szCs w:val="20"/>
        </w:rPr>
        <w:t>health,</w:t>
      </w:r>
      <w:r>
        <w:rPr>
          <w:rFonts w:cs="Arial"/>
          <w:i/>
          <w:iCs/>
          <w:spacing w:val="-15"/>
          <w:sz w:val="20"/>
          <w:szCs w:val="20"/>
        </w:rPr>
        <w:t xml:space="preserve"> </w:t>
      </w:r>
      <w:r>
        <w:rPr>
          <w:rFonts w:cs="Arial"/>
          <w:i/>
          <w:iCs/>
          <w:sz w:val="20"/>
          <w:szCs w:val="20"/>
        </w:rPr>
        <w:t>financial,</w:t>
      </w:r>
      <w:r>
        <w:rPr>
          <w:rFonts w:cs="Arial"/>
          <w:i/>
          <w:iCs/>
          <w:spacing w:val="-14"/>
          <w:sz w:val="20"/>
          <w:szCs w:val="20"/>
        </w:rPr>
        <w:t xml:space="preserve"> </w:t>
      </w:r>
      <w:r>
        <w:rPr>
          <w:rFonts w:cs="Arial"/>
          <w:i/>
          <w:iCs/>
          <w:sz w:val="20"/>
          <w:szCs w:val="20"/>
        </w:rPr>
        <w:t>personal</w:t>
      </w:r>
      <w:r>
        <w:rPr>
          <w:rFonts w:cs="Arial"/>
          <w:i/>
          <w:iCs/>
          <w:spacing w:val="-17"/>
          <w:sz w:val="20"/>
          <w:szCs w:val="20"/>
        </w:rPr>
        <w:t xml:space="preserve"> </w:t>
      </w:r>
      <w:r>
        <w:rPr>
          <w:rFonts w:cs="Arial"/>
          <w:i/>
          <w:iCs/>
          <w:sz w:val="20"/>
          <w:szCs w:val="20"/>
        </w:rPr>
        <w:t>and</w:t>
      </w:r>
      <w:r>
        <w:rPr>
          <w:rFonts w:cs="Arial"/>
          <w:i/>
          <w:iCs/>
          <w:spacing w:val="-13"/>
          <w:sz w:val="20"/>
          <w:szCs w:val="20"/>
        </w:rPr>
        <w:t xml:space="preserve"> </w:t>
      </w:r>
      <w:r>
        <w:rPr>
          <w:rFonts w:cs="Arial"/>
          <w:i/>
          <w:iCs/>
          <w:sz w:val="20"/>
          <w:szCs w:val="20"/>
        </w:rPr>
        <w:t>administrative)</w:t>
      </w:r>
      <w:r>
        <w:rPr>
          <w:rFonts w:cs="Arial"/>
          <w:i/>
          <w:iCs/>
          <w:spacing w:val="-58"/>
          <w:sz w:val="20"/>
          <w:szCs w:val="20"/>
        </w:rPr>
        <w:t xml:space="preserve"> </w:t>
      </w:r>
      <w:r>
        <w:rPr>
          <w:rFonts w:cs="Arial"/>
          <w:i/>
          <w:iCs/>
          <w:sz w:val="20"/>
          <w:szCs w:val="20"/>
        </w:rPr>
        <w:t>that you gather or use as part of your work with the Service. The records may be paper,</w:t>
      </w:r>
      <w:r>
        <w:rPr>
          <w:rFonts w:cs="Arial"/>
          <w:i/>
          <w:iCs/>
          <w:spacing w:val="1"/>
          <w:sz w:val="20"/>
          <w:szCs w:val="20"/>
        </w:rPr>
        <w:t xml:space="preserve"> </w:t>
      </w:r>
      <w:r>
        <w:rPr>
          <w:rFonts w:cs="Arial"/>
          <w:i/>
          <w:iCs/>
          <w:sz w:val="20"/>
          <w:szCs w:val="20"/>
        </w:rPr>
        <w:t>electronic, audio or videotapes. You must consult your manager if you have any doubt as to</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correct management</w:t>
      </w:r>
      <w:r>
        <w:rPr>
          <w:rFonts w:cs="Arial"/>
          <w:i/>
          <w:iCs/>
          <w:spacing w:val="-2"/>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records</w:t>
      </w:r>
      <w:r>
        <w:rPr>
          <w:rFonts w:cs="Arial"/>
          <w:i/>
          <w:iCs/>
          <w:spacing w:val="-2"/>
          <w:sz w:val="20"/>
          <w:szCs w:val="20"/>
        </w:rPr>
        <w:t xml:space="preserve"> </w:t>
      </w:r>
      <w:r>
        <w:rPr>
          <w:rFonts w:cs="Arial"/>
          <w:i/>
          <w:iCs/>
          <w:sz w:val="20"/>
          <w:szCs w:val="20"/>
        </w:rPr>
        <w:t>with</w:t>
      </w:r>
      <w:r>
        <w:rPr>
          <w:rFonts w:cs="Arial"/>
          <w:i/>
          <w:iCs/>
          <w:spacing w:val="1"/>
          <w:sz w:val="20"/>
          <w:szCs w:val="20"/>
        </w:rPr>
        <w:t xml:space="preserve"> </w:t>
      </w:r>
      <w:r>
        <w:rPr>
          <w:rFonts w:cs="Arial"/>
          <w:i/>
          <w:iCs/>
          <w:sz w:val="20"/>
          <w:szCs w:val="20"/>
        </w:rPr>
        <w:t>which</w:t>
      </w:r>
      <w:r>
        <w:rPr>
          <w:rFonts w:cs="Arial"/>
          <w:i/>
          <w:iCs/>
          <w:spacing w:val="2"/>
          <w:sz w:val="20"/>
          <w:szCs w:val="20"/>
        </w:rPr>
        <w:t xml:space="preserve"> </w:t>
      </w:r>
      <w:r>
        <w:rPr>
          <w:rFonts w:cs="Arial"/>
          <w:i/>
          <w:iCs/>
          <w:sz w:val="20"/>
          <w:szCs w:val="20"/>
        </w:rPr>
        <w:t>you work.</w:t>
      </w:r>
    </w:p>
    <w:p>
      <w:pPr>
        <w:pStyle w:val="Normal"/>
        <w:rPr/>
      </w:pPr>
      <w:r>
        <w:rPr>
          <w:rFonts w:cs="Arial"/>
          <w:b/>
          <w:bCs/>
          <w:i/>
          <w:iCs/>
          <w:spacing w:val="-1"/>
          <w:sz w:val="20"/>
          <w:szCs w:val="20"/>
        </w:rPr>
        <w:t>Confidentiality</w:t>
      </w:r>
      <w:r>
        <w:rPr>
          <w:rFonts w:cs="Arial"/>
          <w:b/>
          <w:bCs/>
          <w:i/>
          <w:iCs/>
          <w:spacing w:val="-15"/>
          <w:sz w:val="20"/>
          <w:szCs w:val="20"/>
        </w:rPr>
        <w:t xml:space="preserve"> </w:t>
      </w:r>
      <w:r>
        <w:rPr>
          <w:rFonts w:cs="Arial"/>
          <w:b/>
          <w:bCs/>
          <w:i/>
          <w:iCs/>
          <w:sz w:val="20"/>
          <w:szCs w:val="20"/>
        </w:rPr>
        <w:t>and</w:t>
      </w:r>
      <w:r>
        <w:rPr>
          <w:rFonts w:cs="Arial"/>
          <w:b/>
          <w:bCs/>
          <w:i/>
          <w:iCs/>
          <w:spacing w:val="-12"/>
          <w:sz w:val="20"/>
          <w:szCs w:val="20"/>
        </w:rPr>
        <w:t xml:space="preserve"> </w:t>
      </w:r>
      <w:r>
        <w:rPr>
          <w:rFonts w:cs="Arial"/>
          <w:b/>
          <w:bCs/>
          <w:i/>
          <w:iCs/>
          <w:sz w:val="20"/>
          <w:szCs w:val="20"/>
        </w:rPr>
        <w:t>Information</w:t>
      </w:r>
      <w:r>
        <w:rPr>
          <w:rFonts w:cs="Arial"/>
          <w:b/>
          <w:bCs/>
          <w:i/>
          <w:iCs/>
          <w:spacing w:val="-13"/>
          <w:sz w:val="20"/>
          <w:szCs w:val="20"/>
        </w:rPr>
        <w:t xml:space="preserve"> </w:t>
      </w:r>
      <w:r>
        <w:rPr>
          <w:rFonts w:cs="Arial"/>
          <w:b/>
          <w:bCs/>
          <w:i/>
          <w:iCs/>
          <w:sz w:val="20"/>
          <w:szCs w:val="20"/>
        </w:rPr>
        <w:t>Security</w:t>
      </w:r>
      <w:r>
        <w:rPr>
          <w:rFonts w:cs="Arial"/>
          <w:i/>
          <w:iCs/>
          <w:spacing w:val="-16"/>
          <w:sz w:val="20"/>
          <w:szCs w:val="20"/>
        </w:rPr>
        <w:t xml:space="preserve"> </w:t>
      </w:r>
      <w:r>
        <w:rPr>
          <w:rFonts w:cs="Arial"/>
          <w:i/>
          <w:iCs/>
          <w:sz w:val="20"/>
          <w:szCs w:val="20"/>
        </w:rPr>
        <w:t>-</w:t>
      </w:r>
      <w:r>
        <w:rPr>
          <w:rFonts w:cs="Arial"/>
          <w:i/>
          <w:iCs/>
          <w:spacing w:val="-10"/>
          <w:sz w:val="20"/>
          <w:szCs w:val="20"/>
        </w:rPr>
        <w:t xml:space="preserve"> </w:t>
      </w:r>
      <w:r>
        <w:rPr>
          <w:rFonts w:cs="Arial"/>
          <w:i/>
          <w:iCs/>
          <w:sz w:val="20"/>
          <w:szCs w:val="20"/>
        </w:rPr>
        <w:t>As</w:t>
      </w:r>
      <w:r>
        <w:rPr>
          <w:rFonts w:cs="Arial"/>
          <w:i/>
          <w:iCs/>
          <w:spacing w:val="-11"/>
          <w:sz w:val="20"/>
          <w:szCs w:val="20"/>
        </w:rPr>
        <w:t xml:space="preserve"> </w:t>
      </w:r>
      <w:r>
        <w:rPr>
          <w:rFonts w:cs="Arial"/>
          <w:i/>
          <w:iCs/>
          <w:sz w:val="20"/>
          <w:szCs w:val="20"/>
        </w:rPr>
        <w:t>a</w:t>
      </w:r>
      <w:r>
        <w:rPr>
          <w:rFonts w:cs="Arial"/>
          <w:i/>
          <w:iCs/>
          <w:spacing w:val="-16"/>
          <w:sz w:val="20"/>
          <w:szCs w:val="20"/>
        </w:rPr>
        <w:t xml:space="preserve"> </w:t>
      </w:r>
      <w:r>
        <w:rPr>
          <w:rFonts w:cs="Arial"/>
          <w:i/>
          <w:iCs/>
          <w:sz w:val="20"/>
          <w:szCs w:val="20"/>
        </w:rPr>
        <w:t>GMCA</w:t>
      </w:r>
      <w:r>
        <w:rPr>
          <w:rFonts w:cs="Arial"/>
          <w:i/>
          <w:iCs/>
          <w:spacing w:val="-11"/>
          <w:sz w:val="20"/>
          <w:szCs w:val="20"/>
        </w:rPr>
        <w:t xml:space="preserve"> </w:t>
      </w:r>
      <w:r>
        <w:rPr>
          <w:rFonts w:cs="Arial"/>
          <w:i/>
          <w:iCs/>
          <w:sz w:val="20"/>
          <w:szCs w:val="20"/>
        </w:rPr>
        <w:t>employee</w:t>
      </w:r>
      <w:r>
        <w:rPr>
          <w:rFonts w:cs="Arial"/>
          <w:i/>
          <w:iCs/>
          <w:spacing w:val="-12"/>
          <w:sz w:val="20"/>
          <w:szCs w:val="20"/>
        </w:rPr>
        <w:t xml:space="preserve"> </w:t>
      </w:r>
      <w:r>
        <w:rPr>
          <w:rFonts w:cs="Arial"/>
          <w:i/>
          <w:iCs/>
          <w:sz w:val="20"/>
          <w:szCs w:val="20"/>
        </w:rPr>
        <w:t>you</w:t>
      </w:r>
      <w:r>
        <w:rPr>
          <w:rFonts w:cs="Arial"/>
          <w:i/>
          <w:iCs/>
          <w:spacing w:val="-12"/>
          <w:sz w:val="20"/>
          <w:szCs w:val="20"/>
        </w:rPr>
        <w:t xml:space="preserve"> </w:t>
      </w:r>
      <w:r>
        <w:rPr>
          <w:rFonts w:cs="Arial"/>
          <w:i/>
          <w:iCs/>
          <w:sz w:val="20"/>
          <w:szCs w:val="20"/>
        </w:rPr>
        <w:t>are</w:t>
      </w:r>
      <w:r>
        <w:rPr>
          <w:rFonts w:cs="Arial"/>
          <w:i/>
          <w:iCs/>
          <w:spacing w:val="-11"/>
          <w:sz w:val="20"/>
          <w:szCs w:val="20"/>
        </w:rPr>
        <w:t xml:space="preserve"> </w:t>
      </w:r>
      <w:r>
        <w:rPr>
          <w:rFonts w:cs="Arial"/>
          <w:i/>
          <w:iCs/>
          <w:sz w:val="20"/>
          <w:szCs w:val="20"/>
        </w:rPr>
        <w:t>required</w:t>
      </w:r>
      <w:r>
        <w:rPr>
          <w:rFonts w:cs="Arial"/>
          <w:i/>
          <w:iCs/>
          <w:spacing w:val="-15"/>
          <w:sz w:val="20"/>
          <w:szCs w:val="20"/>
        </w:rPr>
        <w:t xml:space="preserve"> </w:t>
      </w:r>
      <w:r>
        <w:rPr>
          <w:rFonts w:cs="Arial"/>
          <w:i/>
          <w:iCs/>
          <w:sz w:val="20"/>
          <w:szCs w:val="20"/>
        </w:rPr>
        <w:t>to</w:t>
      </w:r>
      <w:r>
        <w:rPr>
          <w:rFonts w:cs="Arial"/>
          <w:i/>
          <w:iCs/>
          <w:spacing w:val="-12"/>
          <w:sz w:val="20"/>
          <w:szCs w:val="20"/>
        </w:rPr>
        <w:t xml:space="preserve"> </w:t>
      </w:r>
      <w:r>
        <w:rPr>
          <w:rFonts w:cs="Arial"/>
          <w:i/>
          <w:iCs/>
          <w:sz w:val="20"/>
          <w:szCs w:val="20"/>
        </w:rPr>
        <w:t>uphold</w:t>
      </w:r>
      <w:r>
        <w:rPr>
          <w:rFonts w:cs="Arial"/>
          <w:i/>
          <w:iCs/>
          <w:spacing w:val="-58"/>
          <w:sz w:val="20"/>
          <w:szCs w:val="20"/>
        </w:rPr>
        <w:t xml:space="preserve"> </w:t>
      </w:r>
      <w:r>
        <w:rPr>
          <w:rFonts w:cs="Arial"/>
          <w:i/>
          <w:iCs/>
          <w:sz w:val="20"/>
          <w:szCs w:val="20"/>
        </w:rPr>
        <w:t>the confidentiality of all records held by the GMCA, whether employee records or GMCA</w:t>
      </w:r>
      <w:r>
        <w:rPr>
          <w:rFonts w:cs="Arial"/>
          <w:i/>
          <w:iCs/>
          <w:spacing w:val="1"/>
          <w:sz w:val="20"/>
          <w:szCs w:val="20"/>
        </w:rPr>
        <w:t xml:space="preserve"> </w:t>
      </w:r>
      <w:r>
        <w:rPr>
          <w:rFonts w:cs="Arial"/>
          <w:i/>
          <w:iCs/>
          <w:sz w:val="20"/>
          <w:szCs w:val="20"/>
        </w:rPr>
        <w:t>information.</w:t>
      </w:r>
      <w:r>
        <w:rPr>
          <w:rFonts w:cs="Arial"/>
          <w:i/>
          <w:iCs/>
          <w:spacing w:val="1"/>
          <w:sz w:val="20"/>
          <w:szCs w:val="20"/>
        </w:rPr>
        <w:t xml:space="preserve"> </w:t>
      </w:r>
      <w:r>
        <w:rPr>
          <w:rFonts w:cs="Arial"/>
          <w:i/>
          <w:iCs/>
          <w:sz w:val="20"/>
          <w:szCs w:val="20"/>
        </w:rPr>
        <w:t>This</w:t>
      </w:r>
      <w:r>
        <w:rPr>
          <w:rFonts w:cs="Arial"/>
          <w:i/>
          <w:iCs/>
          <w:spacing w:val="1"/>
          <w:sz w:val="20"/>
          <w:szCs w:val="20"/>
        </w:rPr>
        <w:t xml:space="preserve"> </w:t>
      </w:r>
      <w:r>
        <w:rPr>
          <w:rFonts w:cs="Arial"/>
          <w:i/>
          <w:iCs/>
          <w:sz w:val="20"/>
          <w:szCs w:val="20"/>
        </w:rPr>
        <w:t>duty</w:t>
      </w:r>
      <w:r>
        <w:rPr>
          <w:rFonts w:cs="Arial"/>
          <w:i/>
          <w:iCs/>
          <w:spacing w:val="1"/>
          <w:sz w:val="20"/>
          <w:szCs w:val="20"/>
        </w:rPr>
        <w:t xml:space="preserve"> </w:t>
      </w:r>
      <w:r>
        <w:rPr>
          <w:rFonts w:cs="Arial"/>
          <w:i/>
          <w:iCs/>
          <w:sz w:val="20"/>
          <w:szCs w:val="20"/>
        </w:rPr>
        <w:t>lasts</w:t>
      </w:r>
      <w:r>
        <w:rPr>
          <w:rFonts w:cs="Arial"/>
          <w:i/>
          <w:iCs/>
          <w:spacing w:val="1"/>
          <w:sz w:val="20"/>
          <w:szCs w:val="20"/>
        </w:rPr>
        <w:t xml:space="preserve"> </w:t>
      </w:r>
      <w:r>
        <w:rPr>
          <w:rFonts w:cs="Arial"/>
          <w:i/>
          <w:iCs/>
          <w:sz w:val="20"/>
          <w:szCs w:val="20"/>
        </w:rPr>
        <w:t>indefinitely</w:t>
      </w:r>
      <w:r>
        <w:rPr>
          <w:rFonts w:cs="Arial"/>
          <w:i/>
          <w:iCs/>
          <w:spacing w:val="1"/>
          <w:sz w:val="20"/>
          <w:szCs w:val="20"/>
        </w:rPr>
        <w:t xml:space="preserve"> </w:t>
      </w:r>
      <w:r>
        <w:rPr>
          <w:rFonts w:cs="Arial"/>
          <w:i/>
          <w:iCs/>
          <w:sz w:val="20"/>
          <w:szCs w:val="20"/>
        </w:rPr>
        <w:t>and</w:t>
      </w:r>
      <w:r>
        <w:rPr>
          <w:rFonts w:cs="Arial"/>
          <w:i/>
          <w:iCs/>
          <w:spacing w:val="1"/>
          <w:sz w:val="20"/>
          <w:szCs w:val="20"/>
        </w:rPr>
        <w:t xml:space="preserve"> </w:t>
      </w:r>
      <w:r>
        <w:rPr>
          <w:rFonts w:cs="Arial"/>
          <w:i/>
          <w:iCs/>
          <w:sz w:val="20"/>
          <w:szCs w:val="20"/>
        </w:rPr>
        <w:t>will</w:t>
      </w:r>
      <w:r>
        <w:rPr>
          <w:rFonts w:cs="Arial"/>
          <w:i/>
          <w:iCs/>
          <w:spacing w:val="1"/>
          <w:sz w:val="20"/>
          <w:szCs w:val="20"/>
        </w:rPr>
        <w:t xml:space="preserve"> </w:t>
      </w:r>
      <w:r>
        <w:rPr>
          <w:rFonts w:cs="Arial"/>
          <w:i/>
          <w:iCs/>
          <w:sz w:val="20"/>
          <w:szCs w:val="20"/>
        </w:rPr>
        <w:t>continue</w:t>
      </w:r>
      <w:r>
        <w:rPr>
          <w:rFonts w:cs="Arial"/>
          <w:i/>
          <w:iCs/>
          <w:spacing w:val="1"/>
          <w:sz w:val="20"/>
          <w:szCs w:val="20"/>
        </w:rPr>
        <w:t xml:space="preserve"> </w:t>
      </w:r>
      <w:r>
        <w:rPr>
          <w:rFonts w:cs="Arial"/>
          <w:i/>
          <w:iCs/>
          <w:sz w:val="20"/>
          <w:szCs w:val="20"/>
        </w:rPr>
        <w:t>after</w:t>
      </w:r>
      <w:r>
        <w:rPr>
          <w:rFonts w:cs="Arial"/>
          <w:i/>
          <w:iCs/>
          <w:spacing w:val="1"/>
          <w:sz w:val="20"/>
          <w:szCs w:val="20"/>
        </w:rPr>
        <w:t xml:space="preserve"> </w:t>
      </w:r>
      <w:r>
        <w:rPr>
          <w:rFonts w:cs="Arial"/>
          <w:i/>
          <w:iCs/>
          <w:sz w:val="20"/>
          <w:szCs w:val="20"/>
        </w:rPr>
        <w:t>you</w:t>
      </w:r>
      <w:r>
        <w:rPr>
          <w:rFonts w:cs="Arial"/>
          <w:i/>
          <w:iCs/>
          <w:spacing w:val="1"/>
          <w:sz w:val="20"/>
          <w:szCs w:val="20"/>
        </w:rPr>
        <w:t xml:space="preserve"> </w:t>
      </w:r>
      <w:r>
        <w:rPr>
          <w:rFonts w:cs="Arial"/>
          <w:i/>
          <w:iCs/>
          <w:sz w:val="20"/>
          <w:szCs w:val="20"/>
        </w:rPr>
        <w:t>leave</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GMCA</w:t>
      </w:r>
      <w:r>
        <w:rPr>
          <w:rFonts w:cs="Arial"/>
          <w:i/>
          <w:iCs/>
          <w:spacing w:val="1"/>
          <w:sz w:val="20"/>
          <w:szCs w:val="20"/>
        </w:rPr>
        <w:t xml:space="preserve"> </w:t>
      </w:r>
      <w:r>
        <w:rPr>
          <w:rFonts w:cs="Arial"/>
          <w:i/>
          <w:iCs/>
          <w:sz w:val="20"/>
          <w:szCs w:val="20"/>
        </w:rPr>
        <w:t>employment. All employees must maintain confidentiality and abide by the Data 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Data</w:t>
      </w:r>
      <w:r>
        <w:rPr>
          <w:rFonts w:cs="Arial"/>
          <w:b/>
          <w:bCs/>
          <w:i/>
          <w:iCs/>
          <w:spacing w:val="1"/>
          <w:sz w:val="20"/>
          <w:szCs w:val="20"/>
        </w:rPr>
        <w:t xml:space="preserve"> </w:t>
      </w:r>
      <w:r>
        <w:rPr>
          <w:rFonts w:cs="Arial"/>
          <w:b/>
          <w:bCs/>
          <w:i/>
          <w:iCs/>
          <w:sz w:val="20"/>
          <w:szCs w:val="20"/>
        </w:rPr>
        <w:t>Quality</w:t>
      </w:r>
      <w:r>
        <w:rPr>
          <w:rFonts w:cs="Arial"/>
          <w:i/>
          <w:iCs/>
          <w:spacing w:val="1"/>
          <w:sz w:val="20"/>
          <w:szCs w:val="20"/>
        </w:rPr>
        <w:t xml:space="preserve"> </w:t>
      </w:r>
      <w:r>
        <w:rPr>
          <w:rFonts w:cs="Arial"/>
          <w:i/>
          <w:iCs/>
          <w:sz w:val="20"/>
          <w:szCs w:val="20"/>
        </w:rPr>
        <w:t>-</w:t>
      </w:r>
      <w:r>
        <w:rPr>
          <w:rFonts w:cs="Arial"/>
          <w:i/>
          <w:iCs/>
          <w:spacing w:val="1"/>
          <w:sz w:val="20"/>
          <w:szCs w:val="20"/>
        </w:rPr>
        <w:t xml:space="preserve"> </w:t>
      </w:r>
      <w:r>
        <w:rPr>
          <w:rFonts w:cs="Arial"/>
          <w:i/>
          <w:iCs/>
          <w:sz w:val="20"/>
          <w:szCs w:val="20"/>
        </w:rPr>
        <w:t>All</w:t>
      </w:r>
      <w:r>
        <w:rPr>
          <w:rFonts w:cs="Arial"/>
          <w:i/>
          <w:iCs/>
          <w:spacing w:val="1"/>
          <w:sz w:val="20"/>
          <w:szCs w:val="20"/>
        </w:rPr>
        <w:t xml:space="preserve"> </w:t>
      </w:r>
      <w:r>
        <w:rPr>
          <w:rFonts w:cs="Arial"/>
          <w:i/>
          <w:iCs/>
          <w:sz w:val="20"/>
          <w:szCs w:val="20"/>
        </w:rPr>
        <w:t>staff</w:t>
      </w:r>
      <w:r>
        <w:rPr>
          <w:rFonts w:cs="Arial"/>
          <w:i/>
          <w:iCs/>
          <w:spacing w:val="1"/>
          <w:sz w:val="20"/>
          <w:szCs w:val="20"/>
        </w:rPr>
        <w:t xml:space="preserve"> </w:t>
      </w:r>
      <w:r>
        <w:rPr>
          <w:rFonts w:cs="Arial"/>
          <w:i/>
          <w:iCs/>
          <w:sz w:val="20"/>
          <w:szCs w:val="20"/>
        </w:rPr>
        <w:t>are</w:t>
      </w:r>
      <w:r>
        <w:rPr>
          <w:rFonts w:cs="Arial"/>
          <w:i/>
          <w:iCs/>
          <w:spacing w:val="1"/>
          <w:sz w:val="20"/>
          <w:szCs w:val="20"/>
        </w:rPr>
        <w:t xml:space="preserve"> </w:t>
      </w:r>
      <w:r>
        <w:rPr>
          <w:rFonts w:cs="Arial"/>
          <w:i/>
          <w:iCs/>
          <w:sz w:val="20"/>
          <w:szCs w:val="20"/>
        </w:rPr>
        <w:t>personally</w:t>
      </w:r>
      <w:r>
        <w:rPr>
          <w:rFonts w:cs="Arial"/>
          <w:i/>
          <w:iCs/>
          <w:spacing w:val="1"/>
          <w:sz w:val="20"/>
          <w:szCs w:val="20"/>
        </w:rPr>
        <w:t xml:space="preserve"> </w:t>
      </w:r>
      <w:r>
        <w:rPr>
          <w:rFonts w:cs="Arial"/>
          <w:i/>
          <w:iCs/>
          <w:sz w:val="20"/>
          <w:szCs w:val="20"/>
        </w:rPr>
        <w:t>responsible</w:t>
      </w:r>
      <w:r>
        <w:rPr>
          <w:rFonts w:cs="Arial"/>
          <w:i/>
          <w:iCs/>
          <w:spacing w:val="1"/>
          <w:sz w:val="20"/>
          <w:szCs w:val="20"/>
        </w:rPr>
        <w:t xml:space="preserve"> </w:t>
      </w:r>
      <w:r>
        <w:rPr>
          <w:rFonts w:cs="Arial"/>
          <w:i/>
          <w:iCs/>
          <w:sz w:val="20"/>
          <w:szCs w:val="20"/>
        </w:rPr>
        <w:t>for</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quality</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entered</w:t>
      </w:r>
      <w:r>
        <w:rPr>
          <w:rFonts w:cs="Arial"/>
          <w:i/>
          <w:iCs/>
          <w:spacing w:val="1"/>
          <w:sz w:val="20"/>
          <w:szCs w:val="20"/>
        </w:rPr>
        <w:t xml:space="preserve"> </w:t>
      </w:r>
      <w:r>
        <w:rPr>
          <w:rFonts w:cs="Arial"/>
          <w:i/>
          <w:iCs/>
          <w:sz w:val="20"/>
          <w:szCs w:val="20"/>
        </w:rPr>
        <w:t>by</w:t>
      </w:r>
      <w:r>
        <w:rPr>
          <w:rFonts w:cs="Arial"/>
          <w:i/>
          <w:iCs/>
          <w:spacing w:val="1"/>
          <w:sz w:val="20"/>
          <w:szCs w:val="20"/>
        </w:rPr>
        <w:t xml:space="preserve"> </w:t>
      </w:r>
      <w:r>
        <w:rPr>
          <w:rFonts w:cs="Arial"/>
          <w:i/>
          <w:iCs/>
          <w:sz w:val="20"/>
          <w:szCs w:val="20"/>
        </w:rPr>
        <w:t>themselves, or on their behalf, on GMCAs computerised systems or manual records (paper</w:t>
      </w:r>
      <w:r>
        <w:rPr>
          <w:rFonts w:cs="Arial"/>
          <w:i/>
          <w:iCs/>
          <w:spacing w:val="1"/>
          <w:sz w:val="20"/>
          <w:szCs w:val="20"/>
        </w:rPr>
        <w:t xml:space="preserve"> </w:t>
      </w:r>
      <w:r>
        <w:rPr>
          <w:rFonts w:cs="Arial"/>
          <w:i/>
          <w:iCs/>
          <w:sz w:val="20"/>
          <w:szCs w:val="20"/>
        </w:rPr>
        <w:t>records) and must ensure that such data is entered accurately and, in a timely manner, to</w:t>
      </w:r>
      <w:r>
        <w:rPr>
          <w:rFonts w:cs="Arial"/>
          <w:i/>
          <w:iCs/>
          <w:spacing w:val="1"/>
          <w:sz w:val="20"/>
          <w:szCs w:val="20"/>
        </w:rPr>
        <w:t xml:space="preserve"> </w:t>
      </w:r>
      <w:r>
        <w:rPr>
          <w:rFonts w:cs="Arial"/>
          <w:i/>
          <w:iCs/>
          <w:sz w:val="20"/>
          <w:szCs w:val="20"/>
        </w:rPr>
        <w:t>ensure high</w:t>
      </w:r>
      <w:r>
        <w:rPr>
          <w:rFonts w:cs="Arial"/>
          <w:i/>
          <w:iCs/>
          <w:spacing w:val="-3"/>
          <w:sz w:val="20"/>
          <w:szCs w:val="20"/>
        </w:rPr>
        <w:t xml:space="preserve"> </w:t>
      </w:r>
      <w:r>
        <w:rPr>
          <w:rFonts w:cs="Arial"/>
          <w:i/>
          <w:iCs/>
          <w:sz w:val="20"/>
          <w:szCs w:val="20"/>
        </w:rPr>
        <w:t>standards of data</w:t>
      </w:r>
      <w:r>
        <w:rPr>
          <w:rFonts w:cs="Arial"/>
          <w:i/>
          <w:iCs/>
          <w:spacing w:val="-5"/>
          <w:sz w:val="20"/>
          <w:szCs w:val="20"/>
        </w:rPr>
        <w:t xml:space="preserve"> </w:t>
      </w:r>
      <w:r>
        <w:rPr>
          <w:rFonts w:cs="Arial"/>
          <w:i/>
          <w:iCs/>
          <w:sz w:val="20"/>
          <w:szCs w:val="20"/>
        </w:rPr>
        <w:t>quality</w:t>
      </w:r>
      <w:r>
        <w:rPr>
          <w:rFonts w:cs="Arial"/>
          <w:i/>
          <w:iCs/>
          <w:spacing w:val="-2"/>
          <w:sz w:val="20"/>
          <w:szCs w:val="20"/>
        </w:rPr>
        <w:t xml:space="preserve"> </w:t>
      </w:r>
      <w:r>
        <w:rPr>
          <w:rFonts w:cs="Arial"/>
          <w:i/>
          <w:iCs/>
          <w:sz w:val="20"/>
          <w:szCs w:val="20"/>
        </w:rPr>
        <w:t>in accordance with Departmental protocols. To ensure data is handled in a secure manner protecting the confidentiality of any personal</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held in</w:t>
      </w:r>
      <w:r>
        <w:rPr>
          <w:rFonts w:cs="Arial"/>
          <w:i/>
          <w:iCs/>
          <w:spacing w:val="-2"/>
          <w:sz w:val="20"/>
          <w:szCs w:val="20"/>
        </w:rPr>
        <w:t xml:space="preserve"> </w:t>
      </w:r>
      <w:r>
        <w:rPr>
          <w:rFonts w:cs="Arial"/>
          <w:i/>
          <w:iCs/>
          <w:sz w:val="20"/>
          <w:szCs w:val="20"/>
        </w:rPr>
        <w:t>meeting</w:t>
      </w:r>
      <w:r>
        <w:rPr>
          <w:rFonts w:cs="Arial"/>
          <w:i/>
          <w:iCs/>
          <w:spacing w:val="-1"/>
          <w:sz w:val="20"/>
          <w:szCs w:val="20"/>
        </w:rPr>
        <w:t xml:space="preserve"> </w:t>
      </w:r>
      <w:r>
        <w:rPr>
          <w:rFonts w:cs="Arial"/>
          <w:i/>
          <w:iCs/>
          <w:sz w:val="20"/>
          <w:szCs w:val="20"/>
        </w:rPr>
        <w:t>the</w:t>
      </w:r>
      <w:r>
        <w:rPr>
          <w:rFonts w:cs="Arial"/>
          <w:i/>
          <w:iCs/>
          <w:spacing w:val="-4"/>
          <w:sz w:val="20"/>
          <w:szCs w:val="20"/>
        </w:rPr>
        <w:t xml:space="preserve"> </w:t>
      </w:r>
      <w:r>
        <w:rPr>
          <w:rFonts w:cs="Arial"/>
          <w:i/>
          <w:iCs/>
          <w:sz w:val="20"/>
          <w:szCs w:val="20"/>
        </w:rPr>
        <w:t>requirements</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Health and Safety</w:t>
      </w:r>
      <w:r>
        <w:rPr>
          <w:rFonts w:cs="Arial"/>
          <w:i/>
          <w:iCs/>
          <w:sz w:val="20"/>
          <w:szCs w:val="20"/>
        </w:rPr>
        <w:t xml:space="preserve"> - All employees of GMCA have a statutory duty of care for their own</w:t>
      </w:r>
      <w:r>
        <w:rPr>
          <w:rFonts w:cs="Arial"/>
          <w:i/>
          <w:iCs/>
          <w:spacing w:val="1"/>
          <w:sz w:val="20"/>
          <w:szCs w:val="20"/>
        </w:rPr>
        <w:t xml:space="preserve"> </w:t>
      </w:r>
      <w:r>
        <w:rPr>
          <w:rFonts w:cs="Arial"/>
          <w:i/>
          <w:iCs/>
          <w:sz w:val="20"/>
          <w:szCs w:val="20"/>
        </w:rPr>
        <w:t>personal</w:t>
      </w:r>
      <w:r>
        <w:rPr>
          <w:rFonts w:cs="Arial"/>
          <w:i/>
          <w:iCs/>
          <w:spacing w:val="-9"/>
          <w:sz w:val="20"/>
          <w:szCs w:val="20"/>
        </w:rPr>
        <w:t xml:space="preserve"> </w:t>
      </w:r>
      <w:r>
        <w:rPr>
          <w:rFonts w:cs="Arial"/>
          <w:i/>
          <w:iCs/>
          <w:sz w:val="20"/>
          <w:szCs w:val="20"/>
        </w:rPr>
        <w:t>safety</w:t>
      </w:r>
      <w:r>
        <w:rPr>
          <w:rFonts w:cs="Arial"/>
          <w:i/>
          <w:iCs/>
          <w:spacing w:val="-9"/>
          <w:sz w:val="20"/>
          <w:szCs w:val="20"/>
        </w:rPr>
        <w:t xml:space="preserve"> </w:t>
      </w:r>
      <w:r>
        <w:rPr>
          <w:rFonts w:cs="Arial"/>
          <w:i/>
          <w:iCs/>
          <w:sz w:val="20"/>
          <w:szCs w:val="20"/>
        </w:rPr>
        <w:t>and</w:t>
      </w:r>
      <w:r>
        <w:rPr>
          <w:rFonts w:cs="Arial"/>
          <w:i/>
          <w:iCs/>
          <w:spacing w:val="-8"/>
          <w:sz w:val="20"/>
          <w:szCs w:val="20"/>
        </w:rPr>
        <w:t xml:space="preserve"> </w:t>
      </w:r>
      <w:r>
        <w:rPr>
          <w:rFonts w:cs="Arial"/>
          <w:i/>
          <w:iCs/>
          <w:sz w:val="20"/>
          <w:szCs w:val="20"/>
        </w:rPr>
        <w:t>that</w:t>
      </w:r>
      <w:r>
        <w:rPr>
          <w:rFonts w:cs="Arial"/>
          <w:i/>
          <w:iCs/>
          <w:spacing w:val="-9"/>
          <w:sz w:val="20"/>
          <w:szCs w:val="20"/>
        </w:rPr>
        <w:t xml:space="preserve"> </w:t>
      </w:r>
      <w:r>
        <w:rPr>
          <w:rFonts w:cs="Arial"/>
          <w:i/>
          <w:iCs/>
          <w:sz w:val="20"/>
          <w:szCs w:val="20"/>
        </w:rPr>
        <w:t>of</w:t>
      </w:r>
      <w:r>
        <w:rPr>
          <w:rFonts w:cs="Arial"/>
          <w:i/>
          <w:iCs/>
          <w:spacing w:val="-3"/>
          <w:sz w:val="20"/>
          <w:szCs w:val="20"/>
        </w:rPr>
        <w:t xml:space="preserve"> </w:t>
      </w:r>
      <w:r>
        <w:rPr>
          <w:rFonts w:cs="Arial"/>
          <w:i/>
          <w:iCs/>
          <w:sz w:val="20"/>
          <w:szCs w:val="20"/>
        </w:rPr>
        <w:t>others</w:t>
      </w:r>
      <w:r>
        <w:rPr>
          <w:rFonts w:cs="Arial"/>
          <w:i/>
          <w:iCs/>
          <w:spacing w:val="-7"/>
          <w:sz w:val="20"/>
          <w:szCs w:val="20"/>
        </w:rPr>
        <w:t xml:space="preserve"> </w:t>
      </w:r>
      <w:r>
        <w:rPr>
          <w:rFonts w:cs="Arial"/>
          <w:i/>
          <w:iCs/>
          <w:sz w:val="20"/>
          <w:szCs w:val="20"/>
        </w:rPr>
        <w:t>who</w:t>
      </w:r>
      <w:r>
        <w:rPr>
          <w:rFonts w:cs="Arial"/>
          <w:i/>
          <w:iCs/>
          <w:spacing w:val="-7"/>
          <w:sz w:val="20"/>
          <w:szCs w:val="20"/>
        </w:rPr>
        <w:t xml:space="preserve"> </w:t>
      </w:r>
      <w:r>
        <w:rPr>
          <w:rFonts w:cs="Arial"/>
          <w:i/>
          <w:iCs/>
          <w:sz w:val="20"/>
          <w:szCs w:val="20"/>
        </w:rPr>
        <w:t>may</w:t>
      </w:r>
      <w:r>
        <w:rPr>
          <w:rFonts w:cs="Arial"/>
          <w:i/>
          <w:iCs/>
          <w:spacing w:val="-10"/>
          <w:sz w:val="20"/>
          <w:szCs w:val="20"/>
        </w:rPr>
        <w:t xml:space="preserve"> </w:t>
      </w:r>
      <w:r>
        <w:rPr>
          <w:rFonts w:cs="Arial"/>
          <w:i/>
          <w:iCs/>
          <w:sz w:val="20"/>
          <w:szCs w:val="20"/>
        </w:rPr>
        <w:t>be</w:t>
      </w:r>
      <w:r>
        <w:rPr>
          <w:rFonts w:cs="Arial"/>
          <w:i/>
          <w:iCs/>
          <w:spacing w:val="-8"/>
          <w:sz w:val="20"/>
          <w:szCs w:val="20"/>
        </w:rPr>
        <w:t xml:space="preserve"> </w:t>
      </w:r>
      <w:r>
        <w:rPr>
          <w:rFonts w:cs="Arial"/>
          <w:i/>
          <w:iCs/>
          <w:sz w:val="20"/>
          <w:szCs w:val="20"/>
        </w:rPr>
        <w:t>affected</w:t>
      </w:r>
      <w:r>
        <w:rPr>
          <w:rFonts w:cs="Arial"/>
          <w:i/>
          <w:iCs/>
          <w:spacing w:val="-7"/>
          <w:sz w:val="20"/>
          <w:szCs w:val="20"/>
        </w:rPr>
        <w:t xml:space="preserve"> </w:t>
      </w:r>
      <w:r>
        <w:rPr>
          <w:rFonts w:cs="Arial"/>
          <w:i/>
          <w:iCs/>
          <w:sz w:val="20"/>
          <w:szCs w:val="20"/>
        </w:rPr>
        <w:t>by</w:t>
      </w:r>
      <w:r>
        <w:rPr>
          <w:rFonts w:cs="Arial"/>
          <w:i/>
          <w:iCs/>
          <w:spacing w:val="-10"/>
          <w:sz w:val="20"/>
          <w:szCs w:val="20"/>
        </w:rPr>
        <w:t xml:space="preserve"> </w:t>
      </w:r>
      <w:r>
        <w:rPr>
          <w:rFonts w:cs="Arial"/>
          <w:i/>
          <w:iCs/>
          <w:sz w:val="20"/>
          <w:szCs w:val="20"/>
        </w:rPr>
        <w:t>their</w:t>
      </w:r>
      <w:r>
        <w:rPr>
          <w:rFonts w:cs="Arial"/>
          <w:i/>
          <w:iCs/>
          <w:spacing w:val="-6"/>
          <w:sz w:val="20"/>
          <w:szCs w:val="20"/>
        </w:rPr>
        <w:t xml:space="preserve"> </w:t>
      </w:r>
      <w:r>
        <w:rPr>
          <w:rFonts w:cs="Arial"/>
          <w:i/>
          <w:iCs/>
          <w:sz w:val="20"/>
          <w:szCs w:val="20"/>
        </w:rPr>
        <w:t>acts</w:t>
      </w:r>
      <w:r>
        <w:rPr>
          <w:rFonts w:cs="Arial"/>
          <w:i/>
          <w:iCs/>
          <w:spacing w:val="-7"/>
          <w:sz w:val="20"/>
          <w:szCs w:val="20"/>
        </w:rPr>
        <w:t xml:space="preserve"> </w:t>
      </w:r>
      <w:r>
        <w:rPr>
          <w:rFonts w:cs="Arial"/>
          <w:i/>
          <w:iCs/>
          <w:sz w:val="20"/>
          <w:szCs w:val="20"/>
        </w:rPr>
        <w:t>or</w:t>
      </w:r>
      <w:r>
        <w:rPr>
          <w:rFonts w:cs="Arial"/>
          <w:i/>
          <w:iCs/>
          <w:spacing w:val="-6"/>
          <w:sz w:val="20"/>
          <w:szCs w:val="20"/>
        </w:rPr>
        <w:t xml:space="preserve"> </w:t>
      </w:r>
      <w:r>
        <w:rPr>
          <w:rFonts w:cs="Arial"/>
          <w:i/>
          <w:iCs/>
          <w:sz w:val="20"/>
          <w:szCs w:val="20"/>
        </w:rPr>
        <w:t>omissions.</w:t>
      </w:r>
      <w:r>
        <w:rPr>
          <w:rFonts w:cs="Arial"/>
          <w:i/>
          <w:iCs/>
          <w:spacing w:val="-5"/>
          <w:sz w:val="20"/>
          <w:szCs w:val="20"/>
        </w:rPr>
        <w:t xml:space="preserve"> </w:t>
      </w:r>
      <w:r>
        <w:rPr>
          <w:rFonts w:cs="Arial"/>
          <w:i/>
          <w:iCs/>
          <w:sz w:val="20"/>
          <w:szCs w:val="20"/>
        </w:rPr>
        <w:t>Employees</w:t>
      </w:r>
      <w:r>
        <w:rPr>
          <w:rFonts w:cs="Arial"/>
          <w:i/>
          <w:iCs/>
          <w:spacing w:val="-59"/>
          <w:sz w:val="20"/>
          <w:szCs w:val="20"/>
        </w:rPr>
        <w:t xml:space="preserve"> </w:t>
      </w:r>
      <w:r>
        <w:rPr>
          <w:rFonts w:cs="Arial"/>
          <w:i/>
          <w:iCs/>
          <w:sz w:val="20"/>
          <w:szCs w:val="20"/>
        </w:rPr>
        <w:t>are required to co-operate with management to enable GMCA to meet its own legal duties</w:t>
      </w:r>
      <w:r>
        <w:rPr>
          <w:rFonts w:cs="Arial"/>
          <w:i/>
          <w:iCs/>
          <w:spacing w:val="1"/>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to</w:t>
      </w:r>
      <w:r>
        <w:rPr>
          <w:rFonts w:cs="Arial"/>
          <w:i/>
          <w:iCs/>
          <w:spacing w:val="-5"/>
          <w:sz w:val="20"/>
          <w:szCs w:val="20"/>
        </w:rPr>
        <w:t xml:space="preserve"> </w:t>
      </w:r>
      <w:r>
        <w:rPr>
          <w:rFonts w:cs="Arial"/>
          <w:i/>
          <w:iCs/>
          <w:sz w:val="20"/>
          <w:szCs w:val="20"/>
        </w:rPr>
        <w:t>report</w:t>
      </w:r>
      <w:r>
        <w:rPr>
          <w:rFonts w:cs="Arial"/>
          <w:i/>
          <w:iCs/>
          <w:spacing w:val="-4"/>
          <w:sz w:val="20"/>
          <w:szCs w:val="20"/>
        </w:rPr>
        <w:t xml:space="preserve"> </w:t>
      </w:r>
      <w:r>
        <w:rPr>
          <w:rFonts w:cs="Arial"/>
          <w:i/>
          <w:iCs/>
          <w:sz w:val="20"/>
          <w:szCs w:val="20"/>
        </w:rPr>
        <w:t>any</w:t>
      </w:r>
      <w:r>
        <w:rPr>
          <w:rFonts w:cs="Arial"/>
          <w:i/>
          <w:iCs/>
          <w:spacing w:val="-8"/>
          <w:sz w:val="20"/>
          <w:szCs w:val="20"/>
        </w:rPr>
        <w:t xml:space="preserve"> </w:t>
      </w:r>
      <w:r>
        <w:rPr>
          <w:rFonts w:cs="Arial"/>
          <w:i/>
          <w:iCs/>
          <w:sz w:val="20"/>
          <w:szCs w:val="20"/>
        </w:rPr>
        <w:t>circumstances</w:t>
      </w:r>
      <w:r>
        <w:rPr>
          <w:rFonts w:cs="Arial"/>
          <w:i/>
          <w:iCs/>
          <w:spacing w:val="-7"/>
          <w:sz w:val="20"/>
          <w:szCs w:val="20"/>
        </w:rPr>
        <w:t xml:space="preserve"> </w:t>
      </w:r>
      <w:r>
        <w:rPr>
          <w:rFonts w:cs="Arial"/>
          <w:i/>
          <w:iCs/>
          <w:sz w:val="20"/>
          <w:szCs w:val="20"/>
        </w:rPr>
        <w:t>that</w:t>
      </w:r>
      <w:r>
        <w:rPr>
          <w:rFonts w:cs="Arial"/>
          <w:i/>
          <w:iCs/>
          <w:spacing w:val="-5"/>
          <w:sz w:val="20"/>
          <w:szCs w:val="20"/>
        </w:rPr>
        <w:t xml:space="preserve"> </w:t>
      </w:r>
      <w:r>
        <w:rPr>
          <w:rFonts w:cs="Arial"/>
          <w:i/>
          <w:iCs/>
          <w:sz w:val="20"/>
          <w:szCs w:val="20"/>
        </w:rPr>
        <w:t>may</w:t>
      </w:r>
      <w:r>
        <w:rPr>
          <w:rFonts w:cs="Arial"/>
          <w:i/>
          <w:iCs/>
          <w:spacing w:val="-8"/>
          <w:sz w:val="20"/>
          <w:szCs w:val="20"/>
        </w:rPr>
        <w:t xml:space="preserve"> </w:t>
      </w:r>
      <w:r>
        <w:rPr>
          <w:rFonts w:cs="Arial"/>
          <w:i/>
          <w:iCs/>
          <w:sz w:val="20"/>
          <w:szCs w:val="20"/>
        </w:rPr>
        <w:t>compromise</w:t>
      </w:r>
      <w:r>
        <w:rPr>
          <w:rFonts w:cs="Arial"/>
          <w:i/>
          <w:iCs/>
          <w:spacing w:val="-4"/>
          <w:sz w:val="20"/>
          <w:szCs w:val="20"/>
        </w:rPr>
        <w:t xml:space="preserve"> </w:t>
      </w:r>
      <w:r>
        <w:rPr>
          <w:rFonts w:cs="Arial"/>
          <w:i/>
          <w:iCs/>
          <w:sz w:val="20"/>
          <w:szCs w:val="20"/>
        </w:rPr>
        <w:t>the</w:t>
      </w:r>
      <w:r>
        <w:rPr>
          <w:rFonts w:cs="Arial"/>
          <w:i/>
          <w:iCs/>
          <w:spacing w:val="-6"/>
          <w:sz w:val="20"/>
          <w:szCs w:val="20"/>
        </w:rPr>
        <w:t xml:space="preserve"> </w:t>
      </w:r>
      <w:r>
        <w:rPr>
          <w:rFonts w:cs="Arial"/>
          <w:i/>
          <w:iCs/>
          <w:sz w:val="20"/>
          <w:szCs w:val="20"/>
        </w:rPr>
        <w:t>health,</w:t>
      </w:r>
      <w:r>
        <w:rPr>
          <w:rFonts w:cs="Arial"/>
          <w:i/>
          <w:iCs/>
          <w:spacing w:val="-4"/>
          <w:sz w:val="20"/>
          <w:szCs w:val="20"/>
        </w:rPr>
        <w:t xml:space="preserve"> </w:t>
      </w:r>
      <w:r>
        <w:rPr>
          <w:rFonts w:cs="Arial"/>
          <w:i/>
          <w:iCs/>
          <w:sz w:val="20"/>
          <w:szCs w:val="20"/>
        </w:rPr>
        <w:t>safety</w:t>
      </w:r>
      <w:r>
        <w:rPr>
          <w:rFonts w:cs="Arial"/>
          <w:i/>
          <w:iCs/>
          <w:spacing w:val="-7"/>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welfare</w:t>
      </w:r>
      <w:r>
        <w:rPr>
          <w:rFonts w:cs="Arial"/>
          <w:i/>
          <w:iCs/>
          <w:spacing w:val="-4"/>
          <w:sz w:val="20"/>
          <w:szCs w:val="20"/>
        </w:rPr>
        <w:t xml:space="preserve"> </w:t>
      </w:r>
      <w:r>
        <w:rPr>
          <w:rFonts w:cs="Arial"/>
          <w:i/>
          <w:iCs/>
          <w:sz w:val="20"/>
          <w:szCs w:val="20"/>
        </w:rPr>
        <w:t>of</w:t>
      </w:r>
      <w:r>
        <w:rPr>
          <w:rFonts w:cs="Arial"/>
          <w:i/>
          <w:iCs/>
          <w:spacing w:val="-4"/>
          <w:sz w:val="20"/>
          <w:szCs w:val="20"/>
        </w:rPr>
        <w:t xml:space="preserve"> </w:t>
      </w:r>
      <w:r>
        <w:rPr>
          <w:rFonts w:cs="Arial"/>
          <w:i/>
          <w:iCs/>
          <w:sz w:val="20"/>
          <w:szCs w:val="20"/>
        </w:rPr>
        <w:t>those</w:t>
      </w:r>
      <w:r>
        <w:rPr>
          <w:rFonts w:cs="Arial"/>
          <w:i/>
          <w:iCs/>
          <w:spacing w:val="-59"/>
          <w:sz w:val="20"/>
          <w:szCs w:val="20"/>
        </w:rPr>
        <w:t xml:space="preserve"> </w:t>
      </w:r>
      <w:r>
        <w:rPr>
          <w:rFonts w:cs="Arial"/>
          <w:i/>
          <w:iCs/>
          <w:sz w:val="20"/>
          <w:szCs w:val="20"/>
        </w:rPr>
        <w:t>affected by</w:t>
      </w:r>
      <w:r>
        <w:rPr>
          <w:rFonts w:cs="Arial"/>
          <w:i/>
          <w:iCs/>
          <w:spacing w:val="-4"/>
          <w:sz w:val="20"/>
          <w:szCs w:val="20"/>
        </w:rPr>
        <w:t xml:space="preserve"> </w:t>
      </w:r>
      <w:r>
        <w:rPr>
          <w:rFonts w:cs="Arial"/>
          <w:i/>
          <w:iCs/>
          <w:sz w:val="20"/>
          <w:szCs w:val="20"/>
        </w:rPr>
        <w:t>the Service’s</w:t>
      </w:r>
      <w:r>
        <w:rPr>
          <w:rFonts w:cs="Arial"/>
          <w:i/>
          <w:iCs/>
          <w:spacing w:val="2"/>
          <w:sz w:val="20"/>
          <w:szCs w:val="20"/>
        </w:rPr>
        <w:t xml:space="preserve"> </w:t>
      </w:r>
      <w:r>
        <w:rPr>
          <w:rFonts w:cs="Arial"/>
          <w:i/>
          <w:iCs/>
          <w:sz w:val="20"/>
          <w:szCs w:val="20"/>
        </w:rPr>
        <w:t>undertakings.</w:t>
      </w:r>
    </w:p>
    <w:p>
      <w:pPr>
        <w:pStyle w:val="Normal"/>
        <w:rPr/>
      </w:pPr>
      <w:r>
        <w:rPr>
          <w:rFonts w:cs="Arial"/>
          <w:b/>
          <w:bCs/>
          <w:i/>
          <w:iCs/>
          <w:sz w:val="20"/>
          <w:szCs w:val="20"/>
        </w:rPr>
        <w:t>Service Policies</w:t>
      </w:r>
      <w:r>
        <w:rPr>
          <w:rFonts w:cs="Arial"/>
          <w:i/>
          <w:iCs/>
          <w:sz w:val="20"/>
          <w:szCs w:val="20"/>
        </w:rPr>
        <w:t xml:space="preserve"> - All GMCA employees must observe and adhere to the provisions outlined</w:t>
      </w:r>
      <w:r>
        <w:rPr>
          <w:rFonts w:cs="Arial"/>
          <w:i/>
          <w:iCs/>
          <w:spacing w:val="-59"/>
          <w:sz w:val="20"/>
          <w:szCs w:val="20"/>
        </w:rPr>
        <w:t xml:space="preserve"> </w:t>
      </w:r>
      <w:r>
        <w:rPr>
          <w:rFonts w:cs="Arial"/>
          <w:i/>
          <w:iCs/>
          <w:sz w:val="20"/>
          <w:szCs w:val="20"/>
        </w:rPr>
        <w:t>in</w:t>
      </w:r>
      <w:r>
        <w:rPr>
          <w:rFonts w:cs="Arial"/>
          <w:i/>
          <w:iCs/>
          <w:spacing w:val="-1"/>
          <w:sz w:val="20"/>
          <w:szCs w:val="20"/>
        </w:rPr>
        <w:t xml:space="preserve"> </w:t>
      </w:r>
      <w:r>
        <w:rPr>
          <w:rFonts w:cs="Arial"/>
          <w:i/>
          <w:iCs/>
          <w:sz w:val="20"/>
          <w:szCs w:val="20"/>
        </w:rPr>
        <w:t>these policies.</w:t>
      </w:r>
    </w:p>
    <w:p>
      <w:pPr>
        <w:pStyle w:val="Normal"/>
        <w:widowControl w:val="false"/>
        <w:bidi w:val="0"/>
        <w:spacing w:lineRule="auto" w:line="360" w:before="0" w:after="240"/>
        <w:jc w:val="left"/>
        <w:rPr/>
      </w:pPr>
      <w:r>
        <w:rPr>
          <w:rFonts w:cs="Arial"/>
          <w:b/>
          <w:bCs/>
          <w:i/>
          <w:iCs/>
          <w:sz w:val="20"/>
          <w:szCs w:val="20"/>
        </w:rPr>
        <w:t>Equal Opportunities</w:t>
      </w:r>
      <w:r>
        <w:rPr>
          <w:rFonts w:cs="Arial"/>
          <w:i/>
          <w:iCs/>
          <w:sz w:val="20"/>
          <w:szCs w:val="20"/>
        </w:rPr>
        <w:t xml:space="preserve"> - GMCA provides a range of services and employment</w:t>
      </w:r>
      <w:r>
        <w:rPr>
          <w:rFonts w:cs="Arial"/>
          <w:i/>
          <w:iCs/>
          <w:spacing w:val="1"/>
          <w:sz w:val="20"/>
          <w:szCs w:val="20"/>
        </w:rPr>
        <w:t xml:space="preserve"> </w:t>
      </w:r>
      <w:r>
        <w:rPr>
          <w:rFonts w:cs="Arial"/>
          <w:i/>
          <w:iCs/>
          <w:sz w:val="20"/>
          <w:szCs w:val="20"/>
        </w:rPr>
        <w:t xml:space="preserve">opportunities for a diverse population. As a GMCA employee you are expected to treat all </w:t>
      </w:r>
      <w:r>
        <w:rPr>
          <w:rFonts w:cs="Arial"/>
          <w:i/>
          <w:iCs/>
          <w:spacing w:val="-59"/>
          <w:sz w:val="20"/>
          <w:szCs w:val="20"/>
        </w:rPr>
        <w:t xml:space="preserve"> </w:t>
      </w:r>
      <w:r>
        <w:rPr>
          <w:rFonts w:cs="Arial"/>
          <w:i/>
          <w:iCs/>
          <w:sz w:val="20"/>
          <w:szCs w:val="20"/>
        </w:rPr>
        <w:t>employees / partners / members of the public and work colleagues with dignity and</w:t>
      </w:r>
      <w:r>
        <w:rPr>
          <w:rFonts w:cs="Arial"/>
          <w:i/>
          <w:iCs/>
          <w:spacing w:val="1"/>
          <w:sz w:val="20"/>
          <w:szCs w:val="20"/>
        </w:rPr>
        <w:t xml:space="preserve"> </w:t>
      </w:r>
      <w:r>
        <w:rPr>
          <w:rFonts w:cs="Arial"/>
          <w:i/>
          <w:iCs/>
          <w:sz w:val="20"/>
          <w:szCs w:val="20"/>
        </w:rPr>
        <w:t>respect</w:t>
      </w:r>
      <w:r>
        <w:rPr>
          <w:rFonts w:cs="Arial"/>
          <w:i/>
          <w:iCs/>
          <w:spacing w:val="-2"/>
          <w:sz w:val="20"/>
          <w:szCs w:val="20"/>
        </w:rPr>
        <w:t xml:space="preserve"> </w:t>
      </w:r>
      <w:r>
        <w:rPr>
          <w:rFonts w:cs="Arial"/>
          <w:i/>
          <w:iCs/>
          <w:sz w:val="20"/>
          <w:szCs w:val="20"/>
        </w:rPr>
        <w:t>irrespective</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their</w:t>
      </w:r>
      <w:r>
        <w:rPr>
          <w:rFonts w:cs="Arial"/>
          <w:i/>
          <w:iCs/>
          <w:spacing w:val="2"/>
          <w:sz w:val="20"/>
          <w:szCs w:val="20"/>
        </w:rPr>
        <w:t xml:space="preserve"> </w:t>
      </w:r>
      <w:r>
        <w:rPr>
          <w:rFonts w:cs="Arial"/>
          <w:i/>
          <w:iCs/>
          <w:sz w:val="20"/>
          <w:szCs w:val="20"/>
        </w:rPr>
        <w:t>background.</w:t>
      </w:r>
    </w:p>
    <w:sectPr>
      <w:headerReference w:type="default" r:id="rId2"/>
      <w:headerReference w:type="first" r:id="rId3"/>
      <w:footerReference w:type="default" r:id="rId4"/>
      <w:footerReference w:type="first" r:id="rId5"/>
      <w:type w:val="nextPage"/>
      <w:pgSz w:w="11906" w:h="16838"/>
      <w:pgMar w:left="1276" w:right="1410" w:gutter="0" w:header="709" w:top="1560" w:footer="0" w:bottom="993"/>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Calibri">
    <w:charset w:val="00"/>
    <w:family w:val="roman"/>
    <w:pitch w:val="variable"/>
  </w:font>
  <w:font w:name="Liberation Sans">
    <w:altName w:val="Arial"/>
    <w:charset w:val="00"/>
    <w:family w:val="swiss"/>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4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4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4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4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BodyText"/>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character" w:styleId="ListParagraphChar">
    <w:name w:val="List Paragraph Char"/>
    <w:qFormat/>
    <w:rPr>
      <w:rFonts w:ascii="Arial" w:hAnsi="Arial" w:eastAsia="Calibri" w:cs="Calibri"/>
      <w:color w:val="262626"/>
      <w:sz w:val="24"/>
      <w:lang w:val="en-GB"/>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rFonts w:eastAsia="Arial" w:cs="Arial"/>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BodyText"/>
    <w:qFormat/>
    <w:pPr>
      <w:spacing w:before="92" w:after="240"/>
      <w:ind w:hanging="0" w:left="4012" w:right="4328"/>
      <w:jc w:val="center"/>
    </w:pPr>
    <w:rPr>
      <w:rFonts w:eastAsia="Arial" w:cs="Arial"/>
      <w:b/>
      <w:bCs/>
      <w:sz w:val="28"/>
      <w:szCs w:val="28"/>
    </w:rPr>
  </w:style>
  <w:style w:type="paragraph" w:styleId="ListParagraph">
    <w:name w:val="List Paragraph"/>
    <w:basedOn w:val="Normal"/>
    <w:qFormat/>
    <w:pPr>
      <w:spacing w:before="60" w:after="240"/>
      <w:ind w:hanging="633" w:left="993" w:right="0"/>
    </w:pPr>
    <w:rPr/>
  </w:style>
  <w:style w:type="paragraph" w:styleId="TableParagraph">
    <w:name w:val="Table Paragraph"/>
    <w:basedOn w:val="Normal"/>
    <w:qFormat/>
    <w:pPr>
      <w:ind w:hanging="0" w:left="107" w:right="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paragraph" w:styleId="NoSpacing">
    <w:name w:val="No Spacing"/>
    <w:qFormat/>
    <w:pPr>
      <w:widowControl/>
      <w:pBdr/>
      <w:suppressAutoHyphens w:val="true"/>
      <w:bidi w:val="0"/>
      <w:spacing w:before="0" w:after="0"/>
      <w:jc w:val="left"/>
    </w:pPr>
    <w:rPr>
      <w:rFonts w:ascii="Times New Roman" w:hAnsi="Times New Roman" w:eastAsia="Arial Unicode MS" w:cs="Times New Roman"/>
      <w:color w:val="auto"/>
      <w:kern w:val="0"/>
      <w:sz w:val="24"/>
      <w:szCs w:val="24"/>
      <w:lang w:val="en-US" w:eastAsia="en-US"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2026-08-07T06:55:00Z</dcterms:created>
  <dc:creator>Caddy-Dale, Anna (Manchester Growth Company)</dc:creator>
  <dc:description/>
  <dc:language>en-US</dc:language>
  <cp:lastModifiedBy>Highton, Christopher</cp:lastModifiedBy>
  <cp:lastPrinted>1995-11-21T17:41:00Z</cp:lastPrinted>
  <dcterms:modified xsi:type="dcterms:W3CDTF">2026-08-07T07:02:00Z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0x01010043A8821AA2465645A420D7F48DE1C116</vt:lpwstr>
  </property>
  <property fmtid="{D5CDD505-2E9C-101B-9397-08002B2CF9AE}" pid="3" name="Created">
    <vt:filetime>2018-12-06T00:00:00Z</vt:filetime>
  </property>
  <property fmtid="{D5CDD505-2E9C-101B-9397-08002B2CF9AE}" pid="4" name="Creator">
    <vt:lpwstr>Microsoft® Word 2016</vt:lpwstr>
  </property>
  <property fmtid="{D5CDD505-2E9C-101B-9397-08002B2CF9AE}" pid="5" name="HyperlinksChanged">
    <vt:bool>0</vt:bool>
  </property>
  <property fmtid="{D5CDD505-2E9C-101B-9397-08002B2CF9AE}" pid="6" name="LastSaved">
    <vt:filetime>2021-02-17T00:00:00Z</vt:filetime>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