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r>
    </w:p>
    <w:p>
      <w:pPr>
        <w:pStyle w:val="Normal"/>
        <w:jc w:val="center"/>
        <w:rPr>
          <w:b/>
          <w:b/>
          <w:bCs/>
        </w:rPr>
      </w:pPr>
      <w:r>
        <w:rPr>
          <w:b/>
          <w:bCs/>
        </w:rPr>
      </w:r>
    </w:p>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color w:val="00B0F0"/>
          <w:sz w:val="28"/>
          <w:szCs w:val="28"/>
        </w:rPr>
      </w:pPr>
      <w:r>
        <w:rPr>
          <w:rFonts w:cs="Calibri" w:ascii="Calibri" w:hAnsi="Calibri"/>
          <w:b/>
          <w:bCs/>
          <w:color w:val="00B0F0"/>
          <w:sz w:val="28"/>
          <w:szCs w:val="28"/>
        </w:rPr>
      </w:r>
    </w:p>
    <w:p>
      <w:pPr>
        <w:pStyle w:val="Normal"/>
        <w:jc w:val="center"/>
        <w:rPr>
          <w:rFonts w:ascii="Calibri" w:hAnsi="Calibri" w:cs="Calibri"/>
          <w:b/>
          <w:b/>
          <w:bCs/>
          <w:color w:val="002060"/>
          <w:sz w:val="32"/>
          <w:szCs w:val="32"/>
        </w:rPr>
      </w:pPr>
      <w:r>
        <w:rPr>
          <w:rFonts w:cs="Calibri" w:ascii="Calibri" w:hAnsi="Calibri"/>
          <w:b/>
          <w:bCs/>
          <w:color w:val="002060"/>
          <w:sz w:val="32"/>
          <w:szCs w:val="32"/>
        </w:rPr>
        <w:t>JOB DESCRIPTION &amp; PERSON SPECIFICATION</w:t>
      </w:r>
    </w:p>
    <w:p>
      <w:pPr>
        <w:pStyle w:val="Normal"/>
        <w:rPr>
          <w:rFonts w:ascii="Calibri" w:hAnsi="Calibri" w:cs="Calibri"/>
          <w:b/>
          <w:b/>
          <w:bCs/>
          <w:sz w:val="32"/>
          <w:szCs w:val="32"/>
        </w:rPr>
      </w:pPr>
      <w:r>
        <w:rPr>
          <w:rFonts w:cs="Calibri" w:ascii="Calibri" w:hAnsi="Calibri"/>
          <w:b/>
          <w:bCs/>
          <w:sz w:val="32"/>
          <w:szCs w:val="32"/>
        </w:rPr>
      </w:r>
    </w:p>
    <w:p>
      <w:pPr>
        <w:pStyle w:val="Normal"/>
        <w:rPr>
          <w:rFonts w:ascii="Calibri" w:hAnsi="Calibri" w:cs="Calibri"/>
          <w:b/>
          <w:b/>
          <w:bCs/>
          <w:sz w:val="36"/>
          <w:szCs w:val="36"/>
        </w:rPr>
      </w:pPr>
      <w:r>
        <w:rPr>
          <w:rFonts w:cs="Calibri" w:ascii="Calibri" w:hAnsi="Calibri"/>
          <w:b/>
          <w:bCs/>
          <w:sz w:val="36"/>
          <w:szCs w:val="36"/>
        </w:rPr>
        <w:t xml:space="preserve">HR Manager </w:t>
      </w:r>
    </w:p>
    <w:p>
      <w:pPr>
        <w:pStyle w:val="Normal"/>
        <w:rPr>
          <w:rFonts w:ascii="Calibri" w:hAnsi="Calibri" w:cs="Calibri"/>
          <w:b/>
          <w:b/>
          <w:bCs/>
          <w:sz w:val="36"/>
          <w:szCs w:val="36"/>
        </w:rPr>
      </w:pPr>
      <w:r>
        <w:rPr>
          <w:rFonts w:cs="Calibri" w:ascii="Calibri" w:hAnsi="Calibri"/>
          <w:b/>
          <w:bCs/>
          <w:sz w:val="36"/>
          <w:szCs w:val="36"/>
        </w:rPr>
        <w:t>North Chadderton School</w:t>
      </w:r>
    </w:p>
    <w:p>
      <w:pPr>
        <w:pStyle w:val="Normal"/>
        <w:rPr>
          <w:rFonts w:ascii="Calibri" w:hAnsi="Calibri" w:cs="Calibri"/>
          <w:b/>
          <w:b/>
          <w:bCs/>
          <w:sz w:val="28"/>
          <w:szCs w:val="28"/>
        </w:rPr>
      </w:pPr>
      <w:r>
        <w:rPr>
          <w:rFonts w:cs="Calibri" w:ascii="Calibri" w:hAnsi="Calibri"/>
          <w:b/>
          <w:bCs/>
          <w:sz w:val="28"/>
          <w:szCs w:val="28"/>
        </w:rPr>
        <w:t xml:space="preserve">Grade 9 SCP 36 - 40 </w:t>
      </w:r>
    </w:p>
    <w:p>
      <w:pPr>
        <w:pStyle w:val="Normal"/>
        <w:rPr>
          <w:rFonts w:ascii="Calibri" w:hAnsi="Calibri" w:cs="Calibri"/>
          <w:b/>
          <w:b/>
          <w:bCs/>
          <w:sz w:val="28"/>
          <w:szCs w:val="28"/>
        </w:rPr>
      </w:pPr>
      <w:r>
        <w:rPr>
          <w:rFonts w:cs="Calibri" w:ascii="Calibri" w:hAnsi="Calibri"/>
          <w:b/>
          <w:bCs/>
          <w:sz w:val="28"/>
          <w:szCs w:val="28"/>
        </w:rPr>
        <w:t>36 hours 40 minutes per week</w:t>
      </w:r>
    </w:p>
    <w:p>
      <w:pPr>
        <w:pStyle w:val="Normal"/>
        <w:rPr>
          <w:rFonts w:ascii="Calibri" w:hAnsi="Calibri" w:cs="Calibri"/>
          <w:b/>
          <w:b/>
          <w:bCs/>
          <w:sz w:val="26"/>
          <w:szCs w:val="26"/>
        </w:rPr>
      </w:pPr>
      <w:r>
        <w:rPr>
          <w:rFonts w:cs="Calibri" w:ascii="Calibri" w:hAnsi="Calibri"/>
          <w:b/>
          <w:bCs/>
          <w:sz w:val="26"/>
          <w:szCs w:val="26"/>
        </w:rPr>
        <w:t>Option for Term Time only plus 10 days (£40,766 - £44,373) or Full Year (£47,181 - £51,356)</w:t>
      </w:r>
    </w:p>
    <w:p>
      <w:pPr>
        <w:pStyle w:val="Normal"/>
        <w:rPr>
          <w:rFonts w:ascii="Calibri" w:hAnsi="Calibri" w:cs="Calibri"/>
          <w:b/>
          <w:b/>
          <w:bCs/>
        </w:rPr>
      </w:pPr>
      <w:r>
        <w:rPr>
          <w:rFonts w:cs="Calibri" w:ascii="Calibri" w:hAnsi="Calibri"/>
          <w:b/>
          <w:bCs/>
        </w:rPr>
      </w:r>
    </w:p>
    <w:p>
      <w:pPr>
        <w:pStyle w:val="Normal"/>
        <w:rPr>
          <w:rFonts w:ascii="Calibri" w:hAnsi="Calibri" w:cs="Calibri"/>
          <w:b/>
          <w:b/>
          <w:bCs/>
          <w:sz w:val="28"/>
          <w:szCs w:val="28"/>
        </w:rPr>
      </w:pPr>
      <w:r>
        <w:rPr>
          <w:rFonts w:cs="Calibri" w:ascii="Calibri" w:hAnsi="Calibri"/>
          <w:b/>
          <w:bCs/>
          <w:sz w:val="28"/>
          <w:szCs w:val="28"/>
        </w:rPr>
        <w:t>Purpose of Post</w:t>
      </w:r>
    </w:p>
    <w:p>
      <w:pPr>
        <w:pStyle w:val="Normal"/>
        <w:rPr>
          <w:rFonts w:ascii="Calibri" w:hAnsi="Calibri" w:cs="Calibri"/>
          <w:b/>
          <w:b/>
          <w:bCs/>
        </w:rPr>
      </w:pPr>
      <w:r>
        <w:rPr>
          <w:rFonts w:cs="Calibri" w:ascii="Calibri" w:hAnsi="Calibri"/>
          <w:b/>
          <w:bCs/>
        </w:rPr>
      </w:r>
    </w:p>
    <w:p>
      <w:pPr>
        <w:pStyle w:val="Normal"/>
        <w:rPr>
          <w:rFonts w:ascii="Calibri" w:hAnsi="Calibri" w:cs="Calibri"/>
          <w:sz w:val="28"/>
          <w:szCs w:val="28"/>
        </w:rPr>
      </w:pPr>
      <w:r>
        <w:rPr>
          <w:rFonts w:cs="Calibri" w:ascii="Calibri" w:hAnsi="Calibri"/>
          <w:sz w:val="28"/>
          <w:szCs w:val="28"/>
        </w:rPr>
        <w:t>The HR Manager will lead and manage the Human Resources function across The Oak Trust, providing professional, proactive and strategic HR leadership and support to Trustees, the CEO, COO, Headteachers and leaders across the Trust.</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postholder will ensure the delivery of a high quality, customer focused HR service that supports the Trust's strategic objectives, promotes positive employee relations, ensures compliance with employment legislation and safeguarding requirements, and contributes to the recruitment, development and retention of a high performing workforce.</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HR Manager will act as the Trust's lead adviser on all people related matters and will work collaboratively with leaders to develop an inclusive, supportive and high performing culture in which staff can thrive, and pupils can achieve their full potential.</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Reporting to</w:t>
      </w:r>
    </w:p>
    <w:p>
      <w:pPr>
        <w:pStyle w:val="Normal"/>
        <w:rPr>
          <w:rFonts w:ascii="Calibri" w:hAnsi="Calibri" w:cs="Calibri"/>
          <w:sz w:val="28"/>
          <w:szCs w:val="28"/>
        </w:rPr>
      </w:pPr>
      <w:r>
        <w:rPr>
          <w:rFonts w:cs="Calibri" w:ascii="Calibri" w:hAnsi="Calibri"/>
          <w:sz w:val="28"/>
          <w:szCs w:val="28"/>
        </w:rPr>
      </w:r>
    </w:p>
    <w:p>
      <w:pPr>
        <w:pStyle w:val="Endnote"/>
        <w:overflowPunct w:val="false"/>
        <w:textAlignment w:val="auto"/>
        <w:rPr>
          <w:rFonts w:ascii="Calibri" w:hAnsi="Calibri" w:cs="Calibri"/>
          <w:sz w:val="28"/>
          <w:szCs w:val="28"/>
        </w:rPr>
      </w:pPr>
      <w:r>
        <w:rPr>
          <w:rFonts w:cs="Calibri" w:ascii="Calibri" w:hAnsi="Calibri"/>
          <w:sz w:val="28"/>
          <w:szCs w:val="28"/>
        </w:rPr>
        <w:t>The postholder will report to the Chief Operating Officer</w:t>
      </w:r>
    </w:p>
    <w:p>
      <w:pPr>
        <w:pStyle w:val="Normal"/>
        <w:tabs>
          <w:tab w:val="clear" w:pos="720"/>
          <w:tab w:val="left" w:pos="3095" w:leader="none"/>
        </w:tabs>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Responsible for</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HR Officer</w:t>
      </w:r>
    </w:p>
    <w:p>
      <w:pPr>
        <w:pStyle w:val="Normal"/>
        <w:rPr>
          <w:rFonts w:ascii="Calibri" w:hAnsi="Calibri" w:cs="Calibri"/>
          <w:b/>
          <w:b/>
          <w:bCs/>
          <w:sz w:val="28"/>
          <w:szCs w:val="28"/>
          <w:u w:val="single"/>
        </w:rPr>
      </w:pPr>
      <w:r>
        <w:rPr>
          <w:rFonts w:cs="Calibri" w:ascii="Calibri" w:hAnsi="Calibri"/>
          <w:b/>
          <w:bCs/>
          <w:sz w:val="28"/>
          <w:szCs w:val="28"/>
          <w:u w:val="single"/>
        </w:rPr>
      </w:r>
    </w:p>
    <w:p>
      <w:pPr>
        <w:pStyle w:val="Normal"/>
        <w:rPr>
          <w:rFonts w:ascii="Calibri" w:hAnsi="Calibri" w:cs="Calibri"/>
          <w:b/>
          <w:b/>
          <w:bCs/>
          <w:sz w:val="28"/>
          <w:szCs w:val="28"/>
          <w:u w:val="single"/>
        </w:rPr>
      </w:pPr>
      <w:r>
        <w:rPr>
          <w:rFonts w:cs="Calibri" w:ascii="Calibri" w:hAnsi="Calibri"/>
          <w:b/>
          <w:bCs/>
          <w:sz w:val="28"/>
          <w:szCs w:val="28"/>
          <w:u w:val="single"/>
        </w:rPr>
        <w:t>Main Areas of Responsibility</w:t>
      </w:r>
    </w:p>
    <w:p>
      <w:pPr>
        <w:pStyle w:val="Normal"/>
        <w:rPr>
          <w:rFonts w:ascii="Calibri" w:hAnsi="Calibri" w:cs="Calibri"/>
          <w:b/>
          <w:b/>
          <w:bCs/>
          <w:sz w:val="28"/>
          <w:szCs w:val="28"/>
          <w:u w:val="single"/>
        </w:rPr>
      </w:pPr>
      <w:r>
        <w:rPr>
          <w:rFonts w:cs="Calibri" w:ascii="Calibri" w:hAnsi="Calibri"/>
          <w:b/>
          <w:bCs/>
          <w:sz w:val="28"/>
          <w:szCs w:val="28"/>
          <w:u w:val="single"/>
        </w:rPr>
      </w:r>
    </w:p>
    <w:p>
      <w:pPr>
        <w:pStyle w:val="Normal"/>
        <w:spacing w:before="120" w:after="120"/>
        <w:ind w:left="0" w:right="320" w:hanging="0"/>
        <w:jc w:val="both"/>
        <w:rPr>
          <w:rFonts w:ascii="Calibri" w:hAnsi="Calibri" w:cs="Calibri"/>
          <w:b/>
          <w:b/>
          <w:bCs/>
          <w:sz w:val="28"/>
          <w:szCs w:val="28"/>
        </w:rPr>
      </w:pPr>
      <w:r>
        <w:rPr>
          <w:rFonts w:cs="Calibri" w:ascii="Calibri" w:hAnsi="Calibri"/>
          <w:b/>
          <w:bCs/>
          <w:sz w:val="28"/>
          <w:szCs w:val="28"/>
        </w:rPr>
        <w:t>HR Leadership</w:t>
      </w:r>
    </w:p>
    <w:p>
      <w:pPr>
        <w:pStyle w:val="Normal"/>
        <w:numPr>
          <w:ilvl w:val="0"/>
          <w:numId w:val="3"/>
        </w:numPr>
        <w:rPr>
          <w:rFonts w:ascii="Calibri" w:hAnsi="Calibri" w:cs="Calibri"/>
          <w:sz w:val="28"/>
          <w:szCs w:val="28"/>
        </w:rPr>
      </w:pPr>
      <w:r>
        <w:rPr>
          <w:rFonts w:cs="Calibri" w:ascii="Calibri" w:hAnsi="Calibri"/>
          <w:sz w:val="28"/>
          <w:szCs w:val="28"/>
        </w:rPr>
        <w:t>Contribute to the development and delivery of the Trust's People Strategy and workforce priorities.</w:t>
      </w:r>
    </w:p>
    <w:p>
      <w:pPr>
        <w:pStyle w:val="Normal"/>
        <w:numPr>
          <w:ilvl w:val="0"/>
          <w:numId w:val="3"/>
        </w:numPr>
        <w:rPr>
          <w:rFonts w:ascii="Calibri" w:hAnsi="Calibri" w:cs="Calibri"/>
          <w:sz w:val="28"/>
          <w:szCs w:val="28"/>
        </w:rPr>
      </w:pPr>
      <w:r>
        <w:rPr>
          <w:rFonts w:cs="Calibri" w:ascii="Calibri" w:hAnsi="Calibri"/>
          <w:sz w:val="28"/>
          <w:szCs w:val="28"/>
        </w:rPr>
        <w:t>Provide professional HR advice and guidance to Trustees, the CEO, COO, Headteachers and senior leaders on all aspects of employment and people management.</w:t>
      </w:r>
    </w:p>
    <w:p>
      <w:pPr>
        <w:pStyle w:val="Normal"/>
        <w:numPr>
          <w:ilvl w:val="0"/>
          <w:numId w:val="3"/>
        </w:numPr>
        <w:rPr>
          <w:rFonts w:ascii="Calibri" w:hAnsi="Calibri" w:cs="Calibri"/>
          <w:sz w:val="28"/>
          <w:szCs w:val="28"/>
        </w:rPr>
      </w:pPr>
      <w:r>
        <w:rPr>
          <w:rFonts w:cs="Calibri" w:ascii="Calibri" w:hAnsi="Calibri"/>
          <w:sz w:val="28"/>
          <w:szCs w:val="28"/>
        </w:rPr>
        <w:t>Support workforce planning, succession planning and organisational development initiatives across the Trust, leading where appropriate.</w:t>
      </w:r>
    </w:p>
    <w:p>
      <w:pPr>
        <w:pStyle w:val="Normal"/>
        <w:numPr>
          <w:ilvl w:val="0"/>
          <w:numId w:val="3"/>
        </w:numPr>
        <w:rPr>
          <w:rFonts w:ascii="Calibri" w:hAnsi="Calibri" w:cs="Calibri"/>
          <w:sz w:val="28"/>
          <w:szCs w:val="28"/>
        </w:rPr>
      </w:pPr>
      <w:r>
        <w:rPr>
          <w:rFonts w:cs="Calibri" w:ascii="Calibri" w:hAnsi="Calibri"/>
          <w:sz w:val="28"/>
          <w:szCs w:val="28"/>
        </w:rPr>
        <w:t>Support organisational change programmes, including restructures, consultations, TUPE transfers and workforce remodelling where required.</w:t>
      </w:r>
    </w:p>
    <w:p>
      <w:pPr>
        <w:pStyle w:val="Normal"/>
        <w:numPr>
          <w:ilvl w:val="0"/>
          <w:numId w:val="3"/>
        </w:numPr>
        <w:rPr>
          <w:rFonts w:ascii="Calibri" w:hAnsi="Calibri" w:cs="Calibri"/>
          <w:sz w:val="28"/>
          <w:szCs w:val="28"/>
        </w:rPr>
      </w:pPr>
      <w:r>
        <w:rPr>
          <w:rFonts w:cs="Calibri" w:ascii="Calibri" w:hAnsi="Calibri"/>
          <w:sz w:val="28"/>
          <w:szCs w:val="28"/>
        </w:rPr>
        <w:t>Develop, review and implement HR policies and procedures in line with current legislation, best practice and Trust priorities.</w:t>
      </w:r>
    </w:p>
    <w:p>
      <w:pPr>
        <w:pStyle w:val="Normal"/>
        <w:numPr>
          <w:ilvl w:val="0"/>
          <w:numId w:val="3"/>
        </w:numPr>
        <w:rPr>
          <w:rFonts w:ascii="Calibri" w:hAnsi="Calibri" w:cs="Calibri"/>
          <w:sz w:val="28"/>
          <w:szCs w:val="28"/>
        </w:rPr>
      </w:pPr>
      <w:r>
        <w:rPr>
          <w:rFonts w:cs="Calibri" w:ascii="Calibri" w:hAnsi="Calibri"/>
          <w:sz w:val="28"/>
          <w:szCs w:val="28"/>
        </w:rPr>
        <w:t>Monitor emerging employment legislation and ensure the Trust remains compliant and informed of changes affecting the education sector.</w:t>
      </w:r>
    </w:p>
    <w:p>
      <w:pPr>
        <w:pStyle w:val="Normal"/>
        <w:numPr>
          <w:ilvl w:val="0"/>
          <w:numId w:val="3"/>
        </w:numPr>
        <w:rPr>
          <w:rFonts w:ascii="Calibri" w:hAnsi="Calibri" w:cs="Calibri"/>
          <w:sz w:val="28"/>
          <w:szCs w:val="28"/>
        </w:rPr>
      </w:pPr>
      <w:r>
        <w:rPr>
          <w:rFonts w:cs="Calibri" w:ascii="Calibri" w:hAnsi="Calibri"/>
          <w:sz w:val="28"/>
          <w:szCs w:val="28"/>
        </w:rPr>
        <w:t>Produce and present workforce reports, HR metrics and analysis to the CEO, COO, Trustees and committees, identifying trends, risks and recommendations.</w:t>
      </w:r>
    </w:p>
    <w:p>
      <w:pPr>
        <w:pStyle w:val="Normal"/>
        <w:numPr>
          <w:ilvl w:val="0"/>
          <w:numId w:val="3"/>
        </w:numPr>
        <w:rPr>
          <w:rFonts w:ascii="Calibri" w:hAnsi="Calibri" w:cs="Calibri"/>
          <w:sz w:val="28"/>
          <w:szCs w:val="28"/>
        </w:rPr>
      </w:pPr>
      <w:r>
        <w:rPr>
          <w:rFonts w:cs="Calibri" w:ascii="Calibri" w:hAnsi="Calibri"/>
          <w:sz w:val="28"/>
          <w:szCs w:val="28"/>
        </w:rPr>
        <w:t>Contribute to the Trust's risk management processes, identifying and mitigating workforce and employment related risks.</w:t>
      </w:r>
    </w:p>
    <w:p>
      <w:pPr>
        <w:pStyle w:val="Normal"/>
        <w:numPr>
          <w:ilvl w:val="0"/>
          <w:numId w:val="3"/>
        </w:numPr>
        <w:rPr>
          <w:rFonts w:ascii="Calibri" w:hAnsi="Calibri" w:cs="Calibri"/>
          <w:sz w:val="28"/>
          <w:szCs w:val="28"/>
        </w:rPr>
      </w:pPr>
      <w:r>
        <w:rPr>
          <w:rFonts w:cs="Calibri" w:ascii="Calibri" w:hAnsi="Calibri"/>
          <w:sz w:val="28"/>
          <w:szCs w:val="28"/>
        </w:rPr>
        <w:t>Maintain up to date professional knowledge of employment law, HR best practice and developments within the education sector.</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Employee Relations</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4"/>
        </w:numPr>
        <w:rPr>
          <w:rFonts w:ascii="Calibri" w:hAnsi="Calibri" w:cs="Calibri"/>
          <w:sz w:val="28"/>
          <w:szCs w:val="28"/>
        </w:rPr>
      </w:pPr>
      <w:r>
        <w:rPr>
          <w:rFonts w:cs="Calibri" w:ascii="Calibri" w:hAnsi="Calibri"/>
          <w:sz w:val="28"/>
          <w:szCs w:val="28"/>
        </w:rPr>
        <w:t>Lead and manage employee relations matters across the Trust, including disciplinary, grievance, capability, attendance management, flexible working, dignity at work and family leave cases.</w:t>
      </w:r>
    </w:p>
    <w:p>
      <w:pPr>
        <w:pStyle w:val="Normal"/>
        <w:numPr>
          <w:ilvl w:val="0"/>
          <w:numId w:val="4"/>
        </w:numPr>
        <w:rPr>
          <w:rFonts w:ascii="Calibri" w:hAnsi="Calibri" w:cs="Calibri"/>
          <w:sz w:val="28"/>
          <w:szCs w:val="28"/>
        </w:rPr>
      </w:pPr>
      <w:r>
        <w:rPr>
          <w:rFonts w:cs="Calibri" w:ascii="Calibri" w:hAnsi="Calibri"/>
          <w:sz w:val="28"/>
          <w:szCs w:val="28"/>
        </w:rPr>
        <w:t>Provide expert advice and support to leaders on complex and sensitive staffing matters.</w:t>
      </w:r>
    </w:p>
    <w:p>
      <w:pPr>
        <w:pStyle w:val="Normal"/>
        <w:numPr>
          <w:ilvl w:val="0"/>
          <w:numId w:val="4"/>
        </w:numPr>
        <w:rPr>
          <w:rFonts w:ascii="Calibri" w:hAnsi="Calibri" w:cs="Calibri"/>
          <w:sz w:val="28"/>
          <w:szCs w:val="28"/>
        </w:rPr>
      </w:pPr>
      <w:r>
        <w:rPr>
          <w:rFonts w:cs="Calibri" w:ascii="Calibri" w:hAnsi="Calibri"/>
          <w:sz w:val="28"/>
          <w:szCs w:val="28"/>
        </w:rPr>
        <w:t>Support and guide leaders and managers through investigations, hearings and appeals, ensuring fair and consistent application of Trust policies and procedures.</w:t>
      </w:r>
    </w:p>
    <w:p>
      <w:pPr>
        <w:pStyle w:val="Normal"/>
        <w:numPr>
          <w:ilvl w:val="0"/>
          <w:numId w:val="4"/>
        </w:numPr>
        <w:rPr>
          <w:rFonts w:ascii="Calibri" w:hAnsi="Calibri" w:cs="Calibri"/>
          <w:sz w:val="28"/>
          <w:szCs w:val="28"/>
        </w:rPr>
      </w:pPr>
      <w:r>
        <w:rPr>
          <w:rFonts w:cs="Calibri" w:ascii="Calibri" w:hAnsi="Calibri"/>
          <w:sz w:val="28"/>
          <w:szCs w:val="28"/>
        </w:rPr>
        <w:t>Liaise with legal advisers, occupational health providers and other external specialists where appropriate.</w:t>
      </w:r>
    </w:p>
    <w:p>
      <w:pPr>
        <w:pStyle w:val="Normal"/>
        <w:numPr>
          <w:ilvl w:val="0"/>
          <w:numId w:val="4"/>
        </w:numPr>
        <w:rPr>
          <w:rFonts w:ascii="Calibri" w:hAnsi="Calibri" w:cs="Calibri"/>
          <w:sz w:val="28"/>
          <w:szCs w:val="28"/>
        </w:rPr>
      </w:pPr>
      <w:r>
        <w:rPr>
          <w:rFonts w:cs="Calibri" w:ascii="Calibri" w:hAnsi="Calibri"/>
          <w:sz w:val="28"/>
          <w:szCs w:val="28"/>
        </w:rPr>
        <w:t>Promote early intervention, mediation and informal resolution approaches to employee relations issues wherever possible.</w:t>
      </w:r>
    </w:p>
    <w:p>
      <w:pPr>
        <w:pStyle w:val="Normal"/>
        <w:numPr>
          <w:ilvl w:val="0"/>
          <w:numId w:val="4"/>
        </w:numPr>
        <w:rPr>
          <w:rFonts w:ascii="Calibri" w:hAnsi="Calibri" w:cs="Calibri"/>
          <w:sz w:val="28"/>
          <w:szCs w:val="28"/>
        </w:rPr>
      </w:pPr>
      <w:r>
        <w:rPr>
          <w:rFonts w:cs="Calibri" w:ascii="Calibri" w:hAnsi="Calibri"/>
          <w:sz w:val="28"/>
          <w:szCs w:val="28"/>
        </w:rPr>
        <w:t>Maintain positive and constructive relationships with recognised trade unions and support consultation and negotiation processes as required.</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Recruitment, Retention and Workforce Development</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5"/>
        </w:numPr>
        <w:rPr>
          <w:rFonts w:ascii="Calibri" w:hAnsi="Calibri" w:cs="Calibri"/>
          <w:sz w:val="28"/>
          <w:szCs w:val="28"/>
        </w:rPr>
      </w:pPr>
      <w:r>
        <w:rPr>
          <w:rFonts w:cs="Calibri" w:ascii="Calibri" w:hAnsi="Calibri"/>
          <w:sz w:val="28"/>
          <w:szCs w:val="28"/>
        </w:rPr>
        <w:t>Lead and continuously develop recruitment and selection processes across the Trust.</w:t>
      </w:r>
    </w:p>
    <w:p>
      <w:pPr>
        <w:pStyle w:val="Normal"/>
        <w:numPr>
          <w:ilvl w:val="0"/>
          <w:numId w:val="5"/>
        </w:numPr>
        <w:rPr>
          <w:rFonts w:ascii="Calibri" w:hAnsi="Calibri" w:cs="Calibri"/>
          <w:sz w:val="28"/>
          <w:szCs w:val="28"/>
        </w:rPr>
      </w:pPr>
      <w:r>
        <w:rPr>
          <w:rFonts w:cs="Calibri" w:ascii="Calibri" w:hAnsi="Calibri"/>
          <w:sz w:val="28"/>
          <w:szCs w:val="28"/>
        </w:rPr>
        <w:t>Ensure compliance with safer recruitment requirements and Keeping Children Safe in Education guidance.</w:t>
      </w:r>
    </w:p>
    <w:p>
      <w:pPr>
        <w:pStyle w:val="Normal"/>
        <w:numPr>
          <w:ilvl w:val="0"/>
          <w:numId w:val="5"/>
        </w:numPr>
        <w:rPr>
          <w:rFonts w:ascii="Calibri" w:hAnsi="Calibri" w:cs="Calibri"/>
          <w:sz w:val="28"/>
          <w:szCs w:val="28"/>
        </w:rPr>
      </w:pPr>
      <w:r>
        <w:rPr>
          <w:rFonts w:cs="Calibri" w:ascii="Calibri" w:hAnsi="Calibri"/>
          <w:sz w:val="28"/>
          <w:szCs w:val="28"/>
        </w:rPr>
        <w:t>Develop and support recruitment and retention initiatives to attract and retain high quality staff.</w:t>
      </w:r>
    </w:p>
    <w:p>
      <w:pPr>
        <w:pStyle w:val="Normal"/>
        <w:numPr>
          <w:ilvl w:val="0"/>
          <w:numId w:val="5"/>
        </w:numPr>
        <w:rPr>
          <w:rFonts w:ascii="Calibri" w:hAnsi="Calibri" w:cs="Calibri"/>
          <w:sz w:val="28"/>
          <w:szCs w:val="28"/>
        </w:rPr>
      </w:pPr>
      <w:r>
        <w:rPr>
          <w:rFonts w:cs="Calibri" w:ascii="Calibri" w:hAnsi="Calibri"/>
          <w:sz w:val="28"/>
          <w:szCs w:val="28"/>
        </w:rPr>
        <w:t>Oversee onboarding, induction and probationary arrangements for new employees.</w:t>
      </w:r>
    </w:p>
    <w:p>
      <w:pPr>
        <w:pStyle w:val="Normal"/>
        <w:numPr>
          <w:ilvl w:val="0"/>
          <w:numId w:val="5"/>
        </w:numPr>
        <w:rPr>
          <w:rFonts w:ascii="Calibri" w:hAnsi="Calibri" w:cs="Calibri"/>
          <w:sz w:val="28"/>
          <w:szCs w:val="28"/>
        </w:rPr>
      </w:pPr>
      <w:r>
        <w:rPr>
          <w:rFonts w:cs="Calibri" w:ascii="Calibri" w:hAnsi="Calibri"/>
          <w:sz w:val="28"/>
          <w:szCs w:val="28"/>
        </w:rPr>
        <w:t>Support leaders in identifying workforce development needs and contribute to staff development initiatives.</w:t>
      </w:r>
    </w:p>
    <w:p>
      <w:pPr>
        <w:pStyle w:val="Normal"/>
        <w:numPr>
          <w:ilvl w:val="0"/>
          <w:numId w:val="5"/>
        </w:numPr>
        <w:rPr>
          <w:rFonts w:ascii="Calibri" w:hAnsi="Calibri" w:cs="Calibri"/>
          <w:sz w:val="28"/>
          <w:szCs w:val="28"/>
        </w:rPr>
      </w:pPr>
      <w:r>
        <w:rPr>
          <w:rFonts w:cs="Calibri" w:ascii="Calibri" w:hAnsi="Calibri"/>
          <w:sz w:val="28"/>
          <w:szCs w:val="28"/>
        </w:rPr>
        <w:t>Promote equality, diversity and inclusion within recruitment and employment practices.</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 xml:space="preserve">Attendance, Wellbeing and Staff Engagement </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6"/>
        </w:numPr>
        <w:rPr>
          <w:rFonts w:ascii="Calibri" w:hAnsi="Calibri" w:cs="Calibri"/>
          <w:sz w:val="28"/>
          <w:szCs w:val="28"/>
        </w:rPr>
      </w:pPr>
      <w:r>
        <w:rPr>
          <w:rFonts w:cs="Calibri" w:ascii="Calibri" w:hAnsi="Calibri"/>
          <w:sz w:val="28"/>
          <w:szCs w:val="28"/>
        </w:rPr>
        <w:t>Lead on attendance management processes and support leaders in improving staff attendance.</w:t>
      </w:r>
    </w:p>
    <w:p>
      <w:pPr>
        <w:pStyle w:val="Normal"/>
        <w:numPr>
          <w:ilvl w:val="0"/>
          <w:numId w:val="6"/>
        </w:numPr>
        <w:rPr>
          <w:rFonts w:ascii="Calibri" w:hAnsi="Calibri" w:cs="Calibri"/>
          <w:sz w:val="28"/>
          <w:szCs w:val="28"/>
        </w:rPr>
      </w:pPr>
      <w:r>
        <w:rPr>
          <w:rFonts w:cs="Calibri" w:ascii="Calibri" w:hAnsi="Calibri"/>
          <w:sz w:val="28"/>
          <w:szCs w:val="28"/>
        </w:rPr>
        <w:t>Monitor absence trends and provide recommendations to address areas of concern.</w:t>
      </w:r>
    </w:p>
    <w:p>
      <w:pPr>
        <w:pStyle w:val="Normal"/>
        <w:numPr>
          <w:ilvl w:val="0"/>
          <w:numId w:val="6"/>
        </w:numPr>
        <w:rPr>
          <w:rFonts w:ascii="Calibri" w:hAnsi="Calibri" w:cs="Calibri"/>
          <w:sz w:val="28"/>
          <w:szCs w:val="28"/>
        </w:rPr>
      </w:pPr>
      <w:r>
        <w:rPr>
          <w:rFonts w:cs="Calibri" w:ascii="Calibri" w:hAnsi="Calibri"/>
          <w:sz w:val="28"/>
          <w:szCs w:val="28"/>
        </w:rPr>
        <w:t>Manage referrals to Occupational Health and other employee support services.</w:t>
      </w:r>
    </w:p>
    <w:p>
      <w:pPr>
        <w:pStyle w:val="Normal"/>
        <w:numPr>
          <w:ilvl w:val="0"/>
          <w:numId w:val="6"/>
        </w:numPr>
        <w:rPr>
          <w:rFonts w:ascii="Calibri" w:hAnsi="Calibri" w:cs="Calibri"/>
          <w:sz w:val="28"/>
          <w:szCs w:val="28"/>
        </w:rPr>
      </w:pPr>
      <w:r>
        <w:rPr>
          <w:rFonts w:cs="Calibri" w:ascii="Calibri" w:hAnsi="Calibri"/>
          <w:sz w:val="28"/>
          <w:szCs w:val="28"/>
        </w:rPr>
        <w:t>Support the development, implementation and evaluation of staff wellbeing initiatives.</w:t>
      </w:r>
    </w:p>
    <w:p>
      <w:pPr>
        <w:pStyle w:val="Normal"/>
        <w:numPr>
          <w:ilvl w:val="0"/>
          <w:numId w:val="6"/>
        </w:numPr>
        <w:rPr>
          <w:rFonts w:ascii="Calibri" w:hAnsi="Calibri" w:cs="Calibri"/>
          <w:sz w:val="28"/>
          <w:szCs w:val="28"/>
        </w:rPr>
      </w:pPr>
      <w:r>
        <w:rPr>
          <w:rFonts w:cs="Calibri" w:ascii="Calibri" w:hAnsi="Calibri"/>
          <w:sz w:val="28"/>
          <w:szCs w:val="28"/>
        </w:rPr>
        <w:t>Contribute to activities that promote employee engagement, wellbeing and positive workplace culture.</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HR Operations and Compliance</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7"/>
        </w:numPr>
        <w:rPr>
          <w:rFonts w:ascii="Calibri" w:hAnsi="Calibri" w:cs="Calibri"/>
          <w:sz w:val="28"/>
          <w:szCs w:val="28"/>
        </w:rPr>
      </w:pPr>
      <w:r>
        <w:rPr>
          <w:rFonts w:cs="Calibri" w:ascii="Calibri" w:hAnsi="Calibri"/>
          <w:sz w:val="28"/>
          <w:szCs w:val="28"/>
        </w:rPr>
        <w:t>Ensure HR systems, processes and records are maintained accurately, securely and in accordance with GDPR and statutory requirements.</w:t>
      </w:r>
    </w:p>
    <w:p>
      <w:pPr>
        <w:pStyle w:val="Normal"/>
        <w:numPr>
          <w:ilvl w:val="0"/>
          <w:numId w:val="7"/>
        </w:numPr>
        <w:rPr>
          <w:rFonts w:ascii="Calibri" w:hAnsi="Calibri" w:cs="Calibri"/>
          <w:sz w:val="28"/>
          <w:szCs w:val="28"/>
        </w:rPr>
      </w:pPr>
      <w:r>
        <w:rPr>
          <w:rFonts w:cs="Calibri" w:ascii="Calibri" w:hAnsi="Calibri"/>
          <w:sz w:val="28"/>
          <w:szCs w:val="28"/>
        </w:rPr>
        <w:t>Oversee and quality assure recruitment, safeguarding and personnel administration processes.</w:t>
      </w:r>
    </w:p>
    <w:p>
      <w:pPr>
        <w:pStyle w:val="Normal"/>
        <w:numPr>
          <w:ilvl w:val="0"/>
          <w:numId w:val="7"/>
        </w:numPr>
        <w:rPr>
          <w:rFonts w:ascii="Calibri" w:hAnsi="Calibri" w:cs="Calibri"/>
          <w:sz w:val="28"/>
          <w:szCs w:val="28"/>
        </w:rPr>
      </w:pPr>
      <w:r>
        <w:rPr>
          <w:rFonts w:cs="Calibri" w:ascii="Calibri" w:hAnsi="Calibri"/>
          <w:sz w:val="28"/>
          <w:szCs w:val="28"/>
        </w:rPr>
        <w:t>Ensure employment contracts, contractual changes and associated employment documentation are accurate and issued within required timescales.</w:t>
      </w:r>
    </w:p>
    <w:p>
      <w:pPr>
        <w:pStyle w:val="Normal"/>
        <w:numPr>
          <w:ilvl w:val="0"/>
          <w:numId w:val="7"/>
        </w:numPr>
        <w:rPr>
          <w:rFonts w:ascii="Calibri" w:hAnsi="Calibri" w:cs="Calibri"/>
          <w:sz w:val="28"/>
          <w:szCs w:val="28"/>
        </w:rPr>
      </w:pPr>
      <w:r>
        <w:rPr>
          <w:rFonts w:cs="Calibri" w:ascii="Calibri" w:hAnsi="Calibri"/>
          <w:sz w:val="28"/>
          <w:szCs w:val="28"/>
        </w:rPr>
        <w:t>Support payroll processes through the provision of accurate workforce information and timely communication of staffing changes.</w:t>
      </w:r>
    </w:p>
    <w:p>
      <w:pPr>
        <w:pStyle w:val="Normal"/>
        <w:numPr>
          <w:ilvl w:val="0"/>
          <w:numId w:val="7"/>
        </w:numPr>
        <w:rPr>
          <w:rFonts w:ascii="Calibri" w:hAnsi="Calibri" w:cs="Calibri"/>
          <w:sz w:val="28"/>
          <w:szCs w:val="28"/>
        </w:rPr>
      </w:pPr>
      <w:r>
        <w:rPr>
          <w:rFonts w:cs="Calibri" w:ascii="Calibri" w:hAnsi="Calibri"/>
          <w:sz w:val="28"/>
          <w:szCs w:val="28"/>
        </w:rPr>
        <w:t>Monitor compliance with safeguarding requirements, including oversight and audit of Single Central Records across the Trust.</w:t>
      </w:r>
    </w:p>
    <w:p>
      <w:pPr>
        <w:pStyle w:val="Normal"/>
        <w:numPr>
          <w:ilvl w:val="0"/>
          <w:numId w:val="7"/>
        </w:numPr>
        <w:rPr>
          <w:rFonts w:ascii="Calibri" w:hAnsi="Calibri" w:cs="Calibri"/>
          <w:sz w:val="28"/>
          <w:szCs w:val="28"/>
        </w:rPr>
      </w:pPr>
      <w:r>
        <w:rPr>
          <w:rFonts w:cs="Calibri" w:ascii="Calibri" w:hAnsi="Calibri"/>
          <w:sz w:val="28"/>
          <w:szCs w:val="28"/>
        </w:rPr>
        <w:t>Lead the completion and validation of statutory workforce returns, including the School Workforce Census and other employment related reporting requirements.</w:t>
      </w:r>
    </w:p>
    <w:p>
      <w:pPr>
        <w:pStyle w:val="Normal"/>
        <w:numPr>
          <w:ilvl w:val="0"/>
          <w:numId w:val="7"/>
        </w:numPr>
        <w:rPr>
          <w:rFonts w:ascii="Calibri" w:hAnsi="Calibri" w:cs="Calibri"/>
          <w:sz w:val="28"/>
          <w:szCs w:val="28"/>
        </w:rPr>
      </w:pPr>
      <w:r>
        <w:rPr>
          <w:rFonts w:cs="Calibri" w:ascii="Calibri" w:hAnsi="Calibri"/>
          <w:sz w:val="28"/>
          <w:szCs w:val="28"/>
        </w:rPr>
        <w:t>Ensure robust HR record keeping and documentation to support effective governance and compliance.</w:t>
      </w:r>
    </w:p>
    <w:p>
      <w:pPr>
        <w:pStyle w:val="Normal"/>
        <w:ind w:left="720" w:right="0" w:hanging="0"/>
        <w:rPr>
          <w:rFonts w:ascii="Calibri" w:hAnsi="Calibri" w:cs="Calibri"/>
          <w:sz w:val="28"/>
          <w:szCs w:val="28"/>
        </w:rPr>
      </w:pPr>
      <w:r>
        <w:rPr>
          <w:rFonts w:cs="Calibri" w:ascii="Calibri" w:hAnsi="Calibri"/>
          <w:sz w:val="28"/>
          <w:szCs w:val="28"/>
        </w:rPr>
      </w:r>
    </w:p>
    <w:p>
      <w:pPr>
        <w:pStyle w:val="Normal"/>
        <w:rPr/>
      </w:pPr>
      <w:r>
        <w:rPr>
          <w:rFonts w:cs="Calibri" w:ascii="Calibri" w:hAnsi="Calibri"/>
          <w:b/>
          <w:bCs/>
          <w:sz w:val="28"/>
          <w:szCs w:val="28"/>
        </w:rPr>
        <w:t>HR</w:t>
      </w:r>
      <w:r>
        <w:rPr>
          <w:rFonts w:cs="Calibri" w:ascii="Calibri" w:hAnsi="Calibri"/>
          <w:b/>
          <w:bCs/>
        </w:rPr>
        <w:t xml:space="preserve"> </w:t>
      </w:r>
      <w:r>
        <w:rPr>
          <w:rFonts w:cs="Calibri" w:ascii="Calibri" w:hAnsi="Calibri"/>
          <w:b/>
          <w:bCs/>
          <w:sz w:val="28"/>
          <w:szCs w:val="28"/>
        </w:rPr>
        <w:t>Systems, Data and Continuous Improvement</w:t>
      </w:r>
    </w:p>
    <w:p>
      <w:pPr>
        <w:pStyle w:val="Normal"/>
        <w:rPr>
          <w:rFonts w:ascii="Calibri" w:hAnsi="Calibri" w:cs="Calibri"/>
          <w:b/>
          <w:b/>
          <w:bCs/>
        </w:rPr>
      </w:pPr>
      <w:r>
        <w:rPr>
          <w:rFonts w:cs="Calibri" w:ascii="Calibri" w:hAnsi="Calibri"/>
          <w:b/>
          <w:bCs/>
        </w:rPr>
      </w:r>
    </w:p>
    <w:p>
      <w:pPr>
        <w:pStyle w:val="Normal"/>
        <w:numPr>
          <w:ilvl w:val="0"/>
          <w:numId w:val="8"/>
        </w:numPr>
        <w:rPr>
          <w:rFonts w:ascii="Calibri" w:hAnsi="Calibri" w:cs="Calibri"/>
          <w:sz w:val="28"/>
          <w:szCs w:val="28"/>
        </w:rPr>
      </w:pPr>
      <w:r>
        <w:rPr>
          <w:rFonts w:cs="Calibri" w:ascii="Calibri" w:hAnsi="Calibri"/>
          <w:sz w:val="28"/>
          <w:szCs w:val="28"/>
        </w:rPr>
        <w:t>Act as the Trust lead for HR systems, ensuring SAM people and Face Ed are developed and utilised to maximise efficiency, compliance, reporting and user experience.</w:t>
      </w:r>
    </w:p>
    <w:p>
      <w:pPr>
        <w:pStyle w:val="Normal"/>
        <w:numPr>
          <w:ilvl w:val="0"/>
          <w:numId w:val="8"/>
        </w:numPr>
        <w:rPr>
          <w:rFonts w:ascii="Calibri" w:hAnsi="Calibri" w:cs="Calibri"/>
          <w:sz w:val="28"/>
          <w:szCs w:val="28"/>
        </w:rPr>
      </w:pPr>
      <w:r>
        <w:rPr>
          <w:rFonts w:cs="Calibri" w:ascii="Calibri" w:hAnsi="Calibri"/>
          <w:sz w:val="28"/>
          <w:szCs w:val="28"/>
        </w:rPr>
        <w:t xml:space="preserve">Ensure HR systems are maintained accurately and used consistently across the Trust to support efficient and effective people management. </w:t>
      </w:r>
    </w:p>
    <w:p>
      <w:pPr>
        <w:pStyle w:val="Normal"/>
        <w:numPr>
          <w:ilvl w:val="0"/>
          <w:numId w:val="8"/>
        </w:numPr>
        <w:rPr>
          <w:rFonts w:ascii="Calibri" w:hAnsi="Calibri" w:cs="Calibri"/>
          <w:sz w:val="28"/>
          <w:szCs w:val="28"/>
        </w:rPr>
      </w:pPr>
      <w:r>
        <w:rPr>
          <w:rFonts w:cs="Calibri" w:ascii="Calibri" w:hAnsi="Calibri"/>
          <w:sz w:val="28"/>
          <w:szCs w:val="28"/>
        </w:rPr>
        <w:t xml:space="preserve">Identify opportunities to improve HR processes through digital solutions, automation and system development. </w:t>
      </w:r>
    </w:p>
    <w:p>
      <w:pPr>
        <w:pStyle w:val="Normal"/>
        <w:numPr>
          <w:ilvl w:val="0"/>
          <w:numId w:val="8"/>
        </w:numPr>
        <w:rPr>
          <w:rFonts w:ascii="Calibri" w:hAnsi="Calibri" w:cs="Calibri"/>
          <w:sz w:val="28"/>
          <w:szCs w:val="28"/>
        </w:rPr>
      </w:pPr>
      <w:r>
        <w:rPr>
          <w:rFonts w:cs="Calibri" w:ascii="Calibri" w:hAnsi="Calibri"/>
          <w:sz w:val="28"/>
          <w:szCs w:val="28"/>
        </w:rPr>
        <w:t>Develop, maintain and analyse workforce data, dashboards and management information to support strategic decision-making and monitor recruitment, retention, absence, employee relations and workforce trends.</w:t>
      </w:r>
    </w:p>
    <w:p>
      <w:pPr>
        <w:pStyle w:val="Normal"/>
        <w:numPr>
          <w:ilvl w:val="0"/>
          <w:numId w:val="8"/>
        </w:numPr>
        <w:rPr>
          <w:rFonts w:ascii="Calibri" w:hAnsi="Calibri" w:cs="Calibri"/>
          <w:sz w:val="28"/>
          <w:szCs w:val="28"/>
        </w:rPr>
      </w:pPr>
      <w:r>
        <w:rPr>
          <w:rFonts w:cs="Calibri" w:ascii="Calibri" w:hAnsi="Calibri"/>
          <w:sz w:val="28"/>
          <w:szCs w:val="28"/>
        </w:rPr>
        <w:t xml:space="preserve">Work collaboratively with school leaders and support staff to maximise the benefits of HR technology and improve user experience. </w:t>
      </w:r>
    </w:p>
    <w:p>
      <w:pPr>
        <w:pStyle w:val="Normal"/>
        <w:numPr>
          <w:ilvl w:val="0"/>
          <w:numId w:val="8"/>
        </w:numPr>
        <w:rPr>
          <w:rFonts w:ascii="Calibri" w:hAnsi="Calibri" w:cs="Calibri"/>
          <w:sz w:val="28"/>
          <w:szCs w:val="28"/>
        </w:rPr>
      </w:pPr>
      <w:r>
        <w:rPr>
          <w:rFonts w:cs="Calibri" w:ascii="Calibri" w:hAnsi="Calibri"/>
          <w:sz w:val="28"/>
          <w:szCs w:val="28"/>
        </w:rPr>
        <w:t xml:space="preserve">Support the implementation of new HR processes, system enhancements and organisational improvements across the Trust. </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Leadership Support and Development</w:t>
      </w:r>
    </w:p>
    <w:p>
      <w:pPr>
        <w:pStyle w:val="Normal"/>
        <w:rPr>
          <w:rFonts w:ascii="Calibri" w:hAnsi="Calibri" w:cs="Calibri"/>
          <w:b/>
          <w:b/>
          <w:bCs/>
        </w:rPr>
      </w:pPr>
      <w:r>
        <w:rPr>
          <w:rFonts w:cs="Calibri" w:ascii="Calibri" w:hAnsi="Calibri"/>
          <w:b/>
          <w:bCs/>
        </w:rPr>
      </w:r>
    </w:p>
    <w:p>
      <w:pPr>
        <w:pStyle w:val="Normal"/>
        <w:numPr>
          <w:ilvl w:val="0"/>
          <w:numId w:val="9"/>
        </w:numPr>
        <w:rPr>
          <w:rFonts w:ascii="Calibri" w:hAnsi="Calibri" w:cs="Calibri"/>
          <w:sz w:val="28"/>
          <w:szCs w:val="28"/>
        </w:rPr>
      </w:pPr>
      <w:r>
        <w:rPr>
          <w:rFonts w:cs="Calibri" w:ascii="Calibri" w:hAnsi="Calibri"/>
          <w:sz w:val="28"/>
          <w:szCs w:val="28"/>
        </w:rPr>
        <w:t>Build strong professional relationships with leaders across the Trust.</w:t>
      </w:r>
    </w:p>
    <w:p>
      <w:pPr>
        <w:pStyle w:val="Normal"/>
        <w:numPr>
          <w:ilvl w:val="0"/>
          <w:numId w:val="9"/>
        </w:numPr>
        <w:rPr>
          <w:rFonts w:ascii="Calibri" w:hAnsi="Calibri" w:cs="Calibri"/>
          <w:sz w:val="28"/>
          <w:szCs w:val="28"/>
        </w:rPr>
      </w:pPr>
      <w:r>
        <w:rPr>
          <w:rFonts w:cs="Calibri" w:ascii="Calibri" w:hAnsi="Calibri"/>
          <w:sz w:val="28"/>
          <w:szCs w:val="28"/>
        </w:rPr>
        <w:t>Provide coaching, guidance and support to managers on people management issues.</w:t>
      </w:r>
    </w:p>
    <w:p>
      <w:pPr>
        <w:pStyle w:val="Normal"/>
        <w:numPr>
          <w:ilvl w:val="0"/>
          <w:numId w:val="9"/>
        </w:numPr>
        <w:rPr>
          <w:rFonts w:ascii="Calibri" w:hAnsi="Calibri" w:cs="Calibri"/>
          <w:sz w:val="28"/>
          <w:szCs w:val="28"/>
        </w:rPr>
      </w:pPr>
      <w:r>
        <w:rPr>
          <w:rFonts w:cs="Calibri" w:ascii="Calibri" w:hAnsi="Calibri"/>
          <w:sz w:val="28"/>
          <w:szCs w:val="28"/>
        </w:rPr>
        <w:t>Deliver training, briefings and workshops on HR policies, procedures and employment matters.</w:t>
      </w:r>
    </w:p>
    <w:p>
      <w:pPr>
        <w:pStyle w:val="Normal"/>
        <w:numPr>
          <w:ilvl w:val="0"/>
          <w:numId w:val="9"/>
        </w:numPr>
        <w:rPr>
          <w:rFonts w:ascii="Calibri" w:hAnsi="Calibri" w:cs="Calibri"/>
          <w:sz w:val="28"/>
          <w:szCs w:val="28"/>
        </w:rPr>
      </w:pPr>
      <w:r>
        <w:rPr>
          <w:rFonts w:cs="Calibri" w:ascii="Calibri" w:hAnsi="Calibri"/>
          <w:sz w:val="28"/>
          <w:szCs w:val="28"/>
        </w:rPr>
        <w:t>Support leaders in developing confidence and capability in managing staff effectively.</w:t>
      </w:r>
    </w:p>
    <w:p>
      <w:pPr>
        <w:pStyle w:val="Normal"/>
        <w:numPr>
          <w:ilvl w:val="0"/>
          <w:numId w:val="9"/>
        </w:numPr>
        <w:rPr>
          <w:rFonts w:ascii="Calibri" w:hAnsi="Calibri" w:cs="Calibri"/>
          <w:sz w:val="28"/>
          <w:szCs w:val="28"/>
        </w:rPr>
      </w:pPr>
      <w:r>
        <w:rPr>
          <w:rFonts w:cs="Calibri" w:ascii="Calibri" w:hAnsi="Calibri"/>
          <w:sz w:val="28"/>
          <w:szCs w:val="28"/>
        </w:rPr>
        <w:t>Promote best practice and high standards of people management across the Trust.</w:t>
      </w:r>
    </w:p>
    <w:p>
      <w:pPr>
        <w:pStyle w:val="Normal"/>
        <w:rPr>
          <w:rFonts w:ascii="Calibri" w:hAnsi="Calibri" w:cs="Calibri"/>
          <w:color w:val="000000"/>
          <w:sz w:val="28"/>
          <w:szCs w:val="28"/>
          <w:lang w:eastAsia="en-GB"/>
        </w:rPr>
      </w:pPr>
      <w:r>
        <w:rPr>
          <w:rFonts w:cs="Calibri" w:ascii="Calibri" w:hAnsi="Calibri"/>
          <w:color w:val="000000"/>
          <w:sz w:val="28"/>
          <w:szCs w:val="28"/>
          <w:lang w:eastAsia="en-GB"/>
        </w:rPr>
      </w:r>
    </w:p>
    <w:p>
      <w:pPr>
        <w:pStyle w:val="Normal"/>
        <w:rPr>
          <w:rFonts w:ascii="Calibri" w:hAnsi="Calibri" w:cs="Calibri"/>
          <w:b/>
          <w:b/>
          <w:bCs/>
          <w:sz w:val="28"/>
          <w:szCs w:val="28"/>
        </w:rPr>
      </w:pPr>
      <w:r>
        <w:rPr>
          <w:rFonts w:cs="Calibri" w:ascii="Calibri" w:hAnsi="Calibri"/>
          <w:b/>
          <w:bCs/>
          <w:sz w:val="28"/>
          <w:szCs w:val="28"/>
        </w:rPr>
        <w:t>Culture</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2"/>
        </w:numPr>
        <w:rPr>
          <w:rFonts w:ascii="Calibri" w:hAnsi="Calibri" w:cs="Calibri"/>
          <w:sz w:val="28"/>
          <w:szCs w:val="28"/>
        </w:rPr>
      </w:pPr>
      <w:r>
        <w:rPr>
          <w:rFonts w:cs="Calibri" w:ascii="Calibri" w:hAnsi="Calibri"/>
          <w:sz w:val="28"/>
          <w:szCs w:val="28"/>
        </w:rPr>
        <w:t>Responsible for Health &amp; Safety, security, data protection and welfare of self and colleagues in accordance with The Oak Trust policies and procedures, reporting all concerns to an appropriate person.</w:t>
      </w:r>
    </w:p>
    <w:p>
      <w:pPr>
        <w:pStyle w:val="Normal"/>
        <w:numPr>
          <w:ilvl w:val="0"/>
          <w:numId w:val="2"/>
        </w:numPr>
        <w:rPr>
          <w:rFonts w:ascii="Calibri" w:hAnsi="Calibri" w:cs="Calibri"/>
          <w:sz w:val="28"/>
          <w:szCs w:val="28"/>
        </w:rPr>
      </w:pPr>
      <w:r>
        <w:rPr>
          <w:rFonts w:cs="Calibri" w:ascii="Calibri" w:hAnsi="Calibri"/>
          <w:sz w:val="28"/>
          <w:szCs w:val="28"/>
        </w:rPr>
        <w:t>Responsible for working in accordance with The Oak Trust policy relating to the promotion of Equality, Diversity, and Inclusivity.</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 xml:space="preserve">Employees will be expected to comply with any reasonable request from a manager to undertake work of a similar level that is not specified in this job description. </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job description is current at the date shown, but, in consultation with the postholder, it may be changed by the Headteacher to reflect or anticipate changes in the job which are commensurate with the job title and salary weighting.</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This job description is a guide to the duties and should be read in conjunction with the accompanying person specification.</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bookmarkStart w:id="0" w:name="_Hlk169605747"/>
      <w:bookmarkEnd w:id="0"/>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Oak Trust are committed to safeguarding and promoting the welfare of its students and expects all employees and volunteers to share in this commitment. This post is subject to an enhanced DBS disclosure check through the Disclosure &amp; Barring Service.</w:t>
      </w:r>
    </w:p>
    <w:p>
      <w:pPr>
        <w:pStyle w:val="Normal"/>
        <w:rPr>
          <w:rFonts w:ascii="Calibri" w:hAnsi="Calibri" w:cs="Calibri"/>
        </w:rPr>
      </w:pPr>
      <w:r>
        <w:rPr>
          <w:rFonts w:cs="Calibri" w:ascii="Calibri" w:hAnsi="Calibri"/>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b/>
          <w:b/>
          <w:bCs/>
          <w:color w:val="002060"/>
          <w:sz w:val="28"/>
          <w:szCs w:val="28"/>
        </w:rPr>
      </w:pPr>
      <w:r>
        <w:rPr>
          <w:rFonts w:cs="Calibri" w:ascii="Calibri" w:hAnsi="Calibri"/>
          <w:b/>
          <w:bCs/>
          <w:color w:val="002060"/>
          <w:sz w:val="28"/>
          <w:szCs w:val="28"/>
        </w:rPr>
      </w:r>
    </w:p>
    <w:p>
      <w:pPr>
        <w:pStyle w:val="Normal"/>
        <w:rPr>
          <w:rFonts w:ascii="Calibri" w:hAnsi="Calibri" w:cs="Calibri"/>
          <w:b/>
          <w:b/>
          <w:bCs/>
          <w:color w:val="002060"/>
          <w:sz w:val="28"/>
          <w:szCs w:val="28"/>
        </w:rPr>
      </w:pPr>
      <w:r>
        <w:rPr>
          <w:rFonts w:cs="Calibri" w:ascii="Calibri" w:hAnsi="Calibri"/>
          <w:b/>
          <w:bCs/>
          <w:color w:val="002060"/>
          <w:sz w:val="28"/>
          <w:szCs w:val="28"/>
        </w:rPr>
      </w:r>
    </w:p>
    <w:p>
      <w:pPr>
        <w:pStyle w:val="Normal"/>
        <w:rPr>
          <w:rFonts w:ascii="Calibri" w:hAnsi="Calibri" w:cs="Calibri"/>
          <w:b/>
          <w:b/>
          <w:bCs/>
          <w:color w:val="002060"/>
          <w:sz w:val="28"/>
          <w:szCs w:val="28"/>
        </w:rPr>
      </w:pPr>
      <w:r>
        <w:rPr>
          <w:rFonts w:cs="Calibri" w:ascii="Calibri" w:hAnsi="Calibri"/>
          <w:b/>
          <w:bCs/>
          <w:color w:val="002060"/>
          <w:sz w:val="28"/>
          <w:szCs w:val="28"/>
        </w:rPr>
        <w:t>HR Manager - Person Specification</w:t>
      </w:r>
    </w:p>
    <w:p>
      <w:pPr>
        <w:pStyle w:val="Normal"/>
        <w:rPr>
          <w:rFonts w:ascii="Calibri" w:hAnsi="Calibri" w:cs="Calibri"/>
          <w:b/>
          <w:b/>
          <w:bCs/>
          <w:color w:val="002060"/>
          <w:sz w:val="28"/>
          <w:szCs w:val="28"/>
        </w:rPr>
      </w:pPr>
      <w:r>
        <w:rPr>
          <w:rFonts w:cs="Calibri" w:ascii="Calibri" w:hAnsi="Calibri"/>
          <w:b/>
          <w:bCs/>
          <w:color w:val="002060"/>
          <w:sz w:val="28"/>
          <w:szCs w:val="28"/>
        </w:rPr>
      </w:r>
    </w:p>
    <w:tbl>
      <w:tblPr>
        <w:tblW w:w="10692" w:type="dxa"/>
        <w:jc w:val="left"/>
        <w:tblInd w:w="0" w:type="dxa"/>
        <w:tblCellMar>
          <w:top w:w="0" w:type="dxa"/>
          <w:left w:w="108" w:type="dxa"/>
          <w:bottom w:w="0" w:type="dxa"/>
          <w:right w:w="108" w:type="dxa"/>
        </w:tblCellMar>
      </w:tblPr>
      <w:tblGrid>
        <w:gridCol w:w="8557"/>
        <w:gridCol w:w="1201"/>
        <w:gridCol w:w="934"/>
      </w:tblGrid>
      <w:tr>
        <w:trPr>
          <w:trHeight w:val="1550" w:hRule="atLeast"/>
          <w:cantSplit w:val="true"/>
        </w:trPr>
        <w:tc>
          <w:tcPr>
            <w:tcW w:w="8557" w:type="dxa"/>
            <w:tcBorders>
              <w:top w:val="single" w:sz="4" w:space="0" w:color="000000"/>
              <w:left w:val="single" w:sz="4" w:space="0" w:color="000000"/>
              <w:bottom w:val="single" w:sz="4" w:space="0" w:color="000000"/>
            </w:tcBorders>
            <w:shd w:fill="DEEAF6" w:val="clear"/>
          </w:tcPr>
          <w:p>
            <w:pPr>
              <w:pStyle w:val="Normal"/>
              <w:rPr>
                <w:rFonts w:ascii="Calibri" w:hAnsi="Calibri" w:cs="Calibri"/>
                <w:b/>
                <w:b/>
                <w:bCs/>
                <w:sz w:val="28"/>
                <w:szCs w:val="28"/>
              </w:rPr>
            </w:pPr>
            <w:r>
              <w:rPr>
                <w:rFonts w:cs="Calibri" w:ascii="Calibri" w:hAnsi="Calibri"/>
                <w:b/>
                <w:bCs/>
                <w:sz w:val="28"/>
                <w:szCs w:val="28"/>
              </w:rPr>
              <w:t>E = Essential    D = Desirable    A = Application    I = Interview</w:t>
            </w:r>
          </w:p>
          <w:p>
            <w:pPr>
              <w:pStyle w:val="Normal"/>
              <w:rPr>
                <w:rFonts w:ascii="Calibri" w:hAnsi="Calibri" w:cs="Calibri"/>
                <w:b/>
                <w:b/>
                <w:bCs/>
                <w:sz w:val="28"/>
                <w:szCs w:val="28"/>
              </w:rPr>
            </w:pPr>
            <w:r>
              <w:rPr>
                <w:rFonts w:cs="Calibri" w:ascii="Calibri" w:hAnsi="Calibri"/>
                <w:b/>
                <w:bCs/>
                <w:sz w:val="28"/>
                <w:szCs w:val="28"/>
              </w:rPr>
              <w:t>N.B. Any candidate with a disability who meets the essential criteria will be guaranteed an interview</w:t>
            </w:r>
          </w:p>
          <w:p>
            <w:pPr>
              <w:pStyle w:val="Normal"/>
              <w:rPr>
                <w:rFonts w:ascii="Calibri" w:hAnsi="Calibri" w:cs="Calibri"/>
                <w:sz w:val="28"/>
                <w:szCs w:val="28"/>
              </w:rPr>
            </w:pPr>
            <w:r>
              <w:rPr>
                <w:rFonts w:cs="Calibri" w:ascii="Calibri" w:hAnsi="Calibri"/>
                <w:sz w:val="28"/>
                <w:szCs w:val="28"/>
              </w:rPr>
            </w:r>
          </w:p>
        </w:tc>
        <w:tc>
          <w:tcPr>
            <w:tcW w:w="1201" w:type="dxa"/>
            <w:tcBorders>
              <w:top w:val="single" w:sz="4" w:space="0" w:color="000000"/>
              <w:left w:val="single" w:sz="4" w:space="0" w:color="000000"/>
              <w:bottom w:val="single" w:sz="4" w:space="0" w:color="000000"/>
            </w:tcBorders>
            <w:shd w:fill="auto" w:val="clear"/>
            <w:textDirection w:val="btLr"/>
          </w:tcPr>
          <w:p>
            <w:pPr>
              <w:pStyle w:val="Normal"/>
              <w:ind w:left="113" w:right="113" w:hanging="0"/>
              <w:rPr>
                <w:rFonts w:ascii="Calibri" w:hAnsi="Calibri" w:cs="Calibri"/>
                <w:sz w:val="28"/>
                <w:szCs w:val="28"/>
              </w:rPr>
            </w:pPr>
            <w:r>
              <w:rPr>
                <w:rFonts w:cs="Calibri" w:ascii="Calibri" w:hAnsi="Calibri"/>
                <w:sz w:val="28"/>
                <w:szCs w:val="28"/>
              </w:rPr>
              <w:t xml:space="preserve">Essential or </w:t>
            </w:r>
          </w:p>
          <w:p>
            <w:pPr>
              <w:pStyle w:val="Normal"/>
              <w:ind w:left="113" w:right="113" w:hanging="0"/>
              <w:rPr>
                <w:rFonts w:ascii="Calibri" w:hAnsi="Calibri" w:cs="Calibri"/>
                <w:sz w:val="28"/>
                <w:szCs w:val="28"/>
              </w:rPr>
            </w:pPr>
            <w:r>
              <w:rPr>
                <w:rFonts w:cs="Calibri" w:ascii="Calibri" w:hAnsi="Calibri"/>
                <w:sz w:val="28"/>
                <w:szCs w:val="28"/>
              </w:rPr>
              <w:t>Desirable</w:t>
            </w:r>
          </w:p>
        </w:tc>
        <w:tc>
          <w:tcPr>
            <w:tcW w:w="934"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rPr>
                <w:rFonts w:ascii="Calibri" w:hAnsi="Calibri" w:cs="Calibri"/>
                <w:sz w:val="28"/>
                <w:szCs w:val="28"/>
              </w:rPr>
            </w:pPr>
            <w:r>
              <w:rPr>
                <w:rFonts w:cs="Calibri" w:ascii="Calibri" w:hAnsi="Calibri"/>
                <w:sz w:val="28"/>
                <w:szCs w:val="28"/>
              </w:rPr>
              <w:t>Application</w:t>
            </w:r>
          </w:p>
          <w:p>
            <w:pPr>
              <w:pStyle w:val="Normal"/>
              <w:ind w:left="113" w:right="113" w:hanging="0"/>
              <w:rPr>
                <w:rFonts w:ascii="Calibri" w:hAnsi="Calibri" w:cs="Calibri"/>
                <w:sz w:val="28"/>
                <w:szCs w:val="28"/>
              </w:rPr>
            </w:pPr>
            <w:r>
              <w:rPr>
                <w:rFonts w:cs="Calibri" w:ascii="Calibri" w:hAnsi="Calibri"/>
                <w:sz w:val="28"/>
                <w:szCs w:val="28"/>
              </w:rPr>
              <w:t>/Interview</w:t>
            </w:r>
          </w:p>
        </w:tc>
      </w:tr>
      <w:tr>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8"/>
                <w:szCs w:val="28"/>
              </w:rPr>
            </w:pPr>
            <w:r>
              <w:rPr>
                <w:rFonts w:cs="Calibri" w:ascii="Calibri" w:hAnsi="Calibri"/>
                <w:color w:val="00B0F0"/>
                <w:sz w:val="28"/>
                <w:szCs w:val="28"/>
              </w:rPr>
              <w:t>Qualifications</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8"/>
                <w:szCs w:val="28"/>
              </w:rPr>
            </w:pPr>
            <w:r>
              <w:rPr>
                <w:rFonts w:cs="Calibri" w:ascii="Calibri" w:hAnsi="Calibri"/>
                <w:sz w:val="28"/>
                <w:szCs w:val="28"/>
              </w:rPr>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CIPD Level 5 qualification (or working towards) or equivalent professional HR management experience.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Evidence of continuing professional development in HR and employment law.</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CIPD Level 7 qualification.</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CIPD Membership.</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Safer Recruitment Training.</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Leadership or Management qualification.</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8"/>
                <w:szCs w:val="28"/>
              </w:rPr>
            </w:pPr>
            <w:r>
              <w:rPr>
                <w:rFonts w:cs="Calibri" w:ascii="Calibri" w:hAnsi="Calibri"/>
                <w:color w:val="00B0F0"/>
                <w:sz w:val="28"/>
                <w:szCs w:val="28"/>
              </w:rPr>
              <w:t>Skills and Abilities</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8"/>
                <w:szCs w:val="28"/>
              </w:rPr>
            </w:pPr>
            <w:r>
              <w:rPr>
                <w:rFonts w:cs="Calibri" w:ascii="Calibri" w:hAnsi="Calibri"/>
                <w:sz w:val="28"/>
                <w:szCs w:val="28"/>
              </w:rPr>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Strong analytical and problem-solving skills.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Ability to produce reports and present information to senior leaders, Trustees and committees.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Strong organisational skills with the ability to prioritise competing demands and work effectively under pressure.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Strong ICT skills and confidence in the use of HR systems, databases and Microsoft Office applications.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Ability to identify opportunities for service improvement and implement effective solutions.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Ability to lead by example and promote professional standards and best practice.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Ability to develop positive working relationships and credibility with leaders at all levels.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Ability to coach and support managers in developing their people management capability.</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Ability to support organisational change and continuous improvement initiatives.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Ability to translate strategic priorities into practical actions and outcomes.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Knowledge of education sector employment practices and national terms and conditions.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Knowledge of School Workforce Census requirements.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Understanding of academy trust governance structures.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8"/>
                <w:szCs w:val="28"/>
              </w:rPr>
            </w:pPr>
            <w:r>
              <w:rPr>
                <w:rFonts w:cs="Calibri" w:ascii="Calibri" w:hAnsi="Calibri"/>
                <w:color w:val="00B0F0"/>
                <w:sz w:val="28"/>
                <w:szCs w:val="28"/>
              </w:rPr>
              <w:t>Experience</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8"/>
                <w:szCs w:val="28"/>
              </w:rPr>
            </w:pPr>
            <w:r>
              <w:rPr>
                <w:rFonts w:cs="Calibri" w:ascii="Calibri" w:hAnsi="Calibri"/>
                <w:sz w:val="28"/>
                <w:szCs w:val="28"/>
              </w:rPr>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Significant experience of providing professional HR advice and guidance across a broad range of employee relations matters.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managing disciplinary, grievance, capability, attendance management and other complex employment cases.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advising and supporting senior leaders and managers on employment and people management matters.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developing, reviewing and implementing HR policies and procedures.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leading recruitment and selection processes, including safer recruitment requirements.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workforce planning, organisational change, restructuring, consultation or TUPE processes.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managing, developing or improving HR systems and processes.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producing, analysing and presenting workforce data, reports and management information.</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delivering training, coaching or workshops to managers and staff.</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building effective relationships with a wide range of stakeholders.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line management and staff development.</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working in a Multi Academy Trust, school or education environment.</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working with recognised trade unions.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supporting payroll processes.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Experience of using SAMpeople, Face-Ed or similar HR and recruitment systems.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D</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rHeight w:val="443" w:hRule="atLeast"/>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8"/>
                <w:szCs w:val="28"/>
              </w:rPr>
            </w:pPr>
            <w:r>
              <w:rPr>
                <w:rFonts w:cs="Calibri" w:ascii="Calibri" w:hAnsi="Calibri"/>
                <w:color w:val="00B0F0"/>
                <w:sz w:val="28"/>
                <w:szCs w:val="28"/>
              </w:rPr>
              <w:t>Knowledge</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r>
      <w:tr>
        <w:trPr>
          <w:trHeight w:val="443" w:hRule="atLeast"/>
        </w:trPr>
        <w:tc>
          <w:tcPr>
            <w:tcW w:w="8557" w:type="dxa"/>
            <w:tcBorders>
              <w:top w:val="single" w:sz="4" w:space="0" w:color="000000"/>
              <w:left w:val="single" w:sz="4" w:space="0" w:color="000000"/>
              <w:bottom w:val="single" w:sz="4" w:space="0" w:color="000000"/>
            </w:tcBorders>
            <w:shd w:fill="auto" w:val="clear"/>
            <w:vAlign w:val="center"/>
          </w:tcPr>
          <w:p>
            <w:pPr>
              <w:pStyle w:val="Normal"/>
              <w:rPr>
                <w:rFonts w:ascii="Calibri" w:hAnsi="Calibri" w:cs="Calibri"/>
              </w:rPr>
            </w:pPr>
            <w:r>
              <w:rPr>
                <w:rFonts w:cs="Calibri" w:ascii="Calibri" w:hAnsi="Calibri"/>
              </w:rPr>
              <w:t>Sound knowledge of current employment law and HR best practice.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Knowledge of employee relations processes and procedures.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Knowledge and understanding of safeguarding requirements relating to recruitment, employment and the maintenance of Single Central Records.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Knowledge of GDPR and data protection requirements.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Understanding of equality, diversity and inclusion principles within employment practice.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Understanding of workforce planning, employee wellbeing and staff engagement strategies.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Excellent verbal and written communication skills.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Ability to influence, challenge and advise leaders professionally and constructively.</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Ability to interpret workforce data and translate findings into meaningful management information and recommendations.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color w:val="00B0F0"/>
                <w:sz w:val="28"/>
                <w:szCs w:val="28"/>
              </w:rPr>
            </w:pPr>
            <w:r>
              <w:rPr>
                <w:rFonts w:cs="Calibri" w:ascii="Calibri" w:hAnsi="Calibri"/>
                <w:color w:val="00B0F0"/>
                <w:sz w:val="28"/>
                <w:szCs w:val="28"/>
              </w:rPr>
              <w:t>Personal</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Professional, credible and approachable manner.</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High levels of integrity, discretion and confidentiality.</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Strong customer focus and commitment to delivering a high-quality service.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Proactive, resilient and solutions-focused approach.</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Ability to work collaboratively whilst also exercising initiative and professional judgement.</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Commitment to equality, diversity and inclusion.</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Commitment to safeguarding and promoting the welfare of children and young people.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Commitment to continuous professional development and improvement.</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Ability to travel between Trust schools and sites as required.</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Satisfactory enhanced DBS clearance and all pre-employment checks.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r>
        <w:trPr/>
        <w:tc>
          <w:tcPr>
            <w:tcW w:w="855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2687" w:leader="none"/>
              </w:tabs>
              <w:rPr>
                <w:rFonts w:ascii="Calibri" w:hAnsi="Calibri" w:cs="Calibri"/>
              </w:rPr>
            </w:pPr>
            <w:r>
              <w:rPr>
                <w:rFonts w:cs="Calibri" w:ascii="Calibri" w:hAnsi="Calibri"/>
              </w:rPr>
              <w:t>Commitment to supporting the vision, values and ethos of The Oak Trust.</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A,I</w:t>
            </w:r>
          </w:p>
        </w:tc>
      </w:tr>
    </w:tbl>
    <w:p>
      <w:pPr>
        <w:pStyle w:val="Normal"/>
        <w:rPr>
          <w:rFonts w:ascii="Calibri" w:hAnsi="Calibri" w:cs="Calibri"/>
          <w:sz w:val="28"/>
          <w:szCs w:val="28"/>
        </w:rPr>
      </w:pPr>
      <w:r>
        <w:rPr>
          <w:rFonts w:cs="Calibri" w:ascii="Calibri" w:hAnsi="Calibri"/>
          <w:sz w:val="28"/>
          <w:szCs w:val="28"/>
        </w:rPr>
        <w:t>Key:  I = Interview    R = References    A = Application    D = Documentation    T = Test</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NB. – Any candidate with a disability who meets the essential criteria will be guaranteed an interview.</w:t>
      </w:r>
    </w:p>
    <w:sectPr>
      <w:headerReference w:type="default" r:id="rId2"/>
      <w:headerReference w:type="first" r:id="rId3"/>
      <w:footerReference w:type="default" r:id="rId4"/>
      <w:footerReference w:type="first" r:id="rId5"/>
      <w:type w:val="nextPage"/>
      <w:pgSz w:w="11906" w:h="16838"/>
      <w:pgMar w:left="720" w:right="720" w:header="709" w:top="766"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page">
            <wp:posOffset>154305</wp:posOffset>
          </wp:positionH>
          <wp:positionV relativeFrom="paragraph">
            <wp:posOffset>-219075</wp:posOffset>
          </wp:positionV>
          <wp:extent cx="2837815" cy="1333500"/>
          <wp:effectExtent l="0" t="0" r="0" b="0"/>
          <wp:wrapTight wrapText="bothSides">
            <wp:wrapPolygon edited="0">
              <wp:start x="-18" y="0"/>
              <wp:lineTo x="-18" y="21258"/>
              <wp:lineTo x="21450" y="21258"/>
              <wp:lineTo x="21450" y="0"/>
              <wp:lineTo x="-18"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201" t="18992" r="55911" b="-24"/>
                  <a:stretch>
                    <a:fillRect/>
                  </a:stretch>
                </pic:blipFill>
                <pic:spPr bwMode="auto">
                  <a:xfrm>
                    <a:off x="0" y="0"/>
                    <a:ext cx="2837815" cy="13335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8"/>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8"/>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verflowPunct w:val="true"/>
      <w:jc w:val="center"/>
      <w:textAlignment w:val="baseline"/>
      <w:outlineLvl w:val="0"/>
    </w:pPr>
    <w:rPr>
      <w:rFonts w:cs="Times New Roman"/>
      <w:b/>
      <w:szCs w:val="20"/>
      <w:lang w:eastAsia="en-GB"/>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character" w:styleId="WW8Num1z0">
    <w:name w:val="WW8Num1z0"/>
    <w:qFormat/>
    <w:rPr>
      <w:rFonts w:ascii="Symbol" w:hAnsi="Symbol" w:cs="Arial"/>
      <w:sz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8"/>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8"/>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8"/>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8"/>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8"/>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b/>
      <w:sz w:val="28"/>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8"/>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Heading1Char">
    <w:name w:val="Heading 1 Char"/>
    <w:qFormat/>
    <w:rPr>
      <w:rFonts w:ascii="Arial" w:hAnsi="Arial" w:cs="Arial"/>
      <w:b/>
      <w:sz w:val="24"/>
    </w:rPr>
  </w:style>
  <w:style w:type="character" w:styleId="TitleChar">
    <w:name w:val="Title Char"/>
    <w:qFormat/>
    <w:rPr>
      <w:rFonts w:ascii="Arial" w:hAnsi="Arial" w:cs="Arial"/>
      <w:b/>
      <w:sz w:val="24"/>
    </w:rPr>
  </w:style>
  <w:style w:type="character" w:styleId="BalloonTextChar">
    <w:name w:val="Balloon Text Char"/>
    <w:qFormat/>
    <w:rPr>
      <w:rFonts w:ascii="Tahoma" w:hAnsi="Tahoma" w:cs="Tahoma"/>
      <w:sz w:val="16"/>
      <w:szCs w:val="16"/>
      <w:lang w:eastAsia="en-US"/>
    </w:rPr>
  </w:style>
  <w:style w:type="character" w:styleId="ListParagraphChar">
    <w:name w:val="List Paragraph Char"/>
    <w:qFormat/>
    <w:rPr>
      <w:rFonts w:ascii="Arial" w:hAnsi="Arial" w:cs="Arial"/>
      <w:sz w:val="24"/>
      <w:szCs w:val="24"/>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color w:val="FF000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Default">
    <w:name w:val="Default"/>
    <w:qFormat/>
    <w:pPr>
      <w:widowControl/>
      <w:suppressAutoHyphens w:val="true"/>
      <w:bidi w:val="0"/>
      <w:spacing w:before="0" w:after="0"/>
      <w:jc w:val="left"/>
    </w:pPr>
    <w:rPr>
      <w:rFonts w:ascii="Times New Roman" w:hAnsi="Times New Roman" w:eastAsia="Aptos" w:cs="Times New Roman"/>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2026-06-17T13:24:00Z</dcterms:created>
  <dc:creator>Elaine Middleton</dc:creator>
  <dc:description/>
  <dc:language>en-US</dc:language>
  <cp:lastModifiedBy>J PENNEY</cp:lastModifiedBy>
  <cp:lastPrinted>1995-11-21T17:41:00Z</cp:lastPrinted>
  <dcterms:modified xsi:type="dcterms:W3CDTF">2026-06-17T13:29:00Z</dcterms:modified>
  <cp:revision>3</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