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pBdr/>
        <w:jc w:val="center"/>
        <w:rPr>
          <w:rFonts w:ascii="Arial" w:hAnsi="Arial" w:eastAsia="Arial" w:cs="Arial"/>
          <w:b/>
          <w:b/>
          <w:color w:val="000000"/>
        </w:rPr>
      </w:pPr>
      <w:r>
        <w:rPr>
          <w:rFonts w:eastAsia="Arial" w:cs="Arial" w:ascii="Arial" w:hAnsi="Arial"/>
          <w:b/>
          <w:color w:val="000000"/>
        </w:rPr>
        <w:drawing>
          <wp:anchor behindDoc="0" distT="0" distB="0" distL="0" distR="0" simplePos="0" locked="0" layoutInCell="1" allowOverlap="1" relativeHeight="2">
            <wp:simplePos x="0" y="0"/>
            <wp:positionH relativeFrom="column">
              <wp:posOffset>4683760</wp:posOffset>
            </wp:positionH>
            <wp:positionV relativeFrom="paragraph">
              <wp:posOffset>-276225</wp:posOffset>
            </wp:positionV>
            <wp:extent cx="1047115" cy="101727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1" t="-11" r="-11" b="-11"/>
                    <a:stretch>
                      <a:fillRect/>
                    </a:stretch>
                  </pic:blipFill>
                  <pic:spPr bwMode="auto">
                    <a:xfrm>
                      <a:off x="0" y="0"/>
                      <a:ext cx="1047115" cy="1017270"/>
                    </a:xfrm>
                    <a:prstGeom prst="rect">
                      <a:avLst/>
                    </a:prstGeom>
                  </pic:spPr>
                </pic:pic>
              </a:graphicData>
            </a:graphic>
          </wp:anchor>
        </w:drawing>
      </w:r>
    </w:p>
    <w:p>
      <w:pPr>
        <w:pStyle w:val="Normal"/>
        <w:pBdr/>
        <w:rPr>
          <w:rFonts w:ascii="Arial" w:hAnsi="Arial" w:eastAsia="Arial" w:cs="Arial"/>
          <w:b/>
          <w:b/>
          <w:color w:val="000000"/>
        </w:rPr>
      </w:pPr>
      <w:r>
        <w:rPr>
          <w:rFonts w:eastAsia="Arial" w:cs="Arial" w:ascii="Arial" w:hAnsi="Arial"/>
          <w:b/>
          <w:color w:val="000000"/>
        </w:rPr>
      </w:r>
    </w:p>
    <w:p>
      <w:pPr>
        <w:pStyle w:val="Normal"/>
        <w:pBdr/>
        <w:jc w:val="center"/>
        <w:rPr>
          <w:rFonts w:ascii="Arial" w:hAnsi="Arial" w:eastAsia="Arial" w:cs="Arial"/>
          <w:b/>
          <w:b/>
          <w:color w:val="000000"/>
        </w:rPr>
      </w:pPr>
      <w:r>
        <w:rPr>
          <w:rFonts w:eastAsia="Arial" w:cs="Arial" w:ascii="Arial" w:hAnsi="Arial"/>
          <w:b/>
          <w:color w:val="000000"/>
        </w:rPr>
      </w:r>
    </w:p>
    <w:p>
      <w:pPr>
        <w:pStyle w:val="Normal"/>
        <w:pBdr/>
        <w:jc w:val="center"/>
        <w:rPr>
          <w:rFonts w:ascii="Arial" w:hAnsi="Arial" w:eastAsia="Arial" w:cs="Arial"/>
          <w:b/>
          <w:b/>
          <w:color w:val="000000"/>
        </w:rPr>
      </w:pPr>
      <w:r>
        <w:rPr>
          <w:rFonts w:eastAsia="Arial" w:cs="Arial" w:ascii="Arial" w:hAnsi="Arial"/>
          <w:b/>
          <w:color w:val="000000"/>
        </w:rPr>
        <w:t>Northern Education Trust – Job Description</w:t>
      </w:r>
    </w:p>
    <w:p>
      <w:pPr>
        <w:pStyle w:val="Normal"/>
        <w:pBdr/>
        <w:jc w:val="center"/>
        <w:rPr>
          <w:rFonts w:ascii="Arial" w:hAnsi="Arial" w:eastAsia="Arial" w:cs="Arial"/>
          <w:b/>
          <w:b/>
          <w:color w:val="000000"/>
          <w:sz w:val="22"/>
          <w:szCs w:val="22"/>
        </w:rPr>
      </w:pPr>
      <w:r>
        <w:rPr>
          <w:rFonts w:eastAsia="Arial" w:cs="Arial" w:ascii="Arial" w:hAnsi="Arial"/>
          <w:b/>
          <w:color w:val="000000"/>
          <w:sz w:val="22"/>
          <w:szCs w:val="22"/>
        </w:rPr>
      </w:r>
    </w:p>
    <w:tbl>
      <w:tblPr>
        <w:tblW w:w="9025" w:type="dxa"/>
        <w:jc w:val="left"/>
        <w:tblInd w:w="0" w:type="dxa"/>
        <w:tblCellMar>
          <w:top w:w="0" w:type="dxa"/>
          <w:left w:w="108" w:type="dxa"/>
          <w:bottom w:w="0" w:type="dxa"/>
          <w:right w:w="108" w:type="dxa"/>
        </w:tblCellMar>
      </w:tblPr>
      <w:tblGrid>
        <w:gridCol w:w="2688"/>
        <w:gridCol w:w="2110"/>
        <w:gridCol w:w="507"/>
        <w:gridCol w:w="1069"/>
        <w:gridCol w:w="533"/>
        <w:gridCol w:w="2118"/>
      </w:tblGrid>
      <w:tr>
        <w:trPr/>
        <w:tc>
          <w:tcPr>
            <w:tcW w:w="2688"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Job Title:</w:t>
            </w:r>
          </w:p>
        </w:tc>
        <w:tc>
          <w:tcPr>
            <w:tcW w:w="2110"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Teaching Assistant Level 3</w:t>
            </w:r>
          </w:p>
        </w:tc>
        <w:tc>
          <w:tcPr>
            <w:tcW w:w="2109" w:type="dxa"/>
            <w:gridSpan w:val="3"/>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 xml:space="preserve">JE Reference </w:t>
            </w:r>
          </w:p>
        </w:tc>
        <w:tc>
          <w:tcPr>
            <w:tcW w:w="2118" w:type="dxa"/>
            <w:tcBorders>
              <w:top w:val="single" w:sz="4" w:space="0" w:color="000000"/>
              <w:left w:val="single" w:sz="4" w:space="0" w:color="000000"/>
              <w:bottom w:val="single" w:sz="4" w:space="0" w:color="000000"/>
              <w:right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JE039</w:t>
            </w:r>
          </w:p>
        </w:tc>
      </w:tr>
      <w:tr>
        <w:trPr/>
        <w:tc>
          <w:tcPr>
            <w:tcW w:w="2688"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Base:</w:t>
            </w:r>
          </w:p>
        </w:tc>
        <w:tc>
          <w:tcPr>
            <w:tcW w:w="6337" w:type="dxa"/>
            <w:gridSpan w:val="5"/>
            <w:tcBorders>
              <w:top w:val="single" w:sz="4" w:space="0" w:color="000000"/>
              <w:left w:val="single" w:sz="4" w:space="0" w:color="000000"/>
              <w:bottom w:val="single" w:sz="4" w:space="0" w:color="000000"/>
              <w:right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 xml:space="preserve">Academy </w:t>
            </w:r>
          </w:p>
        </w:tc>
      </w:tr>
      <w:tr>
        <w:trPr/>
        <w:tc>
          <w:tcPr>
            <w:tcW w:w="2688"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Reports to:</w:t>
            </w:r>
          </w:p>
        </w:tc>
        <w:tc>
          <w:tcPr>
            <w:tcW w:w="2617" w:type="dxa"/>
            <w:gridSpan w:val="2"/>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Vice-Principal/Principal</w:t>
            </w:r>
          </w:p>
        </w:tc>
        <w:tc>
          <w:tcPr>
            <w:tcW w:w="1069"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Grade:</w:t>
            </w:r>
          </w:p>
        </w:tc>
        <w:tc>
          <w:tcPr>
            <w:tcW w:w="2651" w:type="dxa"/>
            <w:gridSpan w:val="2"/>
            <w:tcBorders>
              <w:top w:val="single" w:sz="4" w:space="0" w:color="000000"/>
              <w:left w:val="single" w:sz="4" w:space="0" w:color="000000"/>
              <w:bottom w:val="single" w:sz="4" w:space="0" w:color="000000"/>
              <w:right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Grade 4</w:t>
            </w:r>
          </w:p>
          <w:p>
            <w:pPr>
              <w:pStyle w:val="Normal"/>
              <w:pBdr/>
              <w:rPr>
                <w:rFonts w:ascii="Arial" w:hAnsi="Arial" w:eastAsia="Arial" w:cs="Arial"/>
                <w:color w:val="000000"/>
              </w:rPr>
            </w:pPr>
            <w:r>
              <w:rPr>
                <w:rFonts w:eastAsia="Arial" w:cs="Arial" w:ascii="Arial" w:hAnsi="Arial"/>
                <w:color w:val="000000"/>
              </w:rPr>
              <w:t>SCP10 – SCP12</w:t>
            </w:r>
          </w:p>
        </w:tc>
      </w:tr>
      <w:tr>
        <w:trPr/>
        <w:tc>
          <w:tcPr>
            <w:tcW w:w="2688"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Service responsibility:</w:t>
            </w:r>
          </w:p>
        </w:tc>
        <w:tc>
          <w:tcPr>
            <w:tcW w:w="2617" w:type="dxa"/>
            <w:gridSpan w:val="2"/>
            <w:tcBorders>
              <w:top w:val="single" w:sz="4" w:space="0" w:color="000000"/>
              <w:left w:val="single" w:sz="4" w:space="0" w:color="000000"/>
              <w:bottom w:val="single" w:sz="4" w:space="0" w:color="000000"/>
            </w:tcBorders>
            <w:shd w:fill="F2F2F2" w:val="clear"/>
          </w:tcPr>
          <w:p>
            <w:pPr>
              <w:pStyle w:val="Normal"/>
              <w:pBdr/>
              <w:snapToGrid w:val="false"/>
              <w:rPr>
                <w:rFonts w:ascii="Arial" w:hAnsi="Arial" w:eastAsia="Arial" w:cs="Arial"/>
                <w:color w:val="000000"/>
              </w:rPr>
            </w:pPr>
            <w:r>
              <w:rPr>
                <w:rFonts w:eastAsia="Arial" w:cs="Arial" w:ascii="Arial" w:hAnsi="Arial"/>
                <w:color w:val="000000"/>
              </w:rPr>
            </w:r>
          </w:p>
        </w:tc>
        <w:tc>
          <w:tcPr>
            <w:tcW w:w="1069"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Salary:</w:t>
            </w:r>
          </w:p>
        </w:tc>
        <w:tc>
          <w:tcPr>
            <w:tcW w:w="2651" w:type="dxa"/>
            <w:gridSpan w:val="2"/>
            <w:tcBorders>
              <w:top w:val="single" w:sz="4" w:space="0" w:color="000000"/>
              <w:left w:val="single" w:sz="4" w:space="0" w:color="000000"/>
              <w:bottom w:val="single" w:sz="4" w:space="0" w:color="000000"/>
              <w:right w:val="single" w:sz="4" w:space="0" w:color="000000"/>
            </w:tcBorders>
            <w:shd w:fill="F2F2F2" w:val="clear"/>
          </w:tcPr>
          <w:p>
            <w:pPr>
              <w:pStyle w:val="Normal"/>
              <w:pBdr/>
              <w:rPr/>
            </w:pPr>
            <w:bookmarkStart w:id="0" w:name="_heading=h.jn1pbs1nixr8"/>
            <w:bookmarkEnd w:id="0"/>
            <w:r>
              <w:rPr>
                <w:rFonts w:eastAsia="Arial" w:cs="Arial" w:ascii="Arial" w:hAnsi="Arial"/>
                <w:color w:val="000000"/>
              </w:rPr>
              <w:t>£2</w:t>
            </w:r>
            <w:r>
              <w:rPr>
                <w:rFonts w:eastAsia="Arial" w:cs="Arial" w:ascii="Arial" w:hAnsi="Arial"/>
              </w:rPr>
              <w:t>7</w:t>
            </w:r>
            <w:r>
              <w:rPr>
                <w:rFonts w:eastAsia="Arial" w:cs="Arial" w:ascii="Arial" w:hAnsi="Arial"/>
                <w:color w:val="000000"/>
              </w:rPr>
              <w:t>,</w:t>
            </w:r>
            <w:r>
              <w:rPr>
                <w:rFonts w:eastAsia="Arial" w:cs="Arial" w:ascii="Arial" w:hAnsi="Arial"/>
              </w:rPr>
              <w:t>694</w:t>
            </w:r>
            <w:r>
              <w:rPr>
                <w:rFonts w:eastAsia="Arial" w:cs="Arial" w:ascii="Arial" w:hAnsi="Arial"/>
                <w:color w:val="000000"/>
              </w:rPr>
              <w:t>.00 - £2</w:t>
            </w:r>
            <w:r>
              <w:rPr>
                <w:rFonts w:eastAsia="Arial" w:cs="Arial" w:ascii="Arial" w:hAnsi="Arial"/>
              </w:rPr>
              <w:t>8</w:t>
            </w:r>
            <w:r>
              <w:rPr>
                <w:rFonts w:eastAsia="Arial" w:cs="Arial" w:ascii="Arial" w:hAnsi="Arial"/>
                <w:color w:val="000000"/>
              </w:rPr>
              <w:t>,</w:t>
            </w:r>
            <w:r>
              <w:rPr>
                <w:rFonts w:eastAsia="Arial" w:cs="Arial" w:ascii="Arial" w:hAnsi="Arial"/>
              </w:rPr>
              <w:t>598</w:t>
            </w:r>
            <w:r>
              <w:rPr>
                <w:rFonts w:eastAsia="Arial" w:cs="Arial" w:ascii="Arial" w:hAnsi="Arial"/>
                <w:color w:val="000000"/>
              </w:rPr>
              <w:t>.00 (FTE) £21,822-£22,535 pro-rata</w:t>
            </w:r>
          </w:p>
        </w:tc>
      </w:tr>
      <w:tr>
        <w:trPr/>
        <w:tc>
          <w:tcPr>
            <w:tcW w:w="2688"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Additional:</w:t>
            </w:r>
          </w:p>
        </w:tc>
        <w:tc>
          <w:tcPr>
            <w:tcW w:w="2617" w:type="dxa"/>
            <w:gridSpan w:val="2"/>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Some travel may be required across NET sites.</w:t>
            </w:r>
          </w:p>
        </w:tc>
        <w:tc>
          <w:tcPr>
            <w:tcW w:w="1069" w:type="dxa"/>
            <w:tcBorders>
              <w:top w:val="single" w:sz="4" w:space="0" w:color="000000"/>
              <w:left w:val="single" w:sz="4" w:space="0" w:color="000000"/>
              <w:bottom w:val="single" w:sz="4" w:space="0" w:color="000000"/>
            </w:tcBorders>
            <w:shd w:fill="F2F2F2" w:val="clear"/>
          </w:tcPr>
          <w:p>
            <w:pPr>
              <w:pStyle w:val="Normal"/>
              <w:pBdr/>
              <w:rPr>
                <w:rFonts w:ascii="Arial" w:hAnsi="Arial" w:eastAsia="Arial" w:cs="Arial"/>
                <w:b/>
                <w:b/>
                <w:color w:val="000000"/>
              </w:rPr>
            </w:pPr>
            <w:r>
              <w:rPr>
                <w:rFonts w:eastAsia="Arial" w:cs="Arial" w:ascii="Arial" w:hAnsi="Arial"/>
                <w:b/>
                <w:color w:val="000000"/>
              </w:rPr>
              <w:t>Term:</w:t>
            </w:r>
          </w:p>
        </w:tc>
        <w:tc>
          <w:tcPr>
            <w:tcW w:w="2651" w:type="dxa"/>
            <w:gridSpan w:val="2"/>
            <w:tcBorders>
              <w:top w:val="single" w:sz="4" w:space="0" w:color="000000"/>
              <w:left w:val="single" w:sz="4" w:space="0" w:color="000000"/>
              <w:bottom w:val="single" w:sz="4" w:space="0" w:color="000000"/>
              <w:right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39 weeks, 33 hours</w:t>
            </w:r>
          </w:p>
        </w:tc>
      </w:tr>
    </w:tbl>
    <w:p>
      <w:pPr>
        <w:pStyle w:val="Normal"/>
        <w:pBdr/>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pBdr/>
        <w:rPr>
          <w:rFonts w:ascii="Arial" w:hAnsi="Arial" w:eastAsia="Arial" w:cs="Arial"/>
          <w:b/>
          <w:b/>
          <w:color w:val="000000"/>
          <w:sz w:val="22"/>
          <w:szCs w:val="22"/>
        </w:rPr>
      </w:pPr>
      <w:r>
        <w:rPr>
          <w:rFonts w:eastAsia="Arial" w:cs="Arial" w:ascii="Arial" w:hAnsi="Arial"/>
          <w:b/>
          <w:color w:val="000000"/>
          <w:sz w:val="22"/>
          <w:szCs w:val="22"/>
        </w:rPr>
        <w:t>JOB PURPOSE</w:t>
      </w:r>
    </w:p>
    <w:p>
      <w:pPr>
        <w:pStyle w:val="Normal"/>
        <w:numPr>
          <w:ilvl w:val="0"/>
          <w:numId w:val="7"/>
        </w:numPr>
        <w:pBdr/>
        <w:rPr>
          <w:rFonts w:ascii="Arial" w:hAnsi="Arial" w:eastAsia="Arial" w:cs="Arial"/>
          <w:color w:val="000000"/>
          <w:sz w:val="22"/>
          <w:szCs w:val="22"/>
        </w:rPr>
      </w:pPr>
      <w:r>
        <w:rPr>
          <w:rFonts w:eastAsia="Arial" w:cs="Arial" w:ascii="Arial" w:hAnsi="Arial"/>
          <w:color w:val="000000"/>
          <w:sz w:val="22"/>
          <w:szCs w:val="22"/>
        </w:rPr>
        <w:t>To work under the guidance of teaching/senior staff and within an agreed system of supervision, to implement agreed work programmes with individuals/groups, in or out of the classroom</w:t>
      </w:r>
    </w:p>
    <w:p>
      <w:pPr>
        <w:pStyle w:val="Normal"/>
        <w:numPr>
          <w:ilvl w:val="0"/>
          <w:numId w:val="7"/>
        </w:numPr>
        <w:pBdr/>
        <w:rPr>
          <w:rFonts w:ascii="Arial" w:hAnsi="Arial" w:eastAsia="Arial" w:cs="Arial"/>
          <w:color w:val="000000"/>
          <w:sz w:val="22"/>
          <w:szCs w:val="22"/>
        </w:rPr>
      </w:pPr>
      <w:r>
        <w:rPr>
          <w:rFonts w:eastAsia="Arial" w:cs="Arial" w:ascii="Arial" w:hAnsi="Arial"/>
          <w:color w:val="000000"/>
          <w:sz w:val="22"/>
          <w:szCs w:val="22"/>
        </w:rPr>
        <w:t>This could include those requiring detailed and specialist knowledge in particular areas and will involve assisting the teacher in the whole planning cycle and the management/preparation of resources</w:t>
      </w:r>
    </w:p>
    <w:p>
      <w:pPr>
        <w:pStyle w:val="Normal"/>
        <w:numPr>
          <w:ilvl w:val="0"/>
          <w:numId w:val="7"/>
        </w:numPr>
        <w:pBdr/>
        <w:rPr>
          <w:rFonts w:ascii="Arial" w:hAnsi="Arial" w:eastAsia="Arial" w:cs="Arial"/>
          <w:color w:val="000000"/>
          <w:sz w:val="22"/>
          <w:szCs w:val="22"/>
        </w:rPr>
      </w:pPr>
      <w:r>
        <w:rPr>
          <w:rFonts w:eastAsia="Arial" w:cs="Arial" w:ascii="Arial" w:hAnsi="Arial"/>
          <w:color w:val="000000"/>
          <w:sz w:val="22"/>
          <w:szCs w:val="22"/>
        </w:rPr>
        <w:t>This may include providing support in addressing the needs of pupils who need particular help in overcoming barriers to learning</w:t>
      </w:r>
    </w:p>
    <w:p>
      <w:pPr>
        <w:pStyle w:val="Normal"/>
        <w:numPr>
          <w:ilvl w:val="0"/>
          <w:numId w:val="7"/>
        </w:numPr>
        <w:pBdr/>
        <w:rPr>
          <w:rFonts w:ascii="Arial" w:hAnsi="Arial" w:eastAsia="Arial" w:cs="Arial"/>
          <w:color w:val="000000"/>
          <w:sz w:val="22"/>
          <w:szCs w:val="22"/>
        </w:rPr>
      </w:pPr>
      <w:r>
        <w:rPr>
          <w:rFonts w:eastAsia="Arial" w:cs="Arial" w:ascii="Arial" w:hAnsi="Arial"/>
          <w:color w:val="000000"/>
          <w:sz w:val="22"/>
          <w:szCs w:val="22"/>
        </w:rPr>
        <w:t>Staff may also supervise whole classes occasionally during the short-term absence of teachers</w:t>
      </w:r>
    </w:p>
    <w:p>
      <w:pPr>
        <w:pStyle w:val="Normal"/>
        <w:numPr>
          <w:ilvl w:val="0"/>
          <w:numId w:val="7"/>
        </w:numPr>
        <w:pBdr/>
        <w:rPr>
          <w:rFonts w:ascii="Arial" w:hAnsi="Arial" w:eastAsia="Arial" w:cs="Arial"/>
          <w:color w:val="000000"/>
          <w:sz w:val="22"/>
          <w:szCs w:val="22"/>
        </w:rPr>
      </w:pPr>
      <w:r>
        <w:rPr>
          <w:rFonts w:eastAsia="Arial" w:cs="Arial" w:ascii="Arial" w:hAnsi="Arial"/>
          <w:color w:val="000000"/>
          <w:sz w:val="22"/>
          <w:szCs w:val="22"/>
        </w:rPr>
        <w:t>The primary focus will be to enhance pupils learning in accordance with the agreed policies</w:t>
      </w:r>
    </w:p>
    <w:p>
      <w:pPr>
        <w:pStyle w:val="Normal"/>
        <w:pBdr/>
        <w:jc w:val="both"/>
        <w:rPr>
          <w:rFonts w:ascii="Arial" w:hAnsi="Arial" w:eastAsia="Arial" w:cs="Arial"/>
          <w:b/>
          <w:b/>
          <w:color w:val="000000"/>
          <w:sz w:val="22"/>
          <w:szCs w:val="22"/>
        </w:rPr>
      </w:pPr>
      <w:r>
        <w:rPr>
          <w:rFonts w:eastAsia="Arial" w:cs="Arial" w:ascii="Arial" w:hAnsi="Arial"/>
          <w:b/>
          <w:color w:val="000000"/>
          <w:sz w:val="22"/>
          <w:szCs w:val="22"/>
        </w:rPr>
      </w:r>
    </w:p>
    <w:p>
      <w:pPr>
        <w:pStyle w:val="Heading4"/>
        <w:rPr>
          <w:rFonts w:ascii="Arial" w:hAnsi="Arial" w:eastAsia="Arial" w:cs="Arial"/>
          <w:sz w:val="22"/>
          <w:szCs w:val="22"/>
          <w:u w:val="none"/>
        </w:rPr>
      </w:pPr>
      <w:r>
        <w:rPr>
          <w:rFonts w:eastAsia="Arial" w:cs="Arial" w:ascii="Arial" w:hAnsi="Arial"/>
          <w:sz w:val="22"/>
          <w:szCs w:val="22"/>
          <w:u w:val="none"/>
        </w:rPr>
        <w:t>SUPPORT FOR THE PUPIL:</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Use specialist (curricular/learning) skills/training/experience to support pupils</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Carry out duties in line with the intimate care policy</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Assist with the development and implementation of individual education/ behaviour plans</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Establish productive working relationships with pupils, acting as a role model and setting high expectations</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Promote the inclusion and acceptance of all pupils within the classroom</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Support pupils consistently whilst recognising and responding to their individual needs</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Encourage pupils to interact and work co-operatively with others and engage all pupils in activities</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Promote independence and employ strategies to recognise and reward achievement of self-reliance</w:t>
      </w:r>
    </w:p>
    <w:p>
      <w:pPr>
        <w:pStyle w:val="Normal"/>
        <w:numPr>
          <w:ilvl w:val="0"/>
          <w:numId w:val="3"/>
        </w:numPr>
        <w:pBdr/>
        <w:rPr>
          <w:rFonts w:ascii="Arial" w:hAnsi="Arial" w:eastAsia="Arial" w:cs="Arial"/>
          <w:color w:val="000000"/>
          <w:sz w:val="22"/>
          <w:szCs w:val="22"/>
        </w:rPr>
      </w:pPr>
      <w:r>
        <w:rPr>
          <w:rFonts w:eastAsia="Arial" w:cs="Arial" w:ascii="Arial" w:hAnsi="Arial"/>
          <w:color w:val="000000"/>
          <w:sz w:val="22"/>
          <w:szCs w:val="22"/>
        </w:rPr>
        <w:t>Provide feedback to pupils in relation to progress and achievement</w:t>
      </w:r>
    </w:p>
    <w:p>
      <w:pPr>
        <w:pStyle w:val="Normal"/>
        <w:rPr/>
      </w:pPr>
      <w:r>
        <w:rPr/>
      </w:r>
    </w:p>
    <w:p>
      <w:pPr>
        <w:pStyle w:val="Normal"/>
        <w:rPr>
          <w:rFonts w:ascii="Arial" w:hAnsi="Arial" w:eastAsia="Arial" w:cs="Arial"/>
          <w:b/>
          <w:b/>
          <w:sz w:val="22"/>
          <w:szCs w:val="22"/>
        </w:rPr>
      </w:pPr>
      <w:r>
        <w:rPr>
          <w:rFonts w:eastAsia="Arial" w:cs="Arial" w:ascii="Arial" w:hAnsi="Arial"/>
          <w:b/>
          <w:sz w:val="22"/>
          <w:szCs w:val="22"/>
        </w:rPr>
        <w:t>SUPPORT FOR THE TEACHER:</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Work with the teacher to establish an appropriate learning environment</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Work with the teacher in lesson planning, evaluating and adjusting lessons/work plans as appropriate</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Monitor and evaluate pupil responses to learning activities through observation and planned recording of achievement against pre-determined learning objectives</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Provide objective and accurate feedback and reports as required, to the teacher on pupil achievement, progress and other matters, ensuring the availability of appropriate evidence</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Be responsible for keeping and updating records as agreed with the teacher, contributing to reviews of systems/records as requested</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Promote positive values, attitudes and good pupil behaviour, dealing promptly with conflict and incidents in line with the Consequences system and encourage pupils to take responsibility for their own behaviour</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Liaise sensitively and effectively with parents/carers as agreed with the teacher within your role/responsibility and participate in feedback sessions/meetings with parents, or as directed</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Supervise and assess routine tests and invigilate examinations/tests</w:t>
      </w:r>
    </w:p>
    <w:p>
      <w:pPr>
        <w:pStyle w:val="Normal"/>
        <w:numPr>
          <w:ilvl w:val="0"/>
          <w:numId w:val="4"/>
        </w:numPr>
        <w:pBdr/>
        <w:rPr>
          <w:rFonts w:ascii="Arial" w:hAnsi="Arial" w:eastAsia="Arial" w:cs="Arial"/>
          <w:color w:val="000000"/>
          <w:sz w:val="22"/>
          <w:szCs w:val="22"/>
        </w:rPr>
      </w:pPr>
      <w:r>
        <w:rPr>
          <w:rFonts w:eastAsia="Arial" w:cs="Arial" w:ascii="Arial" w:hAnsi="Arial"/>
          <w:color w:val="000000"/>
          <w:sz w:val="22"/>
          <w:szCs w:val="22"/>
        </w:rPr>
        <w:t>Provide general clerical/administrative support e.g. administer coursework, produce worksheets for agreed activities etc.</w:t>
      </w:r>
    </w:p>
    <w:p>
      <w:pPr>
        <w:pStyle w:val="Normal"/>
        <w:ind w:left="1080" w:right="0" w:hanging="0"/>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b/>
          <w:b/>
          <w:sz w:val="22"/>
          <w:szCs w:val="22"/>
        </w:rPr>
      </w:pPr>
      <w:r>
        <w:rPr>
          <w:rFonts w:eastAsia="Arial" w:cs="Arial" w:ascii="Arial" w:hAnsi="Arial"/>
          <w:b/>
          <w:sz w:val="22"/>
          <w:szCs w:val="22"/>
        </w:rPr>
        <w:t>SUPPORT FOR THE CURRICULUM:</w:t>
      </w:r>
    </w:p>
    <w:p>
      <w:pPr>
        <w:pStyle w:val="Normal"/>
        <w:numPr>
          <w:ilvl w:val="0"/>
          <w:numId w:val="5"/>
        </w:numPr>
        <w:pBdr/>
        <w:rPr>
          <w:rFonts w:ascii="Arial" w:hAnsi="Arial" w:eastAsia="Arial" w:cs="Arial"/>
          <w:color w:val="000000"/>
          <w:sz w:val="22"/>
          <w:szCs w:val="22"/>
        </w:rPr>
      </w:pPr>
      <w:r>
        <w:rPr>
          <w:rFonts w:eastAsia="Arial" w:cs="Arial" w:ascii="Arial" w:hAnsi="Arial"/>
          <w:color w:val="000000"/>
          <w:sz w:val="22"/>
          <w:szCs w:val="22"/>
        </w:rPr>
        <w:t>Implement agreed learning activities/teaching programmes, adjusting activities according to pupil responses/needs</w:t>
      </w:r>
    </w:p>
    <w:p>
      <w:pPr>
        <w:pStyle w:val="Normal"/>
        <w:numPr>
          <w:ilvl w:val="0"/>
          <w:numId w:val="5"/>
        </w:numPr>
        <w:pBdr/>
        <w:rPr>
          <w:rFonts w:ascii="Arial" w:hAnsi="Arial" w:eastAsia="Arial" w:cs="Arial"/>
          <w:color w:val="000000"/>
          <w:sz w:val="22"/>
          <w:szCs w:val="22"/>
        </w:rPr>
      </w:pPr>
      <w:r>
        <w:rPr>
          <w:rFonts w:eastAsia="Arial" w:cs="Arial" w:ascii="Arial" w:hAnsi="Arial"/>
          <w:color w:val="000000"/>
          <w:sz w:val="22"/>
          <w:szCs w:val="22"/>
        </w:rPr>
        <w:t>Implement local and national learning strategies and make effective use of opportunities provided by other learning activities to support the development of relevant skills</w:t>
      </w:r>
    </w:p>
    <w:p>
      <w:pPr>
        <w:pStyle w:val="Normal"/>
        <w:numPr>
          <w:ilvl w:val="0"/>
          <w:numId w:val="5"/>
        </w:numPr>
        <w:pBdr/>
        <w:rPr>
          <w:rFonts w:ascii="Arial" w:hAnsi="Arial" w:eastAsia="Arial" w:cs="Arial"/>
          <w:color w:val="000000"/>
          <w:sz w:val="22"/>
          <w:szCs w:val="22"/>
        </w:rPr>
      </w:pPr>
      <w:r>
        <w:rPr>
          <w:rFonts w:eastAsia="Arial" w:cs="Arial" w:ascii="Arial" w:hAnsi="Arial"/>
          <w:color w:val="000000"/>
          <w:sz w:val="22"/>
          <w:szCs w:val="22"/>
        </w:rPr>
        <w:t>Support the use of IT in learning activities and develop pupil competence and independence in its use</w:t>
      </w:r>
    </w:p>
    <w:p>
      <w:pPr>
        <w:pStyle w:val="Normal"/>
        <w:numPr>
          <w:ilvl w:val="0"/>
          <w:numId w:val="5"/>
        </w:numPr>
        <w:pBdr/>
        <w:rPr>
          <w:rFonts w:ascii="Arial" w:hAnsi="Arial" w:eastAsia="Arial" w:cs="Arial"/>
          <w:color w:val="000000"/>
          <w:sz w:val="22"/>
          <w:szCs w:val="22"/>
        </w:rPr>
      </w:pPr>
      <w:r>
        <w:rPr>
          <w:rFonts w:eastAsia="Arial" w:cs="Arial" w:ascii="Arial" w:hAnsi="Arial"/>
          <w:color w:val="000000"/>
          <w:sz w:val="22"/>
          <w:szCs w:val="22"/>
        </w:rPr>
        <w:t>Help pupils to access learning activities through specialist support</w:t>
      </w:r>
    </w:p>
    <w:p>
      <w:pPr>
        <w:pStyle w:val="Normal"/>
        <w:numPr>
          <w:ilvl w:val="0"/>
          <w:numId w:val="5"/>
        </w:numPr>
        <w:pBdr/>
        <w:tabs>
          <w:tab w:val="clear" w:pos="720"/>
          <w:tab w:val="center" w:pos="4513" w:leader="none"/>
          <w:tab w:val="right" w:pos="9026" w:leader="none"/>
        </w:tabs>
        <w:rPr>
          <w:rFonts w:ascii="Arial" w:hAnsi="Arial" w:eastAsia="Arial" w:cs="Arial"/>
          <w:color w:val="000000"/>
          <w:sz w:val="22"/>
          <w:szCs w:val="22"/>
        </w:rPr>
      </w:pPr>
      <w:r>
        <w:rPr>
          <w:rFonts w:eastAsia="Arial" w:cs="Arial" w:ascii="Arial" w:hAnsi="Arial"/>
          <w:color w:val="000000"/>
          <w:sz w:val="22"/>
          <w:szCs w:val="22"/>
        </w:rPr>
        <w:t>Determine the need for, prepare and maintain general and specialist equipment and resources</w:t>
      </w:r>
    </w:p>
    <w:p>
      <w:pPr>
        <w:pStyle w:val="Heading2"/>
        <w:rPr>
          <w:i w:val="false"/>
          <w:i w:val="false"/>
          <w:sz w:val="22"/>
          <w:szCs w:val="22"/>
        </w:rPr>
      </w:pPr>
      <w:r>
        <w:rPr>
          <w:i w:val="false"/>
          <w:sz w:val="22"/>
          <w:szCs w:val="22"/>
        </w:rPr>
        <w:t>SUPPORT FOR THE ACADEMY:</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Comply with and contribute to the development of all trust / academy policies and procedures</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Be aware of and support difference and ensure all pupils have equal access to opportunities to learn and develop</w:t>
      </w:r>
    </w:p>
    <w:p>
      <w:pPr>
        <w:pStyle w:val="Normal"/>
        <w:numPr>
          <w:ilvl w:val="0"/>
          <w:numId w:val="6"/>
        </w:numPr>
        <w:pBdr/>
        <w:rPr>
          <w:rFonts w:ascii="Arial" w:hAnsi="Arial" w:eastAsia="Arial" w:cs="Arial"/>
          <w:color w:val="000000"/>
          <w:sz w:val="22"/>
          <w:szCs w:val="22"/>
        </w:rPr>
      </w:pPr>
      <w:r>
        <w:rPr>
          <w:rFonts w:eastAsia="Arial" w:cs="Arial" w:ascii="Arial" w:hAnsi="Arial"/>
          <w:color w:val="000000"/>
          <w:sz w:val="22"/>
          <w:szCs w:val="22"/>
        </w:rPr>
        <w:t>Contribute to the overall ethos/work/aims of the academy</w:t>
      </w:r>
    </w:p>
    <w:p>
      <w:pPr>
        <w:pStyle w:val="Normal"/>
        <w:numPr>
          <w:ilvl w:val="0"/>
          <w:numId w:val="6"/>
        </w:numPr>
        <w:pBdr/>
        <w:spacing w:lineRule="auto" w:line="256"/>
        <w:rPr>
          <w:rFonts w:ascii="Arial" w:hAnsi="Arial" w:eastAsia="Arial" w:cs="Arial"/>
          <w:color w:val="000000"/>
          <w:sz w:val="22"/>
          <w:szCs w:val="22"/>
        </w:rPr>
      </w:pPr>
      <w:r>
        <w:rPr>
          <w:rFonts w:eastAsia="Arial" w:cs="Arial" w:ascii="Arial" w:hAnsi="Arial"/>
          <w:color w:val="000000"/>
          <w:sz w:val="22"/>
          <w:szCs w:val="22"/>
        </w:rPr>
        <w:t>Actively promote the NORTHERN model of school improvement to promote excellent outcomes for all children across the work of the academy</w:t>
      </w:r>
    </w:p>
    <w:p>
      <w:pPr>
        <w:pStyle w:val="Normal"/>
        <w:numPr>
          <w:ilvl w:val="0"/>
          <w:numId w:val="6"/>
        </w:numPr>
        <w:pBdr/>
        <w:spacing w:lineRule="auto" w:line="256"/>
        <w:rPr>
          <w:rFonts w:ascii="Arial" w:hAnsi="Arial" w:eastAsia="Arial" w:cs="Arial"/>
          <w:color w:val="000000"/>
          <w:sz w:val="22"/>
          <w:szCs w:val="22"/>
        </w:rPr>
      </w:pPr>
      <w:r>
        <w:rPr>
          <w:rFonts w:eastAsia="Arial" w:cs="Arial" w:ascii="Arial" w:hAnsi="Arial"/>
          <w:color w:val="000000"/>
          <w:sz w:val="22"/>
          <w:szCs w:val="22"/>
        </w:rPr>
        <w:t>Model the ‘vision and values’ of the trust and academy</w:t>
      </w:r>
    </w:p>
    <w:p>
      <w:pPr>
        <w:pStyle w:val="Normal"/>
        <w:numPr>
          <w:ilvl w:val="0"/>
          <w:numId w:val="6"/>
        </w:numPr>
        <w:pBdr/>
        <w:spacing w:lineRule="auto" w:line="256"/>
        <w:rPr>
          <w:rFonts w:ascii="Arial" w:hAnsi="Arial" w:eastAsia="Arial" w:cs="Arial"/>
          <w:color w:val="000000"/>
          <w:sz w:val="22"/>
          <w:szCs w:val="22"/>
        </w:rPr>
      </w:pPr>
      <w:r>
        <w:rPr>
          <w:rFonts w:eastAsia="Arial" w:cs="Arial" w:ascii="Arial" w:hAnsi="Arial"/>
          <w:color w:val="000000"/>
          <w:sz w:val="22"/>
          <w:szCs w:val="22"/>
        </w:rPr>
        <w:t>Establish constructive relationships and communicate with other agencies/professionals, in liaison with the teacher, to support achievement and progress of pupils</w:t>
      </w:r>
    </w:p>
    <w:p>
      <w:pPr>
        <w:pStyle w:val="Normal"/>
        <w:numPr>
          <w:ilvl w:val="0"/>
          <w:numId w:val="6"/>
        </w:numPr>
        <w:pBdr/>
        <w:spacing w:lineRule="auto" w:line="256"/>
        <w:rPr>
          <w:rFonts w:ascii="Arial" w:hAnsi="Arial" w:eastAsia="Arial" w:cs="Arial"/>
          <w:color w:val="000000"/>
          <w:sz w:val="22"/>
          <w:szCs w:val="22"/>
        </w:rPr>
      </w:pPr>
      <w:r>
        <w:rPr>
          <w:rFonts w:eastAsia="Arial" w:cs="Arial" w:ascii="Arial" w:hAnsi="Arial"/>
          <w:color w:val="000000"/>
          <w:sz w:val="22"/>
          <w:szCs w:val="22"/>
        </w:rPr>
        <w:t>Take the initiative as appropriate to develop appropriate multi-agency approaches to supporting pupils</w:t>
      </w:r>
    </w:p>
    <w:p>
      <w:pPr>
        <w:pStyle w:val="Normal"/>
        <w:numPr>
          <w:ilvl w:val="0"/>
          <w:numId w:val="6"/>
        </w:numPr>
        <w:pBdr/>
        <w:spacing w:lineRule="auto" w:line="256"/>
        <w:rPr>
          <w:rFonts w:ascii="Arial" w:hAnsi="Arial" w:eastAsia="Arial" w:cs="Arial"/>
          <w:color w:val="000000"/>
          <w:sz w:val="22"/>
          <w:szCs w:val="22"/>
        </w:rPr>
      </w:pPr>
      <w:r>
        <w:rPr>
          <w:rFonts w:eastAsia="Arial" w:cs="Arial" w:ascii="Arial" w:hAnsi="Arial"/>
          <w:color w:val="000000"/>
          <w:sz w:val="22"/>
          <w:szCs w:val="22"/>
        </w:rPr>
        <w:t>Recognise own strengths and areas of specialist expertise and use these to lead, advise and support others</w:t>
      </w:r>
    </w:p>
    <w:p>
      <w:pPr>
        <w:pStyle w:val="Normal"/>
        <w:numPr>
          <w:ilvl w:val="0"/>
          <w:numId w:val="6"/>
        </w:numPr>
        <w:pBdr/>
        <w:spacing w:lineRule="auto" w:line="256"/>
        <w:rPr>
          <w:rFonts w:ascii="Arial" w:hAnsi="Arial" w:eastAsia="Arial" w:cs="Arial"/>
          <w:color w:val="000000"/>
          <w:sz w:val="22"/>
          <w:szCs w:val="22"/>
        </w:rPr>
      </w:pPr>
      <w:r>
        <w:rPr>
          <w:rFonts w:eastAsia="Arial" w:cs="Arial" w:ascii="Arial" w:hAnsi="Arial"/>
          <w:color w:val="000000"/>
          <w:sz w:val="22"/>
          <w:szCs w:val="22"/>
        </w:rPr>
        <w:t>Plan, lead and contribute to the identification and execution of appropriate out of academy learning activities which consolidate and extend work carried out in class</w:t>
      </w:r>
    </w:p>
    <w:p>
      <w:pPr>
        <w:pStyle w:val="Normal"/>
        <w:numPr>
          <w:ilvl w:val="0"/>
          <w:numId w:val="6"/>
        </w:numPr>
        <w:pBdr/>
        <w:spacing w:lineRule="auto" w:line="256"/>
        <w:rPr>
          <w:rFonts w:ascii="Arial" w:hAnsi="Arial" w:eastAsia="Arial" w:cs="Arial"/>
          <w:color w:val="000000"/>
          <w:sz w:val="22"/>
          <w:szCs w:val="22"/>
        </w:rPr>
      </w:pPr>
      <w:r>
        <w:rPr>
          <w:rFonts w:eastAsia="Arial" w:cs="Arial" w:ascii="Arial" w:hAnsi="Arial"/>
          <w:color w:val="000000"/>
          <w:sz w:val="22"/>
          <w:szCs w:val="22"/>
        </w:rPr>
        <w:t>Lead on organisation and accompany teaching staff and pupils on visits, trips, out of academy activities (before and after school clubs) and lunchtime duties as required</w:t>
      </w:r>
    </w:p>
    <w:p>
      <w:pPr>
        <w:pStyle w:val="Normal"/>
        <w:numPr>
          <w:ilvl w:val="0"/>
          <w:numId w:val="6"/>
        </w:numPr>
        <w:pBdr/>
        <w:spacing w:lineRule="auto" w:line="256"/>
        <w:rPr>
          <w:rFonts w:ascii="Arial" w:hAnsi="Arial" w:eastAsia="Arial" w:cs="Arial"/>
          <w:color w:val="000000"/>
          <w:sz w:val="22"/>
          <w:szCs w:val="22"/>
        </w:rPr>
      </w:pPr>
      <w:r>
        <w:rPr>
          <w:rFonts w:eastAsia="Arial" w:cs="Arial" w:ascii="Arial" w:hAnsi="Arial"/>
          <w:color w:val="000000"/>
          <w:sz w:val="22"/>
          <w:szCs w:val="22"/>
        </w:rPr>
        <w:t>Attend all relevant team/staff/academy meetings</w:t>
      </w:r>
    </w:p>
    <w:p>
      <w:pPr>
        <w:pStyle w:val="Normal"/>
        <w:numPr>
          <w:ilvl w:val="0"/>
          <w:numId w:val="6"/>
        </w:numPr>
        <w:pBdr/>
        <w:spacing w:lineRule="auto" w:line="256"/>
        <w:rPr>
          <w:rFonts w:ascii="Arial" w:hAnsi="Arial" w:eastAsia="Arial" w:cs="Arial"/>
          <w:color w:val="000000"/>
          <w:sz w:val="22"/>
          <w:szCs w:val="22"/>
        </w:rPr>
      </w:pPr>
      <w:r>
        <w:rPr>
          <w:rFonts w:eastAsia="Arial" w:cs="Arial" w:ascii="Arial" w:hAnsi="Arial"/>
          <w:color w:val="000000"/>
          <w:sz w:val="22"/>
          <w:szCs w:val="22"/>
        </w:rPr>
        <w:t>Lead, plan, deliver and participate in training and other learning activities and performance development as required</w:t>
      </w:r>
    </w:p>
    <w:p>
      <w:pPr>
        <w:pStyle w:val="Normal"/>
        <w:numPr>
          <w:ilvl w:val="0"/>
          <w:numId w:val="6"/>
        </w:numPr>
        <w:pBdr/>
        <w:spacing w:lineRule="auto" w:line="256"/>
        <w:rPr>
          <w:rFonts w:ascii="Arial" w:hAnsi="Arial" w:eastAsia="Arial" w:cs="Arial"/>
          <w:color w:val="000000"/>
          <w:sz w:val="22"/>
          <w:szCs w:val="22"/>
        </w:rPr>
      </w:pPr>
      <w:r>
        <w:rPr>
          <w:rFonts w:eastAsia="Arial" w:cs="Arial" w:ascii="Arial" w:hAnsi="Arial"/>
          <w:color w:val="000000"/>
          <w:sz w:val="22"/>
          <w:szCs w:val="22"/>
        </w:rPr>
        <w:t>Show a duty of care and take appropriate action to comply with health &amp; safety requirements at all time</w:t>
      </w:r>
    </w:p>
    <w:p>
      <w:pPr>
        <w:pStyle w:val="Normal"/>
        <w:numPr>
          <w:ilvl w:val="0"/>
          <w:numId w:val="6"/>
        </w:numPr>
        <w:pBdr/>
        <w:spacing w:lineRule="auto" w:line="256"/>
        <w:rPr>
          <w:rFonts w:ascii="Arial" w:hAnsi="Arial" w:eastAsia="Arial" w:cs="Arial"/>
          <w:color w:val="000000"/>
          <w:sz w:val="22"/>
          <w:szCs w:val="22"/>
        </w:rPr>
      </w:pPr>
      <w:r>
        <w:rPr>
          <w:rFonts w:eastAsia="Arial" w:cs="Arial" w:ascii="Arial" w:hAnsi="Arial"/>
          <w:color w:val="000000"/>
          <w:sz w:val="22"/>
          <w:szCs w:val="22"/>
        </w:rPr>
        <w:t>Demonstrate and promote commitment to equal opportunities and to the elimination of behaviour and practices that could be discriminatory</w:t>
      </w:r>
    </w:p>
    <w:p>
      <w:pPr>
        <w:pStyle w:val="Normal"/>
        <w:pBdr/>
        <w:rPr>
          <w:rFonts w:ascii="Arial" w:hAnsi="Arial" w:eastAsia="Arial" w:cs="Arial"/>
          <w:b/>
          <w:b/>
          <w:color w:val="000000"/>
        </w:rPr>
      </w:pPr>
      <w:r>
        <w:rPr>
          <w:rFonts w:eastAsia="Arial" w:cs="Arial" w:ascii="Arial" w:hAnsi="Arial"/>
          <w:b/>
          <w:color w:val="000000"/>
        </w:rPr>
      </w:r>
    </w:p>
    <w:p>
      <w:pPr>
        <w:pStyle w:val="Normal"/>
        <w:pBdr/>
        <w:rPr>
          <w:rFonts w:ascii="Arial" w:hAnsi="Arial" w:eastAsia="Arial" w:cs="Arial"/>
          <w:b/>
          <w:b/>
          <w:color w:val="000000"/>
          <w:sz w:val="22"/>
          <w:szCs w:val="22"/>
        </w:rPr>
      </w:pPr>
      <w:r>
        <w:rPr>
          <w:rFonts w:eastAsia="Arial" w:cs="Arial" w:ascii="Arial" w:hAnsi="Arial"/>
          <w:b/>
          <w:color w:val="000000"/>
          <w:sz w:val="22"/>
          <w:szCs w:val="22"/>
        </w:rPr>
        <w:t>GDPR</w:t>
      </w:r>
    </w:p>
    <w:p>
      <w:pPr>
        <w:pStyle w:val="Normal"/>
        <w:numPr>
          <w:ilvl w:val="0"/>
          <w:numId w:val="9"/>
        </w:numPr>
        <w:pBdr/>
        <w:rPr>
          <w:rFonts w:ascii="Arial" w:hAnsi="Arial" w:eastAsia="Arial" w:cs="Arial"/>
          <w:color w:val="000000"/>
          <w:sz w:val="22"/>
          <w:szCs w:val="22"/>
        </w:rPr>
      </w:pPr>
      <w:r>
        <w:rPr>
          <w:rFonts w:eastAsia="Arial" w:cs="Arial" w:ascii="Arial" w:hAnsi="Arial"/>
          <w:color w:val="000000"/>
          <w:sz w:val="22"/>
          <w:szCs w:val="22"/>
        </w:rPr>
        <w:t xml:space="preserve">To adhere to GDPR and data protection regulations, whilst maintaining confidentiality </w:t>
      </w:r>
    </w:p>
    <w:p>
      <w:pPr>
        <w:pStyle w:val="Normal"/>
        <w:rPr>
          <w:rFonts w:ascii="Arial" w:hAnsi="Arial" w:eastAsia="Arial" w:cs="Arial"/>
          <w:sz w:val="22"/>
          <w:szCs w:val="22"/>
        </w:rPr>
      </w:pPr>
      <w:r>
        <w:rPr>
          <w:rFonts w:eastAsia="Arial" w:cs="Arial" w:ascii="Arial" w:hAnsi="Arial"/>
          <w:sz w:val="22"/>
          <w:szCs w:val="22"/>
        </w:rPr>
      </w:r>
    </w:p>
    <w:p>
      <w:pPr>
        <w:pStyle w:val="Normal"/>
        <w:pBdr/>
        <w:rPr>
          <w:rFonts w:ascii="Arial" w:hAnsi="Arial" w:eastAsia="Arial" w:cs="Arial"/>
          <w:b/>
          <w:b/>
          <w:color w:val="000000"/>
          <w:sz w:val="22"/>
          <w:szCs w:val="22"/>
        </w:rPr>
      </w:pPr>
      <w:bookmarkStart w:id="1" w:name="_heading=h.s8zthrft3n03"/>
      <w:bookmarkEnd w:id="1"/>
      <w:r>
        <w:rPr>
          <w:rFonts w:eastAsia="Arial" w:cs="Arial" w:ascii="Arial" w:hAnsi="Arial"/>
          <w:b/>
          <w:color w:val="000000"/>
          <w:sz w:val="22"/>
          <w:szCs w:val="22"/>
        </w:rPr>
        <w:t>Safeguarding</w:t>
      </w:r>
    </w:p>
    <w:p>
      <w:pPr>
        <w:pStyle w:val="Normal"/>
        <w:numPr>
          <w:ilvl w:val="0"/>
          <w:numId w:val="8"/>
        </w:numPr>
        <w:pBdr/>
        <w:spacing w:lineRule="auto" w:line="256"/>
        <w:rPr>
          <w:rFonts w:ascii="Arial" w:hAnsi="Arial" w:eastAsia="Arial" w:cs="Arial"/>
          <w:color w:val="000000"/>
          <w:sz w:val="22"/>
          <w:szCs w:val="22"/>
        </w:rPr>
      </w:pPr>
      <w:r>
        <w:rPr>
          <w:rFonts w:eastAsia="Arial" w:cs="Arial" w:ascii="Arial" w:hAnsi="Arial"/>
          <w:color w:val="000000"/>
          <w:sz w:val="22"/>
          <w:szCs w:val="22"/>
        </w:rPr>
        <w:t>To follow all safeguarding and child protection policies and procedures</w:t>
      </w:r>
    </w:p>
    <w:p>
      <w:pPr>
        <w:pStyle w:val="Normal"/>
        <w:widowControl w:val="false"/>
        <w:numPr>
          <w:ilvl w:val="0"/>
          <w:numId w:val="8"/>
        </w:numPr>
        <w:pBdr/>
        <w:tabs>
          <w:tab w:val="clear" w:pos="720"/>
          <w:tab w:val="left" w:pos="220" w:leader="none"/>
          <w:tab w:val="left" w:pos="360" w:leader="none"/>
        </w:tabs>
        <w:rPr>
          <w:rFonts w:ascii="Arial" w:hAnsi="Arial" w:eastAsia="Arial" w:cs="Arial"/>
          <w:color w:val="000000"/>
          <w:sz w:val="22"/>
          <w:szCs w:val="22"/>
        </w:rPr>
      </w:pPr>
      <w:r>
        <w:rPr>
          <w:rFonts w:eastAsia="Arial" w:cs="Arial" w:ascii="Arial" w:hAnsi="Arial"/>
          <w:color w:val="000000"/>
          <w:sz w:val="22"/>
          <w:szCs w:val="22"/>
        </w:rPr>
        <w:t>This role wholly or mainly involves working with children</w:t>
      </w:r>
    </w:p>
    <w:p>
      <w:pPr>
        <w:pStyle w:val="Normal"/>
        <w:widowControl w:val="false"/>
        <w:pBdr/>
        <w:tabs>
          <w:tab w:val="left" w:pos="220" w:leader="none"/>
          <w:tab w:val="left" w:pos="720" w:leader="none"/>
        </w:tabs>
        <w:ind w:left="360" w:right="0" w:hanging="0"/>
        <w:rPr>
          <w:rFonts w:ascii="Arial" w:hAnsi="Arial" w:eastAsia="Arial" w:cs="Arial"/>
          <w:color w:val="000000"/>
          <w:sz w:val="22"/>
          <w:szCs w:val="22"/>
        </w:rPr>
      </w:pPr>
      <w:r>
        <w:rPr>
          <w:rFonts w:eastAsia="Arial" w:cs="Arial" w:ascii="Arial" w:hAnsi="Arial"/>
          <w:color w:val="000000"/>
          <w:sz w:val="22"/>
          <w:szCs w:val="22"/>
        </w:rPr>
      </w:r>
    </w:p>
    <w:p>
      <w:pPr>
        <w:pStyle w:val="Normal"/>
        <w:pBdr/>
        <w:jc w:val="both"/>
        <w:rPr>
          <w:rFonts w:ascii="Arial" w:hAnsi="Arial" w:eastAsia="Arial" w:cs="Arial"/>
          <w:b/>
          <w:b/>
          <w:color w:val="000000"/>
          <w:sz w:val="22"/>
          <w:szCs w:val="22"/>
        </w:rPr>
      </w:pPr>
      <w:r>
        <w:rPr>
          <w:rFonts w:eastAsia="Arial" w:cs="Arial" w:ascii="Arial" w:hAnsi="Arial"/>
          <w:b/>
          <w:color w:val="000000"/>
          <w:sz w:val="22"/>
          <w:szCs w:val="22"/>
        </w:rPr>
        <w:t>General</w:t>
      </w:r>
    </w:p>
    <w:p>
      <w:pPr>
        <w:pStyle w:val="Normal"/>
        <w:numPr>
          <w:ilvl w:val="0"/>
          <w:numId w:val="2"/>
        </w:numPr>
        <w:pBdr/>
        <w:jc w:val="both"/>
        <w:rPr>
          <w:rFonts w:ascii="Arial" w:hAnsi="Arial" w:eastAsia="Arial" w:cs="Arial"/>
          <w:color w:val="000000"/>
          <w:sz w:val="22"/>
          <w:szCs w:val="22"/>
        </w:rPr>
      </w:pPr>
      <w:r>
        <w:rPr>
          <w:rFonts w:eastAsia="Arial" w:cs="Arial" w:ascii="Arial" w:hAnsi="Arial"/>
          <w:color w:val="000000"/>
          <w:sz w:val="22"/>
          <w:szCs w:val="22"/>
        </w:rPr>
        <w:t>To participate in wider academy meetings and working groups as required</w:t>
      </w:r>
    </w:p>
    <w:p>
      <w:pPr>
        <w:pStyle w:val="Normal"/>
        <w:pBdr/>
        <w:jc w:val="both"/>
        <w:rPr>
          <w:rFonts w:ascii="Arial" w:hAnsi="Arial" w:eastAsia="Arial" w:cs="Arial"/>
          <w:color w:val="000000"/>
          <w:sz w:val="22"/>
          <w:szCs w:val="22"/>
        </w:rPr>
      </w:pPr>
      <w:r>
        <w:rPr>
          <w:rFonts w:eastAsia="Arial" w:cs="Arial" w:ascii="Arial" w:hAnsi="Arial"/>
          <w:color w:val="000000"/>
          <w:sz w:val="22"/>
          <w:szCs w:val="22"/>
        </w:rPr>
      </w:r>
    </w:p>
    <w:p>
      <w:pPr>
        <w:pStyle w:val="Normal"/>
        <w:widowControl w:val="false"/>
        <w:tabs>
          <w:tab w:val="clear" w:pos="720"/>
          <w:tab w:val="left" w:pos="220" w:leader="none"/>
          <w:tab w:val="left" w:pos="360" w:leader="none"/>
        </w:tabs>
        <w:rPr>
          <w:rFonts w:ascii="Arial" w:hAnsi="Arial" w:eastAsia="Arial" w:cs="Arial"/>
          <w:color w:val="000000"/>
          <w:sz w:val="22"/>
          <w:szCs w:val="22"/>
        </w:rPr>
      </w:pPr>
      <w:r>
        <w:rPr>
          <w:rFonts w:eastAsia="Arial" w:cs="Arial" w:ascii="Arial" w:hAnsi="Arial"/>
          <w:color w:val="000000"/>
          <w:sz w:val="22"/>
          <w:szCs w:val="22"/>
        </w:rPr>
      </w:r>
    </w:p>
    <w:p>
      <w:pPr>
        <w:pStyle w:val="Normal"/>
        <w:pBdr/>
        <w:jc w:val="both"/>
        <w:rPr>
          <w:rFonts w:ascii="Arial" w:hAnsi="Arial" w:eastAsia="Arial" w:cs="Arial"/>
          <w:color w:val="000000"/>
          <w:sz w:val="22"/>
          <w:szCs w:val="22"/>
        </w:rPr>
      </w:pPr>
      <w:r>
        <w:rPr>
          <w:rFonts w:eastAsia="Arial" w:cs="Arial" w:ascii="Arial" w:hAnsi="Arial"/>
          <w:color w:val="000000"/>
          <w:sz w:val="22"/>
          <w:szCs w:val="22"/>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pPr>
        <w:pStyle w:val="Normal"/>
        <w:pBdr/>
        <w:jc w:val="both"/>
        <w:rPr>
          <w:rFonts w:ascii="Arial" w:hAnsi="Arial" w:eastAsia="Arial" w:cs="Arial"/>
          <w:color w:val="000000"/>
          <w:sz w:val="22"/>
          <w:szCs w:val="22"/>
        </w:rPr>
      </w:pPr>
      <w:r>
        <w:rPr>
          <w:rFonts w:eastAsia="Arial" w:cs="Arial" w:ascii="Arial" w:hAnsi="Arial"/>
          <w:color w:val="000000"/>
          <w:sz w:val="22"/>
          <w:szCs w:val="22"/>
        </w:rPr>
      </w:r>
    </w:p>
    <w:p>
      <w:pPr>
        <w:pStyle w:val="Normal"/>
        <w:rPr>
          <w:rFonts w:ascii="Arial" w:hAnsi="Arial" w:eastAsia="Arial" w:cs="Arial"/>
          <w:sz w:val="22"/>
          <w:szCs w:val="22"/>
        </w:rPr>
      </w:pPr>
      <w:r>
        <w:rPr>
          <w:rFonts w:eastAsia="Arial" w:cs="Arial" w:ascii="Arial" w:hAnsi="Arial"/>
          <w:sz w:val="22"/>
          <w:szCs w:val="22"/>
        </w:rPr>
        <w:t>NET is committed to safeguarding and promoting the welfare of children and young people. We expect all staff to share this commitment and to undergo appropriate checks, including an enhanced DBS check.</w:t>
      </w:r>
    </w:p>
    <w:p>
      <w:pPr>
        <w:pStyle w:val="Normal"/>
        <w:pBdr/>
        <w:rPr>
          <w:rFonts w:ascii="Arial" w:hAnsi="Arial" w:eastAsia="Arial" w:cs="Arial"/>
          <w:color w:val="000000"/>
          <w:sz w:val="22"/>
          <w:szCs w:val="22"/>
        </w:rPr>
      </w:pPr>
      <w:r>
        <w:rPr>
          <w:rFonts w:eastAsia="Arial" w:cs="Arial" w:ascii="Arial" w:hAnsi="Arial"/>
          <w:color w:val="000000"/>
          <w:sz w:val="22"/>
          <w:szCs w:val="22"/>
        </w:rPr>
      </w:r>
    </w:p>
    <w:p>
      <w:pPr>
        <w:pStyle w:val="Normal"/>
        <w:pBdr/>
        <w:rPr>
          <w:rFonts w:ascii="Arial" w:hAnsi="Arial" w:eastAsia="Arial" w:cs="Arial"/>
          <w:color w:val="000000"/>
          <w:sz w:val="22"/>
          <w:szCs w:val="22"/>
        </w:rPr>
      </w:pPr>
      <w:r>
        <w:rPr>
          <w:rFonts w:eastAsia="Arial" w:cs="Arial" w:ascii="Arial" w:hAnsi="Arial"/>
          <w:color w:val="000000"/>
          <w:sz w:val="22"/>
          <w:szCs w:val="22"/>
        </w:rPr>
      </w:r>
    </w:p>
    <w:p>
      <w:pPr>
        <w:pStyle w:val="Normal"/>
        <w:pBdr/>
        <w:rPr>
          <w:rFonts w:ascii="Arial" w:hAnsi="Arial" w:eastAsia="Arial" w:cs="Arial"/>
          <w:color w:val="000000"/>
          <w:sz w:val="22"/>
          <w:szCs w:val="22"/>
        </w:rPr>
      </w:pPr>
      <w:r>
        <w:rPr>
          <w:rFonts w:eastAsia="Arial" w:cs="Arial" w:ascii="Arial" w:hAnsi="Arial"/>
          <w:color w:val="000000"/>
          <w:sz w:val="22"/>
          <w:szCs w:val="22"/>
        </w:rPr>
        <w:t>Signed: ……………………………………</w:t>
        <w:tab/>
        <w:tab/>
        <w:t>Date: ……………………………….</w:t>
      </w:r>
    </w:p>
    <w:p>
      <w:pPr>
        <w:pStyle w:val="Normal"/>
        <w:rPr/>
      </w:pPr>
      <w:r>
        <w:rPr/>
      </w:r>
    </w:p>
    <w:sectPr>
      <w:footerReference w:type="default" r:id="rId3"/>
      <w:type w:val="nextPage"/>
      <w:pgSz w:w="11906" w:h="16838"/>
      <w:pgMar w:left="1440" w:right="1440" w:header="0" w:top="1026" w:footer="708" w:bottom="1196" w:gutter="0"/>
      <w:pgNumType w:start="32"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ZapfCalligr BT">
    <w:charset w:val="00"/>
    <w:family w:val="roman"/>
    <w:pitch w:val="variable"/>
  </w:font>
  <w:font w:name="Noto Sans Symbols">
    <w:charset w:val="01"/>
    <w:family w:val="auto"/>
    <w:pitch w:val="default"/>
  </w:font>
  <w:font w:name="Courier New">
    <w:charset w:val="01"/>
    <w:family w:val="modern"/>
    <w:pitch w:val="default"/>
  </w:font>
  <w:font w:name="Liberation Sans">
    <w:altName w:val="Arial"/>
    <w:charset w:val="00"/>
    <w:family w:val="swiss"/>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jc w:val="right"/>
      <w:rPr/>
    </w:pPr>
    <w:r>
      <w:rPr/>
    </w:r>
  </w:p>
  <w:p>
    <w:pPr>
      <w:pStyle w:val="Normal"/>
      <w:pBdr/>
      <w:tabs>
        <w:tab w:val="clear" w:pos="720"/>
        <w:tab w:val="center" w:pos="4513" w:leader="none"/>
        <w:tab w:val="right" w:pos="9026" w:leader="none"/>
      </w:tabs>
      <w:ind w:left="0" w:right="360" w:hanging="0"/>
      <w:rPr>
        <w:color w:val="000000"/>
      </w:rPr>
    </w:pPr>
    <w:r>
      <w:rPr>
        <w:color w:val="00000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86" w:hanging="360"/>
      </w:pPr>
      <w:rPr>
        <w:sz w:val="22"/>
        <w:i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sz w:val="22"/>
        <w:rFonts w:ascii="Arial" w:hAnsi="Arial" w:cs="Arial"/>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hAnsi="Noto Sans Symbols" w:cs="Noto Sans Symbols" w:hint="default"/>
        <w:sz w:val="22"/>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8">
    <w:lvl w:ilvl="0">
      <w:start w:val="1"/>
      <w:numFmt w:val="decimal"/>
      <w:lvlText w:val="%1."/>
      <w:lvlJc w:val="left"/>
      <w:pPr>
        <w:ind w:left="720" w:hanging="360"/>
      </w:pPr>
      <w:rPr>
        <w:sz w:val="2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keepLines/>
      <w:numPr>
        <w:ilvl w:val="2"/>
        <w:numId w:val="1"/>
      </w:numPr>
      <w:spacing w:before="280" w:after="80"/>
      <w:outlineLvl w:val="2"/>
    </w:pPr>
    <w:rPr>
      <w:b/>
      <w:sz w:val="28"/>
      <w:szCs w:val="28"/>
    </w:rPr>
  </w:style>
  <w:style w:type="paragraph" w:styleId="Heading4">
    <w:name w:val="Heading 4"/>
    <w:basedOn w:val="Normal"/>
    <w:next w:val="Normal"/>
    <w:qFormat/>
    <w:pPr>
      <w:keepNext w:val="true"/>
      <w:numPr>
        <w:ilvl w:val="3"/>
        <w:numId w:val="1"/>
      </w:numPr>
      <w:outlineLvl w:val="3"/>
    </w:pPr>
    <w:rPr>
      <w:rFonts w:ascii="ZapfCalligr BT" w:hAnsi="ZapfCalligr BT" w:cs="ZapfCalligr BT"/>
      <w:b/>
      <w:szCs w:val="20"/>
      <w:u w:val="single"/>
    </w:rPr>
  </w:style>
  <w:style w:type="paragraph" w:styleId="Heading5">
    <w:name w:val="Heading 5"/>
    <w:basedOn w:val="Normal"/>
    <w:next w:val="Normal"/>
    <w:qFormat/>
    <w:pPr>
      <w:keepNext w:val="true"/>
      <w:keepLines/>
      <w:numPr>
        <w:ilvl w:val="4"/>
        <w:numId w:val="1"/>
      </w:numPr>
      <w:spacing w:before="220" w:after="40"/>
      <w:outlineLvl w:val="4"/>
    </w:pPr>
    <w:rPr>
      <w:b/>
      <w:sz w:val="22"/>
      <w:szCs w:val="22"/>
    </w:rPr>
  </w:style>
  <w:style w:type="paragraph" w:styleId="Heading6">
    <w:name w:val="Heading 6"/>
    <w:basedOn w:val="Normal"/>
    <w:next w:val="Normal"/>
    <w:qFormat/>
    <w:pPr>
      <w:keepNext w:val="true"/>
      <w:keepLines/>
      <w:numPr>
        <w:ilvl w:val="5"/>
        <w:numId w:val="1"/>
      </w:numPr>
      <w:spacing w:before="200" w:after="40"/>
      <w:outlineLvl w:val="5"/>
    </w:pPr>
    <w:rPr>
      <w:b/>
      <w:sz w:val="20"/>
      <w:szCs w:val="20"/>
    </w:rPr>
  </w:style>
  <w:style w:type="character" w:styleId="WW8Num1z0">
    <w:name w:val="WW8Num1z0"/>
    <w:qFormat/>
    <w:rPr>
      <w:rFonts w:ascii="Arial" w:hAnsi="Arial" w:cs="Arial"/>
      <w:i w:val="false"/>
      <w:sz w:val="22"/>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Arial" w:hAnsi="Arial" w:cs="Arial"/>
      <w:color w:val="000000"/>
      <w:sz w:val="22"/>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Noto Sans Symbols" w:hAnsi="Noto Sans Symbols" w:cs="Noto Sans Symbols"/>
      <w:sz w:val="22"/>
    </w:rPr>
  </w:style>
  <w:style w:type="character" w:styleId="WW8Num6z1">
    <w:name w:val="WW8Num6z1"/>
    <w:qFormat/>
    <w:rPr>
      <w:rFonts w:ascii="Courier New" w:hAnsi="Courier New" w:cs="Courier New"/>
    </w:rPr>
  </w:style>
  <w:style w:type="character" w:styleId="WW8Num6z2">
    <w:name w:val="WW8Num6z2"/>
    <w:qFormat/>
    <w:rPr>
      <w:rFonts w:ascii="Noto Sans Symbols" w:hAnsi="Noto Sans Symbols" w:cs="Noto Sans Symbols"/>
    </w:rPr>
  </w:style>
  <w:style w:type="character" w:styleId="WW8Num7z0">
    <w:name w:val="WW8Num7z0"/>
    <w:qFormat/>
    <w:rPr>
      <w:rFonts w:ascii="Arial" w:hAnsi="Arial" w:cs="Arial"/>
      <w:b w:val="false"/>
      <w:sz w:val="22"/>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FooterChar">
    <w:name w:val="Footer Char"/>
    <w:basedOn w:val="DefaultParagraphFont"/>
    <w:qFormat/>
    <w:rPr>
      <w:sz w:val="22"/>
      <w:szCs w:val="22"/>
      <w:lang w:val="en-GB"/>
    </w:rPr>
  </w:style>
  <w:style w:type="character" w:styleId="Pagenumber">
    <w:name w:val="page number"/>
    <w:basedOn w:val="DefaultParagraphFont"/>
    <w:qFormat/>
    <w:rPr/>
  </w:style>
  <w:style w:type="character" w:styleId="HeaderChar">
    <w:name w:val="Header Char"/>
    <w:basedOn w:val="DefaultParagraphFont"/>
    <w:qFormat/>
    <w:rPr>
      <w:sz w:val="22"/>
      <w:szCs w:val="22"/>
      <w:lang w:val="en-GB"/>
    </w:rPr>
  </w:style>
  <w:style w:type="character" w:styleId="DocumentMapChar">
    <w:name w:val="Document Map Char"/>
    <w:basedOn w:val="DefaultParagraphFont"/>
    <w:qFormat/>
    <w:rPr>
      <w:rFonts w:ascii="Times New Roman" w:hAnsi="Times New Roman" w:cs="Times New Roman"/>
      <w:lang w:val="en-GB"/>
    </w:rPr>
  </w:style>
  <w:style w:type="character" w:styleId="Heading2Char">
    <w:name w:val="Heading 2 Char"/>
    <w:basedOn w:val="DefaultParagraphFont"/>
    <w:qFormat/>
    <w:rPr>
      <w:rFonts w:ascii="Arial" w:hAnsi="Arial" w:eastAsia="Times New Roman" w:cs="Arial"/>
      <w:b/>
      <w:bCs/>
      <w:i/>
      <w:iCs/>
      <w:sz w:val="28"/>
      <w:szCs w:val="28"/>
      <w:lang w:val="en-GB"/>
    </w:rPr>
  </w:style>
  <w:style w:type="character" w:styleId="Heading4Char">
    <w:name w:val="Heading 4 Char"/>
    <w:basedOn w:val="DefaultParagraphFont"/>
    <w:qFormat/>
    <w:rPr>
      <w:rFonts w:ascii="ZapfCalligr BT" w:hAnsi="ZapfCalligr BT" w:eastAsia="Times New Roman" w:cs="Times New Roman"/>
      <w:b/>
      <w:szCs w:val="20"/>
      <w:u w:val="single"/>
      <w:lang w:val="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0"/>
      <w:sz w:val="22"/>
      <w:szCs w:val="22"/>
      <w:lang w:val="en-GB" w:eastAsia="en-GB" w:bidi="ar-SA"/>
    </w:rPr>
  </w:style>
  <w:style w:type="paragraph" w:styleId="ListParagraph">
    <w:name w:val="List Paragraph"/>
    <w:basedOn w:val="Normal"/>
    <w:qFormat/>
    <w:pPr>
      <w:spacing w:before="0" w:after="0"/>
      <w:ind w:left="720" w:right="0" w:hanging="0"/>
      <w:contextualSpacing/>
    </w:pPr>
    <w:rPr/>
  </w:style>
  <w:style w:type="paragraph" w:styleId="HeaderandFooter">
    <w:name w:val="Header and Footer"/>
    <w:basedOn w:val="Normal"/>
    <w:qFormat/>
    <w:pPr/>
    <w:rPr/>
  </w:style>
  <w:style w:type="paragraph" w:styleId="Footer">
    <w:name w:val="Footer"/>
    <w:basedOn w:val="Normal"/>
    <w:pPr>
      <w:tabs>
        <w:tab w:val="clear" w:pos="720"/>
        <w:tab w:val="center" w:pos="4513" w:leader="none"/>
        <w:tab w:val="right" w:pos="9026" w:leader="none"/>
      </w:tabs>
    </w:pPr>
    <w:rPr/>
  </w:style>
  <w:style w:type="paragraph" w:styleId="Header">
    <w:name w:val="Header"/>
    <w:basedOn w:val="Normal"/>
    <w:pPr>
      <w:tabs>
        <w:tab w:val="clear" w:pos="720"/>
        <w:tab w:val="center" w:pos="4513" w:leader="none"/>
        <w:tab w:val="right" w:pos="9026" w:leader="none"/>
      </w:tabs>
    </w:pPr>
    <w:rPr/>
  </w:style>
  <w:style w:type="paragraph" w:styleId="DocumentMap">
    <w:name w:val="Document Map"/>
    <w:basedOn w:val="Normal"/>
    <w:qFormat/>
    <w:pPr/>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Northern Education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2024-11-21T12:28:00Z</dcterms:created>
  <dc:creator>Rose, Katie</dc:creator>
  <dc:description/>
  <dc:language>en-US</dc:language>
  <cp:lastModifiedBy>Lowe, Sharon</cp:lastModifiedBy>
  <cp:lastPrinted>1995-11-21T17:41:00Z</cp:lastPrinted>
  <dcterms:modified xsi:type="dcterms:W3CDTF">2026-05-07T14:32:00Z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Northern Education Trust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