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ind w:left="-567" w:right="-461" w:hanging="0"/>
        <w:jc w:val="center"/>
        <w:rPr>
          <w:rFonts w:cs="Calibri Light"/>
          <w:i/>
          <w:i/>
          <w:iCs/>
          <w:color w:val="000000"/>
          <w:sz w:val="24"/>
          <w:szCs w:val="24"/>
        </w:rPr>
      </w:pPr>
      <w:r>
        <w:rPr>
          <w:rFonts w:cs="Calibri Light"/>
          <w:i/>
          <w:iCs/>
          <w:color w:val="000000"/>
          <w:sz w:val="24"/>
          <w:szCs w:val="24"/>
        </w:rPr>
      </w:r>
    </w:p>
    <w:p>
      <w:pPr>
        <w:pStyle w:val="Header"/>
        <w:ind w:left="-567" w:right="-461" w:hanging="0"/>
        <w:jc w:val="center"/>
        <w:rPr>
          <w:rFonts w:cs="Calibri Light"/>
          <w:i/>
          <w:i/>
          <w:iCs/>
          <w:color w:val="000000"/>
          <w:sz w:val="24"/>
          <w:szCs w:val="24"/>
        </w:rPr>
      </w:pPr>
      <w:r>
        <w:rPr>
          <w:rFonts w:cs="Calibri Light"/>
          <w:i/>
          <w:iCs/>
          <w:color w:val="000000"/>
          <w:sz w:val="24"/>
          <w:szCs w:val="24"/>
        </w:rPr>
        <w:t>Changing Lives, Building Futures, Striving for Success</w:t>
      </w:r>
    </w:p>
    <w:p>
      <w:pPr>
        <w:pStyle w:val="Header"/>
        <w:ind w:left="-567" w:right="-461" w:hanging="0"/>
        <w:jc w:val="center"/>
        <w:rPr>
          <w:rFonts w:cs="Calibri Light"/>
          <w:i/>
          <w:i/>
          <w:iCs/>
          <w:color w:val="000000"/>
          <w:sz w:val="24"/>
          <w:szCs w:val="24"/>
        </w:rPr>
      </w:pPr>
      <w:r>
        <w:rPr>
          <w:rFonts w:cs="Calibri Light"/>
          <w:i/>
          <w:iCs/>
          <w:color w:val="000000"/>
          <w:sz w:val="24"/>
          <w:szCs w:val="24"/>
        </w:rPr>
      </w:r>
    </w:p>
    <w:p>
      <w:pPr>
        <w:pStyle w:val="Title"/>
        <w:rPr>
          <w:rFonts w:cs="Calibri Light"/>
        </w:rPr>
      </w:pPr>
      <w:r>
        <w:rPr>
          <w:rFonts w:cs="Calibri Light"/>
        </w:rPr>
        <w:t>CONSTRUCTION TRADE TUTOR – Job Description and Person Specification</w:t>
      </w:r>
    </w:p>
    <w:tbl>
      <w:tblPr>
        <w:tblW w:w="5512" w:type="dxa"/>
        <w:jc w:val="left"/>
        <w:tblInd w:w="0" w:type="dxa"/>
        <w:tblCellMar>
          <w:top w:w="0" w:type="dxa"/>
          <w:left w:w="108" w:type="dxa"/>
          <w:bottom w:w="0" w:type="dxa"/>
          <w:right w:w="108" w:type="dxa"/>
        </w:tblCellMar>
      </w:tblPr>
      <w:tblGrid>
        <w:gridCol w:w="5512"/>
      </w:tblGrid>
      <w:tr>
        <w:trPr>
          <w:trHeight w:val="1453" w:hRule="atLeast"/>
        </w:trPr>
        <w:tc>
          <w:tcPr>
            <w:tcW w:w="551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Calibri Light"/>
              </w:rPr>
              <w:t>Post: Construction Trade Tutor</w:t>
            </w:r>
            <w:r>
              <w:rPr/>
              <w:br/>
            </w:r>
            <w:r>
              <w:rPr>
                <w:rFonts w:cs="Calibri Light"/>
              </w:rPr>
              <w:t>Location: Elysium Training, 10E Silk St, Leigh, WN7 1DE</w:t>
            </w:r>
            <w:r>
              <w:rPr/>
              <w:br/>
            </w:r>
            <w:r>
              <w:rPr>
                <w:rFonts w:cs="Calibri Light"/>
              </w:rPr>
              <w:t>Hours: 40</w:t>
            </w:r>
            <w:r>
              <w:rPr/>
              <w:br/>
            </w:r>
            <w:r>
              <w:rPr>
                <w:rFonts w:cs="Calibri Light"/>
                <w:lang w:val="en-GB"/>
              </w:rPr>
              <w:t>Responsible To: Headteacher</w:t>
            </w:r>
          </w:p>
        </w:tc>
      </w:tr>
    </w:tbl>
    <w:p>
      <w:pPr>
        <w:pStyle w:val="Heading1"/>
        <w:rPr>
          <w:rFonts w:cs="Calibri Light"/>
        </w:rPr>
      </w:pPr>
      <w:r>
        <w:rPr>
          <w:rFonts w:cs="Calibri Light"/>
        </w:rPr>
        <w:t>Elysium Training Context</w:t>
      </w:r>
    </w:p>
    <w:p>
      <w:pPr>
        <w:pStyle w:val="NoSpacing"/>
        <w:rPr>
          <w:lang w:val="en-GB"/>
        </w:rPr>
      </w:pPr>
      <w:r>
        <w:rPr>
          <w:lang w:val="en-GB"/>
        </w:rPr>
        <w:t>Elysium Training provides alternative provision for young people with significant barriers to learning, all of whom have Education, Health and Care Plans (EHCPs). We specialise in supporting learners with SEND, primarily those with SEMH needs, offering KS4 intervention and a post-16 curriculum.</w:t>
      </w:r>
    </w:p>
    <w:p>
      <w:pPr>
        <w:pStyle w:val="NoSpacing"/>
        <w:rPr>
          <w:lang w:val="en-GB"/>
        </w:rPr>
      </w:pPr>
      <w:r>
        <w:rPr>
          <w:lang w:val="en-GB"/>
        </w:rPr>
      </w:r>
    </w:p>
    <w:p>
      <w:pPr>
        <w:pStyle w:val="NoSpacing"/>
        <w:rPr>
          <w:lang w:val="en-GB"/>
        </w:rPr>
      </w:pPr>
      <w:r>
        <w:rPr>
          <w:lang w:val="en-GB"/>
        </w:rPr>
        <w:t>Our programmes combine construction-based vocational pathways with Preparing for Adulthood and employability skills, delivered through a trauma-informed, relational approach.</w:t>
      </w:r>
    </w:p>
    <w:p>
      <w:pPr>
        <w:pStyle w:val="NoSpacing"/>
        <w:rPr>
          <w:lang w:val="en-GB"/>
        </w:rPr>
      </w:pPr>
      <w:r>
        <w:rPr>
          <w:lang w:val="en-GB"/>
        </w:rPr>
      </w:r>
    </w:p>
    <w:p>
      <w:pPr>
        <w:pStyle w:val="NoSpacing"/>
        <w:rPr>
          <w:lang w:val="en-GB"/>
        </w:rPr>
      </w:pPr>
      <w:r>
        <w:rPr>
          <w:lang w:val="en-GB"/>
        </w:rPr>
        <w:t>Many of our learners have experienced disrupted education, exclusion or anxiety within traditional settings. Elysium provides a structured, safe and purposeful environment where learners can rebuild confidence, develop practical competence and progress towards realistic, meaningful adult outcomes.</w:t>
      </w:r>
    </w:p>
    <w:p>
      <w:pPr>
        <w:pStyle w:val="NoSpacing"/>
        <w:rPr>
          <w:lang w:val="en-GB"/>
        </w:rPr>
      </w:pPr>
      <w:r>
        <w:rPr>
          <w:lang w:val="en-GB"/>
        </w:rPr>
      </w:r>
    </w:p>
    <w:p>
      <w:pPr>
        <w:pStyle w:val="NoSpacing"/>
        <w:rPr/>
      </w:pPr>
      <w:r>
        <w:rPr>
          <w:lang w:val="en-GB"/>
        </w:rPr>
        <w:t xml:space="preserve">Our mission — </w:t>
      </w:r>
      <w:r>
        <w:rPr>
          <w:i/>
          <w:iCs/>
          <w:lang w:val="en-GB"/>
        </w:rPr>
        <w:t>Changing Lives, Building Futures, Striving for Success</w:t>
      </w:r>
      <w:r>
        <w:rPr>
          <w:lang w:val="en-GB"/>
        </w:rPr>
        <w:t xml:space="preserve"> — is underpinned by our values:</w:t>
      </w:r>
    </w:p>
    <w:p>
      <w:pPr>
        <w:pStyle w:val="NoSpacing"/>
        <w:rPr>
          <w:b/>
          <w:b/>
          <w:bCs/>
          <w:lang w:val="en-GB"/>
        </w:rPr>
      </w:pPr>
      <w:r>
        <w:rPr>
          <w:b/>
          <w:bCs/>
          <w:lang w:val="en-GB"/>
        </w:rPr>
      </w:r>
    </w:p>
    <w:p>
      <w:pPr>
        <w:pStyle w:val="NoSpacing"/>
        <w:rPr>
          <w:b/>
          <w:b/>
          <w:bCs/>
          <w:lang w:val="en-GB"/>
        </w:rPr>
      </w:pPr>
      <w:r>
        <w:rPr>
          <w:b/>
          <w:bCs/>
          <w:lang w:val="en-GB"/>
        </w:rPr>
        <w:t>Self-Worth | Unity | Creativity | Commitment | Empathy | Safety | Stability</w:t>
      </w:r>
    </w:p>
    <w:p>
      <w:pPr>
        <w:pStyle w:val="NoSpacing"/>
        <w:rPr>
          <w:lang w:val="en-GB"/>
        </w:rPr>
      </w:pPr>
      <w:r>
        <w:rPr>
          <w:lang w:val="en-GB"/>
        </w:rPr>
      </w:r>
    </w:p>
    <w:p>
      <w:pPr>
        <w:pStyle w:val="NoSpacing"/>
        <w:rPr>
          <w:lang w:val="en-GB"/>
        </w:rPr>
      </w:pPr>
      <w:r>
        <w:rPr>
          <w:lang w:val="en-GB"/>
        </w:rPr>
        <w:t>These values shape our culture, relationships and daily practice.</w:t>
      </w:r>
    </w:p>
    <w:p>
      <w:pPr>
        <w:pStyle w:val="Heading1"/>
        <w:rPr>
          <w:rFonts w:cs="Calibri Light"/>
        </w:rPr>
      </w:pPr>
      <w:r>
        <w:rPr>
          <w:rFonts w:cs="Calibri Light"/>
        </w:rPr>
        <w:t>Purpose of the Role</w:t>
      </w:r>
    </w:p>
    <w:p>
      <w:pPr>
        <w:pStyle w:val="Normal"/>
        <w:rPr/>
      </w:pPr>
      <w:r>
        <w:rPr>
          <w:rFonts w:cs="Calibri Light"/>
          <w:lang w:val="en-GB"/>
        </w:rPr>
        <w:t xml:space="preserve">The Construction Trade Tutor will deliver high-quality teaching, learning, and assessment across the </w:t>
      </w:r>
      <w:r>
        <w:rPr>
          <w:rFonts w:cs="Calibri Light"/>
          <w:b/>
          <w:bCs/>
          <w:lang w:val="en-GB"/>
        </w:rPr>
        <w:t>NOCN Level 1 Basic Construction Skills</w:t>
      </w:r>
      <w:r>
        <w:rPr>
          <w:rFonts w:cs="Calibri Light"/>
          <w:lang w:val="en-GB"/>
        </w:rPr>
        <w:t xml:space="preserve"> and </w:t>
      </w:r>
      <w:r>
        <w:rPr>
          <w:rFonts w:cs="Calibri Light"/>
          <w:b/>
          <w:bCs/>
          <w:lang w:val="en-GB"/>
        </w:rPr>
        <w:t>Level 2 Construction Multi-Skills</w:t>
      </w:r>
      <w:r>
        <w:rPr>
          <w:rFonts w:cs="Calibri Light"/>
          <w:lang w:val="en-GB"/>
        </w:rPr>
        <w:t xml:space="preserve"> qualifications. The focus of the role is to teach a range of practical construction competencies across trades (e.g., joinery, bricklaying, tiling, painting &amp; decorating), ensuring learners develop the skills, confidence, and knowledge required for progression.</w:t>
      </w:r>
    </w:p>
    <w:p>
      <w:pPr>
        <w:pStyle w:val="Normal"/>
        <w:rPr>
          <w:rFonts w:cs="Calibri Light"/>
          <w:lang w:val="en-GB"/>
        </w:rPr>
      </w:pPr>
      <w:r>
        <w:rPr>
          <w:rFonts w:cs="Calibri Light"/>
          <w:lang w:val="en-GB"/>
        </w:rPr>
        <w:t>The postholder will work with learners aged 16+ who have SEMH and SEND needs. Creating a safe, structured, and supportive workshop environment is central to this role, as is building positive relationships that promote motivation, resilience, and independence. The tutor will reinforce the soft skills, safe working practices, and positive routines required for workplace readiness.</w:t>
      </w:r>
    </w:p>
    <w:p>
      <w:pPr>
        <w:pStyle w:val="Normal"/>
        <w:rPr>
          <w:rFonts w:cs="Calibri Light"/>
          <w:lang w:val="en-GB"/>
        </w:rPr>
      </w:pPr>
      <w:r>
        <w:rPr>
          <w:rFonts w:cs="Calibri Light"/>
          <w:lang w:val="en-GB"/>
        </w:rPr>
        <w:t>A willingness to complete a recognised teaching qualification (e.g., Level 3 AET) is expected if not already held.</w:t>
      </w:r>
    </w:p>
    <w:p>
      <w:pPr>
        <w:pStyle w:val="Heading1"/>
        <w:rPr>
          <w:rFonts w:cs="Calibri Light"/>
        </w:rPr>
      </w:pPr>
      <w:r>
        <w:rPr>
          <w:rFonts w:cs="Calibri Light"/>
        </w:rPr>
        <w:t>Key Responsibilities</w:t>
      </w:r>
    </w:p>
    <w:p>
      <w:pPr>
        <w:pStyle w:val="Heading2"/>
        <w:rPr>
          <w:rFonts w:cs="Calibri Light"/>
        </w:rPr>
      </w:pPr>
      <w:r>
        <w:rPr>
          <w:rFonts w:cs="Calibri Light"/>
        </w:rPr>
        <w:t>1. Teaching, Learning &amp; Assessment (Construction Focus)</w:t>
      </w:r>
    </w:p>
    <w:p>
      <w:pPr>
        <w:pStyle w:val="NoSpacing"/>
        <w:numPr>
          <w:ilvl w:val="0"/>
          <w:numId w:val="2"/>
        </w:numPr>
        <w:rPr>
          <w:rFonts w:cs="Calibri Light"/>
          <w:lang w:val="en-GB"/>
        </w:rPr>
      </w:pPr>
      <w:r>
        <w:rPr>
          <w:rFonts w:cs="Calibri Light"/>
          <w:lang w:val="en-GB"/>
        </w:rPr>
        <w:t>Deliver engaging, hands-on practical sessions and construction theory aligned to NOCN qualification requirements.</w:t>
      </w:r>
    </w:p>
    <w:p>
      <w:pPr>
        <w:pStyle w:val="NoSpacing"/>
        <w:numPr>
          <w:ilvl w:val="0"/>
          <w:numId w:val="2"/>
        </w:numPr>
        <w:rPr>
          <w:rFonts w:cs="Calibri Light"/>
          <w:lang w:val="en-GB"/>
        </w:rPr>
      </w:pPr>
      <w:r>
        <w:rPr>
          <w:rFonts w:cs="Calibri Light"/>
          <w:lang w:val="en-GB"/>
        </w:rPr>
        <w:t>Teach a range of basic trade skills across multi-skills pathways.</w:t>
      </w:r>
    </w:p>
    <w:p>
      <w:pPr>
        <w:pStyle w:val="NoSpacing"/>
        <w:numPr>
          <w:ilvl w:val="0"/>
          <w:numId w:val="2"/>
        </w:numPr>
        <w:rPr>
          <w:rFonts w:cs="Calibri Light"/>
          <w:lang w:val="en-GB"/>
        </w:rPr>
      </w:pPr>
      <w:r>
        <w:rPr>
          <w:rFonts w:cs="Calibri Light"/>
          <w:lang w:val="en-GB"/>
        </w:rPr>
        <w:t>Plan and adapt lessons to meet individual learning needs, SEMH profiles, and SEND strategies—including Pen Portraits, SEND Profiles, and ILPs.</w:t>
      </w:r>
    </w:p>
    <w:p>
      <w:pPr>
        <w:pStyle w:val="NoSpacing"/>
        <w:numPr>
          <w:ilvl w:val="0"/>
          <w:numId w:val="2"/>
        </w:numPr>
        <w:rPr>
          <w:rFonts w:cs="Calibri Light"/>
          <w:lang w:val="en-GB"/>
        </w:rPr>
      </w:pPr>
      <w:r>
        <w:rPr>
          <w:rFonts w:cs="Calibri Light"/>
          <w:lang w:val="en-GB"/>
        </w:rPr>
        <w:t>Carry out baseline diagnostics and formative assessment to determine appropriate starting points and measure progress.</w:t>
      </w:r>
    </w:p>
    <w:p>
      <w:pPr>
        <w:pStyle w:val="NoSpacing"/>
        <w:numPr>
          <w:ilvl w:val="0"/>
          <w:numId w:val="2"/>
        </w:numPr>
        <w:rPr>
          <w:rFonts w:cs="Calibri Light"/>
          <w:lang w:val="en-GB"/>
        </w:rPr>
      </w:pPr>
      <w:r>
        <w:rPr>
          <w:rFonts w:cs="Calibri Light"/>
          <w:lang w:val="en-GB"/>
        </w:rPr>
        <w:t>Prepare learners for NOCN assessment requirements, including practical assessments, portfolio evidence, and live assessments - Level2 only.</w:t>
      </w:r>
    </w:p>
    <w:p>
      <w:pPr>
        <w:pStyle w:val="NoSpacing"/>
        <w:numPr>
          <w:ilvl w:val="0"/>
          <w:numId w:val="2"/>
        </w:numPr>
        <w:rPr>
          <w:rFonts w:cs="Calibri Light"/>
          <w:lang w:val="en-GB"/>
        </w:rPr>
      </w:pPr>
      <w:r>
        <w:rPr>
          <w:rFonts w:cs="Calibri Light"/>
          <w:lang w:val="en-GB"/>
        </w:rPr>
        <w:t>Maintain accurate assessment records, ensuring all work meets internal and external verification standards.</w:t>
      </w:r>
    </w:p>
    <w:p>
      <w:pPr>
        <w:pStyle w:val="NoSpacing"/>
        <w:numPr>
          <w:ilvl w:val="0"/>
          <w:numId w:val="2"/>
        </w:numPr>
        <w:rPr>
          <w:rFonts w:cs="Calibri Light"/>
        </w:rPr>
      </w:pPr>
      <w:r>
        <w:rPr>
          <w:rFonts w:cs="Calibri Light"/>
        </w:rPr>
        <w:t>Embed the development of English, maths, communication and employability skills into all construction learning activities, supporting learners’ functional skill development in a practical, vocational context.</w:t>
      </w:r>
    </w:p>
    <w:p>
      <w:pPr>
        <w:pStyle w:val="NoSpacing"/>
        <w:numPr>
          <w:ilvl w:val="0"/>
          <w:numId w:val="2"/>
        </w:numPr>
        <w:rPr>
          <w:rFonts w:cs="Calibri Light"/>
          <w:lang w:val="en-GB"/>
        </w:rPr>
      </w:pPr>
      <w:r>
        <w:rPr>
          <w:rFonts w:cs="Calibri Light"/>
          <w:lang w:val="en-GB"/>
        </w:rPr>
        <w:t>Embed Health &amp; Safety working practices, ensuring all learners understand expectations and behaviours required for safe workshop practice and progression toward CSCS readiness.</w:t>
      </w:r>
    </w:p>
    <w:p>
      <w:pPr>
        <w:pStyle w:val="NoSpacing"/>
        <w:numPr>
          <w:ilvl w:val="0"/>
          <w:numId w:val="2"/>
        </w:numPr>
        <w:rPr>
          <w:rFonts w:cs="Calibri Light"/>
        </w:rPr>
      </w:pPr>
      <w:r>
        <w:rPr>
          <w:rFonts w:cs="Calibri Light"/>
        </w:rPr>
        <w:t>Contribute to internal tracking of learner progress, ensuring assessment information is shared with relevant internal teams to support ILPs, EHCP outcomes and internal reviews.</w:t>
      </w:r>
    </w:p>
    <w:p>
      <w:pPr>
        <w:pStyle w:val="Heading2"/>
        <w:rPr>
          <w:rFonts w:cs="Calibri Light"/>
        </w:rPr>
      </w:pPr>
      <w:r>
        <w:rPr>
          <w:rFonts w:cs="Calibri Light"/>
        </w:rPr>
        <w:t>2. Creating a Safe, Inclusive and Supportive Learning Environment</w:t>
      </w:r>
    </w:p>
    <w:p>
      <w:pPr>
        <w:pStyle w:val="NoSpacing"/>
        <w:numPr>
          <w:ilvl w:val="0"/>
          <w:numId w:val="3"/>
        </w:numPr>
        <w:rPr>
          <w:rFonts w:cs="Calibri Light"/>
          <w:lang w:val="en-GB"/>
        </w:rPr>
      </w:pPr>
      <w:r>
        <w:rPr>
          <w:rFonts w:cs="Calibri Light"/>
          <w:lang w:val="en-GB"/>
        </w:rPr>
        <w:t>Build positive, professional relationships that promote emotional safety, belonging, and motivation.</w:t>
      </w:r>
    </w:p>
    <w:p>
      <w:pPr>
        <w:pStyle w:val="NoSpacing"/>
        <w:numPr>
          <w:ilvl w:val="0"/>
          <w:numId w:val="3"/>
        </w:numPr>
        <w:rPr>
          <w:rFonts w:cs="Calibri Light"/>
          <w:lang w:val="en-GB"/>
        </w:rPr>
      </w:pPr>
      <w:r>
        <w:rPr>
          <w:rFonts w:cs="Calibri Light"/>
          <w:lang w:val="en-GB"/>
        </w:rPr>
        <w:t>Use trauma-informed, relational behaviour strategies to de-escalate situations and promote consistent routines.</w:t>
      </w:r>
    </w:p>
    <w:p>
      <w:pPr>
        <w:pStyle w:val="NoSpacing"/>
        <w:numPr>
          <w:ilvl w:val="0"/>
          <w:numId w:val="3"/>
        </w:numPr>
        <w:rPr>
          <w:rFonts w:cs="Calibri Light"/>
          <w:lang w:val="en-GB"/>
        </w:rPr>
      </w:pPr>
      <w:r>
        <w:rPr>
          <w:rFonts w:cs="Calibri Light"/>
          <w:lang w:val="en-GB"/>
        </w:rPr>
        <w:t>Adapt teaching to support learners who may exhibit anxiety, low confidence, or challenge within learning.</w:t>
      </w:r>
    </w:p>
    <w:p>
      <w:pPr>
        <w:pStyle w:val="NoSpacing"/>
        <w:numPr>
          <w:ilvl w:val="0"/>
          <w:numId w:val="3"/>
        </w:numPr>
        <w:rPr>
          <w:rFonts w:cs="Calibri Light"/>
          <w:lang w:val="en-GB"/>
        </w:rPr>
      </w:pPr>
      <w:r>
        <w:rPr>
          <w:rFonts w:cs="Calibri Light"/>
          <w:lang w:val="en-GB"/>
        </w:rPr>
        <w:t>Promote Elysium Training’s values throughout daily practice, modelling empathy, respect, stability, and commitment.</w:t>
      </w:r>
    </w:p>
    <w:p>
      <w:pPr>
        <w:pStyle w:val="NoSpacing"/>
        <w:numPr>
          <w:ilvl w:val="0"/>
          <w:numId w:val="3"/>
        </w:numPr>
        <w:rPr>
          <w:rFonts w:cs="Calibri Light"/>
        </w:rPr>
      </w:pPr>
      <w:r>
        <w:rPr>
          <w:rFonts w:cs="Calibri Light"/>
        </w:rPr>
        <w:t>Promote British Values, equality, diversity and inclusion through everyday practice within the workshop environment, ensuring all learners feel respected, valued and safe.</w:t>
      </w:r>
    </w:p>
    <w:p>
      <w:pPr>
        <w:pStyle w:val="NoSpacing"/>
        <w:numPr>
          <w:ilvl w:val="0"/>
          <w:numId w:val="3"/>
        </w:numPr>
        <w:rPr>
          <w:rFonts w:cs="Calibri Light"/>
        </w:rPr>
      </w:pPr>
      <w:r>
        <w:rPr>
          <w:rFonts w:cs="Calibri Light"/>
        </w:rPr>
        <w:t>Support learners’ personal development, confidence, resilience, and preparation for adulthood through the vocational curriculum.</w:t>
      </w:r>
    </w:p>
    <w:p>
      <w:pPr>
        <w:pStyle w:val="Heading2"/>
        <w:rPr>
          <w:rFonts w:cs="Calibri Light"/>
        </w:rPr>
      </w:pPr>
      <w:r>
        <w:rPr>
          <w:rFonts w:cs="Calibri Light"/>
        </w:rPr>
        <w:t>3. Workshop Management &amp; Health and Safety</w:t>
      </w:r>
    </w:p>
    <w:p>
      <w:pPr>
        <w:pStyle w:val="NoSpacing"/>
        <w:numPr>
          <w:ilvl w:val="0"/>
          <w:numId w:val="4"/>
        </w:numPr>
        <w:rPr>
          <w:rFonts w:cs="Calibri Light"/>
          <w:lang w:val="en-GB"/>
        </w:rPr>
      </w:pPr>
      <w:r>
        <w:rPr>
          <w:rFonts w:cs="Calibri Light"/>
          <w:lang w:val="en-GB"/>
        </w:rPr>
        <w:t>Ensure the workshop environment, tools, and materials meet safety, compliance, and awarding-body requirements.</w:t>
      </w:r>
    </w:p>
    <w:p>
      <w:pPr>
        <w:pStyle w:val="NoSpacing"/>
        <w:numPr>
          <w:ilvl w:val="0"/>
          <w:numId w:val="4"/>
        </w:numPr>
        <w:rPr>
          <w:rFonts w:cs="Calibri Light"/>
          <w:lang w:val="en-GB"/>
        </w:rPr>
      </w:pPr>
      <w:r>
        <w:rPr>
          <w:rFonts w:cs="Calibri Light"/>
          <w:lang w:val="en-GB"/>
        </w:rPr>
        <w:t>Complete risk assessments, report hazards, and ensure safe systems of work at all times.</w:t>
      </w:r>
    </w:p>
    <w:p>
      <w:pPr>
        <w:pStyle w:val="NoSpacing"/>
        <w:numPr>
          <w:ilvl w:val="0"/>
          <w:numId w:val="4"/>
        </w:numPr>
        <w:rPr>
          <w:rFonts w:cs="Calibri Light"/>
          <w:lang w:val="en-GB"/>
        </w:rPr>
      </w:pPr>
      <w:r>
        <w:rPr>
          <w:rFonts w:cs="Calibri Light"/>
          <w:lang w:val="en-GB"/>
        </w:rPr>
        <w:t>Monitor appropriate use of PPE, equipment, and machinery.</w:t>
      </w:r>
    </w:p>
    <w:p>
      <w:pPr>
        <w:pStyle w:val="NoSpacing"/>
        <w:numPr>
          <w:ilvl w:val="0"/>
          <w:numId w:val="4"/>
        </w:numPr>
        <w:rPr>
          <w:rFonts w:cs="Calibri Light"/>
          <w:lang w:val="en-GB"/>
        </w:rPr>
      </w:pPr>
      <w:r>
        <w:rPr>
          <w:rFonts w:cs="Calibri Light"/>
          <w:lang w:val="en-GB"/>
        </w:rPr>
        <w:t>Maintain stock levels, prepare resources, and ensure an organised, safe learning space.</w:t>
      </w:r>
    </w:p>
    <w:p>
      <w:pPr>
        <w:pStyle w:val="Heading2"/>
        <w:rPr>
          <w:rFonts w:cs="Calibri Light"/>
        </w:rPr>
      </w:pPr>
      <w:r>
        <w:rPr>
          <w:rFonts w:cs="Calibri Light"/>
        </w:rPr>
        <w:t>4. Curriculum Contribution</w:t>
      </w:r>
    </w:p>
    <w:p>
      <w:pPr>
        <w:pStyle w:val="NoSpacing"/>
        <w:numPr>
          <w:ilvl w:val="0"/>
          <w:numId w:val="5"/>
        </w:numPr>
        <w:rPr>
          <w:rFonts w:cs="Calibri Light"/>
          <w:lang w:val="en-GB"/>
        </w:rPr>
      </w:pPr>
      <w:r>
        <w:rPr>
          <w:rFonts w:cs="Calibri Light"/>
          <w:lang w:val="en-GB"/>
        </w:rPr>
        <w:t>Support the ongoing shaping of a construction curriculum that is practical, engaging, and suited to young adults with SEMH/SEND needs.</w:t>
      </w:r>
    </w:p>
    <w:p>
      <w:pPr>
        <w:pStyle w:val="NoSpacing"/>
        <w:numPr>
          <w:ilvl w:val="0"/>
          <w:numId w:val="5"/>
        </w:numPr>
        <w:rPr>
          <w:rFonts w:cs="Calibri Light"/>
          <w:lang w:val="en-GB"/>
        </w:rPr>
      </w:pPr>
      <w:r>
        <w:rPr>
          <w:rFonts w:cs="Calibri Light"/>
          <w:lang w:val="en-GB"/>
        </w:rPr>
        <w:t>Contribute to the design of session plans, schemes of work, and project-based learning activities aligned with industry expectations and local labour market needs.</w:t>
      </w:r>
    </w:p>
    <w:p>
      <w:pPr>
        <w:pStyle w:val="NoSpacing"/>
        <w:numPr>
          <w:ilvl w:val="0"/>
          <w:numId w:val="5"/>
        </w:numPr>
        <w:rPr>
          <w:rFonts w:cs="Calibri Light"/>
          <w:lang w:val="en-GB"/>
        </w:rPr>
      </w:pPr>
      <w:r>
        <w:rPr>
          <w:rFonts w:cs="Calibri Light"/>
          <w:lang w:val="en-GB"/>
        </w:rPr>
        <w:t>Work collaboratively with colleagues delivering Functional Skills, Personal Development, and Careers to ensure that construction learning is integrated into the wider educational experience.</w:t>
      </w:r>
    </w:p>
    <w:p>
      <w:pPr>
        <w:pStyle w:val="NoSpacing"/>
        <w:numPr>
          <w:ilvl w:val="0"/>
          <w:numId w:val="5"/>
        </w:numPr>
        <w:rPr>
          <w:rFonts w:cs="Calibri Light"/>
        </w:rPr>
      </w:pPr>
      <w:r>
        <w:rPr>
          <w:rFonts w:cs="Calibri Light"/>
        </w:rPr>
        <w:t>Support the integration of careers education, workplace expectations and transition planning into construction learning, preparing learners for apprenticeships, employment or further training.</w:t>
      </w:r>
    </w:p>
    <w:p>
      <w:pPr>
        <w:pStyle w:val="Heading2"/>
        <w:rPr>
          <w:rFonts w:cs="Calibri Light"/>
        </w:rPr>
      </w:pPr>
      <w:r>
        <w:rPr>
          <w:rFonts w:cs="Calibri Light"/>
        </w:rPr>
        <w:t>5. Record-Keeping, Reporting &amp; Communication</w:t>
      </w:r>
    </w:p>
    <w:p>
      <w:pPr>
        <w:pStyle w:val="NoSpacing"/>
        <w:numPr>
          <w:ilvl w:val="0"/>
          <w:numId w:val="6"/>
        </w:numPr>
        <w:rPr>
          <w:rFonts w:cs="Calibri Light"/>
          <w:lang w:val="en-GB"/>
        </w:rPr>
      </w:pPr>
      <w:r>
        <w:rPr>
          <w:rFonts w:cs="Calibri Light"/>
          <w:lang w:val="en-GB"/>
        </w:rPr>
        <w:t>Maintain accurate ILPs, progress reviews, assessment portfolios, attendance records, and workshop logs.</w:t>
      </w:r>
    </w:p>
    <w:p>
      <w:pPr>
        <w:pStyle w:val="NoSpacing"/>
        <w:numPr>
          <w:ilvl w:val="0"/>
          <w:numId w:val="6"/>
        </w:numPr>
        <w:rPr>
          <w:rFonts w:cs="Calibri Light"/>
          <w:lang w:val="en-GB"/>
        </w:rPr>
      </w:pPr>
      <w:r>
        <w:rPr>
          <w:rFonts w:cs="Calibri Light"/>
          <w:lang w:val="en-GB"/>
        </w:rPr>
        <w:t>Liaise with SENDCo, the pastoral and senior leadership teams to ensure learners’ needs are understood and supported.</w:t>
      </w:r>
    </w:p>
    <w:p>
      <w:pPr>
        <w:pStyle w:val="NoSpacing"/>
        <w:numPr>
          <w:ilvl w:val="0"/>
          <w:numId w:val="6"/>
        </w:numPr>
        <w:rPr>
          <w:rFonts w:cs="Calibri Light"/>
        </w:rPr>
      </w:pPr>
      <w:r>
        <w:rPr>
          <w:rFonts w:cs="Calibri Light"/>
        </w:rPr>
        <w:t>Contribute to internal EHCP review processes, providing progress updates, observations and evidence to support outcomes and learner support planning.</w:t>
      </w:r>
    </w:p>
    <w:p>
      <w:pPr>
        <w:pStyle w:val="NoSpacing"/>
        <w:numPr>
          <w:ilvl w:val="0"/>
          <w:numId w:val="6"/>
        </w:numPr>
        <w:rPr>
          <w:rFonts w:cs="Calibri Light"/>
        </w:rPr>
      </w:pPr>
      <w:r>
        <w:rPr>
          <w:rFonts w:cs="Calibri Light"/>
        </w:rPr>
        <w:t>Support internal quality assurance processes including moderation, audit checks, portfolio sampling, and observation activities to maintain high standards across the provision.</w:t>
      </w:r>
    </w:p>
    <w:p>
      <w:pPr>
        <w:pStyle w:val="NoSpacing"/>
        <w:numPr>
          <w:ilvl w:val="0"/>
          <w:numId w:val="6"/>
        </w:numPr>
        <w:rPr>
          <w:rFonts w:cs="Calibri Light"/>
          <w:lang w:val="en-GB"/>
        </w:rPr>
      </w:pPr>
      <w:r>
        <w:rPr>
          <w:rFonts w:cs="Calibri Light"/>
          <w:lang w:val="en-GB"/>
        </w:rPr>
        <w:t>Contribute to learner review meetings and support planning where required.</w:t>
      </w:r>
    </w:p>
    <w:p>
      <w:pPr>
        <w:pStyle w:val="NoSpacing"/>
        <w:numPr>
          <w:ilvl w:val="0"/>
          <w:numId w:val="6"/>
        </w:numPr>
        <w:rPr>
          <w:rFonts w:cs="Calibri Light"/>
        </w:rPr>
      </w:pPr>
      <w:r>
        <w:rPr>
          <w:rFonts w:cs="Calibri Light"/>
        </w:rPr>
        <w:t>Participate in external verification activities to ensure compliance with awarding-body requirements.</w:t>
      </w:r>
    </w:p>
    <w:p>
      <w:pPr>
        <w:pStyle w:val="Heading1"/>
        <w:rPr/>
      </w:pPr>
      <w:r>
        <w:rPr/>
        <w:t>Team Working</w:t>
      </w:r>
    </w:p>
    <w:p>
      <w:pPr>
        <w:pStyle w:val="NoSpacing"/>
        <w:numPr>
          <w:ilvl w:val="0"/>
          <w:numId w:val="13"/>
        </w:numPr>
        <w:rPr>
          <w:lang w:val="en-GB"/>
        </w:rPr>
      </w:pPr>
      <w:r>
        <w:rPr>
          <w:lang w:val="en-GB"/>
        </w:rPr>
        <w:t>Work collaboratively with the Senior Leadership Team, SENDCo, Tutors, Learning Support Assistants and Pastoral Team to ensure integrated delivery. </w:t>
      </w:r>
    </w:p>
    <w:p>
      <w:pPr>
        <w:pStyle w:val="NoSpacing"/>
        <w:numPr>
          <w:ilvl w:val="0"/>
          <w:numId w:val="14"/>
        </w:numPr>
        <w:rPr>
          <w:lang w:val="en-GB"/>
        </w:rPr>
      </w:pPr>
      <w:r>
        <w:rPr>
          <w:lang w:val="en-GB"/>
        </w:rPr>
        <w:t>Contribute to a consistent, reflective and solution-focused organisational culture. </w:t>
      </w:r>
    </w:p>
    <w:p>
      <w:pPr>
        <w:pStyle w:val="NoSpacing"/>
        <w:numPr>
          <w:ilvl w:val="0"/>
          <w:numId w:val="15"/>
        </w:numPr>
        <w:rPr>
          <w:lang w:val="en-GB"/>
        </w:rPr>
      </w:pPr>
      <w:r>
        <w:rPr>
          <w:lang w:val="en-GB"/>
        </w:rPr>
        <w:t>Participate in staff meetings, supervision, reflective practice, training and CPD. </w:t>
      </w:r>
    </w:p>
    <w:p>
      <w:pPr>
        <w:pStyle w:val="NoSpacing"/>
        <w:numPr>
          <w:ilvl w:val="0"/>
          <w:numId w:val="16"/>
        </w:numPr>
        <w:rPr>
          <w:lang w:val="en-GB"/>
        </w:rPr>
      </w:pPr>
      <w:r>
        <w:rPr>
          <w:lang w:val="en-GB"/>
        </w:rPr>
        <w:t>Support whole-organisation activities, enrichment and employer or community engagement where appropriate. </w:t>
      </w:r>
    </w:p>
    <w:p>
      <w:pPr>
        <w:pStyle w:val="NoSpacing"/>
        <w:numPr>
          <w:ilvl w:val="0"/>
          <w:numId w:val="17"/>
        </w:numPr>
        <w:rPr>
          <w:lang w:val="en-GB"/>
        </w:rPr>
      </w:pPr>
      <w:r>
        <w:rPr>
          <w:lang w:val="en-GB"/>
        </w:rPr>
        <w:t>Model Elysium’s values and professional expectations in all interactions. </w:t>
      </w:r>
    </w:p>
    <w:p>
      <w:pPr>
        <w:pStyle w:val="Heading1"/>
        <w:rPr>
          <w:rFonts w:cs="Calibri Light"/>
        </w:rPr>
      </w:pPr>
      <w:r>
        <w:rPr>
          <w:rFonts w:cs="Calibri Light"/>
        </w:rPr>
        <w:t>Safeguarding and Professional Conduct</w:t>
      </w:r>
    </w:p>
    <w:p>
      <w:pPr>
        <w:pStyle w:val="NoSpacing"/>
        <w:rPr/>
      </w:pPr>
      <w:r>
        <w:rPr/>
        <w:t>All staff at Elysium play a vital role in creating a safe, stable, and supportive environment for every learner. </w:t>
      </w:r>
      <w:r>
        <w:rPr>
          <w:lang w:val="en-GB"/>
        </w:rPr>
        <w:t> </w:t>
      </w:r>
    </w:p>
    <w:p>
      <w:pPr>
        <w:pStyle w:val="NoSpacing"/>
        <w:rPr>
          <w:lang w:val="en-GB"/>
        </w:rPr>
      </w:pPr>
      <w:r>
        <w:rPr>
          <w:lang w:val="en-GB"/>
        </w:rPr>
      </w:r>
    </w:p>
    <w:p>
      <w:pPr>
        <w:pStyle w:val="NoSpacing"/>
        <w:rPr>
          <w:lang w:val="en-GB"/>
        </w:rPr>
      </w:pPr>
      <w:r>
        <w:rPr>
          <w:lang w:val="en-GB"/>
        </w:rPr>
        <w:t>The Postholder must: </w:t>
      </w:r>
    </w:p>
    <w:p>
      <w:pPr>
        <w:pStyle w:val="NoSpacing"/>
        <w:numPr>
          <w:ilvl w:val="0"/>
          <w:numId w:val="7"/>
        </w:numPr>
        <w:rPr/>
      </w:pPr>
      <w:r>
        <w:rPr>
          <w:lang w:val="en-GB"/>
        </w:rPr>
        <w:t>Uphold Elysium Training’s safeguarding responsibilities in accordance with </w:t>
      </w:r>
      <w:r>
        <w:rPr>
          <w:b/>
          <w:bCs/>
          <w:lang w:val="en-GB"/>
        </w:rPr>
        <w:t>Keeping Children Safe in Education (2025)</w:t>
      </w:r>
      <w:r>
        <w:rPr>
          <w:lang w:val="en-GB"/>
        </w:rPr>
        <w:t> and local authority procedures. </w:t>
      </w:r>
    </w:p>
    <w:p>
      <w:pPr>
        <w:pStyle w:val="NoSpacing"/>
        <w:numPr>
          <w:ilvl w:val="0"/>
          <w:numId w:val="8"/>
        </w:numPr>
        <w:rPr>
          <w:lang w:val="en-GB"/>
        </w:rPr>
      </w:pPr>
      <w:r>
        <w:rPr>
          <w:lang w:val="en-GB"/>
        </w:rPr>
        <w:t>Recognise and report safeguarding concerns promptly to the DSL or Deputy DSL. </w:t>
      </w:r>
    </w:p>
    <w:p>
      <w:pPr>
        <w:pStyle w:val="NoSpacing"/>
        <w:numPr>
          <w:ilvl w:val="0"/>
          <w:numId w:val="9"/>
        </w:numPr>
        <w:rPr>
          <w:lang w:val="en-GB"/>
        </w:rPr>
      </w:pPr>
      <w:r>
        <w:rPr>
          <w:lang w:val="en-GB"/>
        </w:rPr>
        <w:t>Maintain professional boundaries, confidentiality and safer working practices at all times. </w:t>
      </w:r>
    </w:p>
    <w:p>
      <w:pPr>
        <w:pStyle w:val="NoSpacing"/>
        <w:numPr>
          <w:ilvl w:val="0"/>
          <w:numId w:val="10"/>
        </w:numPr>
        <w:rPr>
          <w:lang w:val="en-GB"/>
        </w:rPr>
      </w:pPr>
      <w:r>
        <w:rPr>
          <w:lang w:val="en-GB"/>
        </w:rPr>
        <w:t>Understand the increased safeguarding vulnerabilities of learners with SEND and SEMH needs. </w:t>
      </w:r>
    </w:p>
    <w:p>
      <w:pPr>
        <w:pStyle w:val="NoSpacing"/>
        <w:numPr>
          <w:ilvl w:val="0"/>
          <w:numId w:val="11"/>
        </w:numPr>
        <w:rPr>
          <w:lang w:val="en-GB"/>
        </w:rPr>
      </w:pPr>
      <w:r>
        <w:rPr>
          <w:lang w:val="en-GB"/>
        </w:rPr>
        <w:t>Promote safe relationships, online safety and wellbeing through everyday practice. </w:t>
      </w:r>
    </w:p>
    <w:p>
      <w:pPr>
        <w:pStyle w:val="NoSpacing"/>
        <w:numPr>
          <w:ilvl w:val="0"/>
          <w:numId w:val="12"/>
        </w:numPr>
        <w:rPr>
          <w:lang w:val="en-GB"/>
        </w:rPr>
      </w:pPr>
      <w:r>
        <w:rPr>
          <w:lang w:val="en-GB"/>
        </w:rPr>
        <w:t>Participate in mandatory training which includes safeguarding, Prevent and ongoing CPD. </w:t>
      </w:r>
    </w:p>
    <w:p>
      <w:pPr>
        <w:pStyle w:val="NoSpacing"/>
        <w:rPr>
          <w:rFonts w:eastAsia="" w:cs="Calibri Light"/>
          <w:color w:val="E97132"/>
          <w:kern w:val="2"/>
          <w:sz w:val="32"/>
          <w:szCs w:val="40"/>
        </w:rPr>
      </w:pPr>
      <w:r>
        <w:rPr>
          <w:rFonts w:eastAsia="" w:cs="Calibri Light"/>
          <w:color w:val="E97132"/>
          <w:kern w:val="2"/>
          <w:sz w:val="32"/>
          <w:szCs w:val="40"/>
        </w:rPr>
      </w:r>
    </w:p>
    <w:p>
      <w:pPr>
        <w:pStyle w:val="NoSpacing"/>
        <w:rPr>
          <w:rFonts w:eastAsia="" w:cs="Calibri Light"/>
          <w:color w:val="E97132"/>
          <w:kern w:val="2"/>
          <w:sz w:val="32"/>
          <w:szCs w:val="40"/>
        </w:rPr>
      </w:pPr>
      <w:r>
        <w:rPr>
          <w:rFonts w:eastAsia="" w:cs="Calibri Light"/>
          <w:color w:val="E97132"/>
          <w:kern w:val="2"/>
          <w:sz w:val="32"/>
          <w:szCs w:val="40"/>
        </w:rPr>
        <w:t>Safeguarding and Safer Recruitment Statement</w:t>
      </w:r>
    </w:p>
    <w:p>
      <w:pPr>
        <w:pStyle w:val="NoSpacing"/>
        <w:rPr>
          <w:rFonts w:eastAsia="" w:cs="Calibri Light"/>
          <w:color w:val="E97132"/>
          <w:kern w:val="2"/>
          <w:sz w:val="32"/>
          <w:szCs w:val="40"/>
        </w:rPr>
      </w:pPr>
      <w:r>
        <w:rPr>
          <w:rFonts w:eastAsia="" w:cs="Calibri Light"/>
          <w:color w:val="E97132"/>
          <w:kern w:val="2"/>
          <w:sz w:val="32"/>
          <w:szCs w:val="40"/>
        </w:rPr>
      </w:r>
    </w:p>
    <w:p>
      <w:pPr>
        <w:pStyle w:val="NoSpacing"/>
        <w:rPr/>
      </w:pPr>
      <w:r>
        <w:rPr/>
        <w:t>Elysium Training is committed to safeguarding the welfare of children, young people, and adults at risk. We work in full alignment with </w:t>
      </w:r>
      <w:r>
        <w:rPr>
          <w:i/>
          <w:iCs/>
        </w:rPr>
        <w:t>Wigan Safeguarding Children Partnership (WSCP)</w:t>
      </w:r>
      <w:r>
        <w:rPr/>
        <w:t> and </w:t>
      </w:r>
      <w:r>
        <w:rPr>
          <w:i/>
          <w:iCs/>
        </w:rPr>
        <w:t>Wigan Safeguarding Adults Board (WSAB) procedures</w:t>
      </w:r>
      <w:r>
        <w:rPr/>
        <w:t>, in accordance with </w:t>
      </w:r>
      <w:r>
        <w:rPr>
          <w:b/>
          <w:bCs/>
        </w:rPr>
        <w:t>Keeping Children Safe in Education (2025)</w:t>
      </w:r>
      <w:r>
        <w:rPr/>
        <w:t>, </w:t>
      </w:r>
      <w:r>
        <w:rPr>
          <w:b/>
          <w:bCs/>
        </w:rPr>
        <w:t>Working Together to Safeguard Children (2023)</w:t>
      </w:r>
      <w:r>
        <w:rPr/>
        <w:t> and the </w:t>
      </w:r>
      <w:r>
        <w:rPr>
          <w:b/>
          <w:bCs/>
        </w:rPr>
        <w:t>Care Act 2014</w:t>
      </w:r>
      <w:r>
        <w:rPr/>
        <w:t>.</w:t>
      </w:r>
      <w:r>
        <w:rPr>
          <w:lang w:val="en-GB"/>
        </w:rPr>
        <w:t> </w:t>
      </w:r>
    </w:p>
    <w:p>
      <w:pPr>
        <w:pStyle w:val="NoSpacing"/>
        <w:rPr>
          <w:lang w:val="en-GB"/>
        </w:rPr>
      </w:pPr>
      <w:r>
        <w:rPr>
          <w:lang w:val="en-GB"/>
        </w:rPr>
      </w:r>
    </w:p>
    <w:p>
      <w:pPr>
        <w:pStyle w:val="NoSpacing"/>
        <w:rPr>
          <w:lang w:val="en-GB"/>
        </w:rPr>
      </w:pPr>
      <w:r>
        <w:rPr>
          <w:lang w:val="en-GB"/>
        </w:rPr>
        <w:t>The successful applicant will be subject to: </w:t>
      </w:r>
    </w:p>
    <w:p>
      <w:pPr>
        <w:pStyle w:val="NoSpacing"/>
        <w:numPr>
          <w:ilvl w:val="0"/>
          <w:numId w:val="18"/>
        </w:numPr>
        <w:rPr/>
      </w:pPr>
      <w:r>
        <w:rPr>
          <w:lang w:val="en-GB"/>
        </w:rPr>
        <w:t>an </w:t>
      </w:r>
      <w:r>
        <w:rPr>
          <w:b/>
          <w:bCs/>
          <w:lang w:val="en-GB"/>
        </w:rPr>
        <w:t>Enhanced DBS check</w:t>
      </w:r>
      <w:r>
        <w:rPr>
          <w:lang w:val="en-GB"/>
        </w:rPr>
        <w:t> with Barred List information; </w:t>
      </w:r>
    </w:p>
    <w:p>
      <w:pPr>
        <w:pStyle w:val="NoSpacing"/>
        <w:numPr>
          <w:ilvl w:val="0"/>
          <w:numId w:val="19"/>
        </w:numPr>
        <w:rPr/>
      </w:pPr>
      <w:r>
        <w:rPr>
          <w:b/>
          <w:bCs/>
          <w:lang w:val="en-GB"/>
        </w:rPr>
        <w:t>identity and right-to-work verification</w:t>
      </w:r>
      <w:r>
        <w:rPr>
          <w:lang w:val="en-GB"/>
        </w:rPr>
        <w:t>; </w:t>
      </w:r>
    </w:p>
    <w:p>
      <w:pPr>
        <w:pStyle w:val="NoSpacing"/>
        <w:numPr>
          <w:ilvl w:val="0"/>
          <w:numId w:val="20"/>
        </w:numPr>
        <w:rPr/>
      </w:pPr>
      <w:r>
        <w:rPr>
          <w:b/>
          <w:bCs/>
          <w:lang w:val="en-GB"/>
        </w:rPr>
        <w:t>full employment history</w:t>
      </w:r>
      <w:r>
        <w:rPr>
          <w:lang w:val="en-GB"/>
        </w:rPr>
        <w:t> checks and satisfactory references; </w:t>
      </w:r>
    </w:p>
    <w:p>
      <w:pPr>
        <w:pStyle w:val="NoSpacing"/>
        <w:numPr>
          <w:ilvl w:val="0"/>
          <w:numId w:val="21"/>
        </w:numPr>
        <w:rPr/>
      </w:pPr>
      <w:r>
        <w:rPr>
          <w:b/>
          <w:bCs/>
          <w:lang w:val="en-GB"/>
        </w:rPr>
        <w:t>qualification verification</w:t>
      </w:r>
      <w:r>
        <w:rPr>
          <w:lang w:val="en-GB"/>
        </w:rPr>
        <w:t>; </w:t>
      </w:r>
    </w:p>
    <w:p>
      <w:pPr>
        <w:pStyle w:val="NoSpacing"/>
        <w:numPr>
          <w:ilvl w:val="0"/>
          <w:numId w:val="22"/>
        </w:numPr>
        <w:rPr/>
      </w:pPr>
      <w:r>
        <w:rPr>
          <w:b/>
          <w:bCs/>
          <w:lang w:val="en-GB"/>
        </w:rPr>
        <w:t>online and social media screening</w:t>
      </w:r>
      <w:r>
        <w:rPr>
          <w:lang w:val="en-GB"/>
        </w:rPr>
        <w:t> in line with KCSIE (2025); </w:t>
      </w:r>
    </w:p>
    <w:p>
      <w:pPr>
        <w:pStyle w:val="NoSpacing"/>
        <w:numPr>
          <w:ilvl w:val="0"/>
          <w:numId w:val="23"/>
        </w:numPr>
        <w:rPr>
          <w:lang w:val="en-GB"/>
        </w:rPr>
      </w:pPr>
      <w:r>
        <w:rPr>
          <w:lang w:val="en-GB"/>
        </w:rPr>
        <w:t>completion of safeguarding induction and all mandatory training. </w:t>
      </w:r>
    </w:p>
    <w:p>
      <w:pPr>
        <w:pStyle w:val="NoSpacing"/>
        <w:rPr>
          <w:lang w:val="en-GB"/>
        </w:rPr>
      </w:pPr>
      <w:r>
        <w:rPr>
          <w:lang w:val="en-GB"/>
        </w:rPr>
        <w:t> </w:t>
      </w:r>
    </w:p>
    <w:p>
      <w:pPr>
        <w:pStyle w:val="NoSpacing"/>
        <w:rPr>
          <w:lang w:val="en-GB"/>
        </w:rPr>
      </w:pPr>
      <w:r>
        <w:rPr>
          <w:lang w:val="en-GB"/>
        </w:rPr>
        <w:t>Elysium Training is an equal opportunities employer and welcomes applications from all suitably qualified individuals. </w:t>
      </w:r>
    </w:p>
    <w:p>
      <w:pPr>
        <w:pStyle w:val="Normal"/>
        <w:spacing w:lineRule="auto" w:line="276" w:before="0" w:after="160"/>
        <w:rPr>
          <w:lang w:val="en-GB"/>
        </w:rPr>
      </w:pPr>
      <w:r>
        <w:rPr>
          <w:lang w:val="en-GB"/>
        </w:rPr>
      </w:r>
      <w:r>
        <w:br w:type="page"/>
      </w:r>
    </w:p>
    <w:p>
      <w:pPr>
        <w:pStyle w:val="Heading1"/>
        <w:rPr/>
      </w:pPr>
      <w:r>
        <w:rPr/>
        <w:t>Person Specification </w:t>
      </w:r>
    </w:p>
    <w:p>
      <w:pPr>
        <w:pStyle w:val="Heading2"/>
        <w:rPr/>
      </w:pPr>
      <w:r>
        <w:rPr/>
        <w:t>Construction Trade Tutor</w:t>
      </w:r>
    </w:p>
    <w:p>
      <w:pPr>
        <w:pStyle w:val="NoSpacing"/>
        <w:rPr/>
      </w:pPr>
      <w:r>
        <w:rPr/>
        <w:t>This Person Specification outlines the qualifications, experience, knowledge, skills and personal attributes required for this role at Elysium Training. </w:t>
      </w:r>
    </w:p>
    <w:p>
      <w:pPr>
        <w:pStyle w:val="NoSpacing"/>
        <w:rPr/>
      </w:pPr>
      <w:r>
        <w:rPr/>
        <w:t> </w:t>
      </w:r>
    </w:p>
    <w:p>
      <w:pPr>
        <w:pStyle w:val="NoSpacing"/>
        <w:rPr/>
      </w:pPr>
      <w:r>
        <w:rPr/>
        <w:t>Criteria are identified as </w:t>
      </w:r>
      <w:r>
        <w:rPr>
          <w:b/>
          <w:bCs/>
        </w:rPr>
        <w:t>Essential (must have)</w:t>
      </w:r>
      <w:r>
        <w:rPr/>
        <w:t> or </w:t>
      </w:r>
      <w:r>
        <w:rPr>
          <w:b/>
          <w:bCs/>
        </w:rPr>
        <w:t>Desirable (would strengthen an application)</w:t>
      </w:r>
      <w:r>
        <w:rPr/>
        <w:t>.</w:t>
      </w:r>
    </w:p>
    <w:p>
      <w:pPr>
        <w:pStyle w:val="NoSpacing"/>
        <w:rPr/>
      </w:pPr>
      <w:r>
        <w:rPr/>
      </w:r>
    </w:p>
    <w:tbl>
      <w:tblPr>
        <w:tblW w:w="9025" w:type="dxa"/>
        <w:jc w:val="left"/>
        <w:tblInd w:w="0" w:type="dxa"/>
        <w:tblCellMar>
          <w:top w:w="0" w:type="dxa"/>
          <w:left w:w="7" w:type="dxa"/>
          <w:bottom w:w="0" w:type="dxa"/>
          <w:right w:w="7" w:type="dxa"/>
        </w:tblCellMar>
      </w:tblPr>
      <w:tblGrid>
        <w:gridCol w:w="1902"/>
        <w:gridCol w:w="4159"/>
        <w:gridCol w:w="2964"/>
      </w:tblGrid>
      <w:tr>
        <w:trPr/>
        <w:tc>
          <w:tcPr>
            <w:tcW w:w="1902" w:type="dxa"/>
            <w:tcBorders>
              <w:top w:val="single" w:sz="6" w:space="0" w:color="000000"/>
              <w:left w:val="single" w:sz="6" w:space="0" w:color="000000"/>
              <w:bottom w:val="single" w:sz="6" w:space="0" w:color="000000"/>
            </w:tcBorders>
            <w:shd w:fill="auto" w:val="clear"/>
          </w:tcPr>
          <w:p>
            <w:pPr>
              <w:pStyle w:val="NoSpacing"/>
              <w:rPr/>
            </w:pPr>
            <w:r>
              <w:rPr>
                <w:b/>
                <w:bCs/>
                <w:lang w:val="en-GB"/>
              </w:rPr>
              <w:t>Criteria</w:t>
            </w:r>
            <w:r>
              <w:rPr>
                <w:lang w:val="en-GB"/>
              </w:rPr>
              <w:t> </w:t>
            </w:r>
          </w:p>
        </w:tc>
        <w:tc>
          <w:tcPr>
            <w:tcW w:w="4159" w:type="dxa"/>
            <w:tcBorders>
              <w:top w:val="single" w:sz="6" w:space="0" w:color="000000"/>
              <w:left w:val="single" w:sz="6" w:space="0" w:color="000000"/>
              <w:bottom w:val="single" w:sz="6" w:space="0" w:color="000000"/>
            </w:tcBorders>
            <w:shd w:fill="auto" w:val="clear"/>
          </w:tcPr>
          <w:p>
            <w:pPr>
              <w:pStyle w:val="NoSpacing"/>
              <w:rPr/>
            </w:pPr>
            <w:r>
              <w:rPr>
                <w:b/>
                <w:bCs/>
                <w:lang w:val="en-GB"/>
              </w:rPr>
              <w:t>Essential</w:t>
            </w:r>
            <w:r>
              <w:rPr>
                <w:lang w:val="en-GB"/>
              </w:rPr>
              <w:t> </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rPr/>
            </w:pPr>
            <w:r>
              <w:rPr>
                <w:b/>
                <w:bCs/>
                <w:lang w:val="en-GB"/>
              </w:rPr>
              <w:t>Desirable</w:t>
            </w:r>
            <w:r>
              <w:rPr>
                <w:lang w:val="en-GB"/>
              </w:rPr>
              <w:t> </w:t>
            </w:r>
          </w:p>
        </w:tc>
      </w:tr>
      <w:tr>
        <w:trPr/>
        <w:tc>
          <w:tcPr>
            <w:tcW w:w="1902" w:type="dxa"/>
            <w:vMerge w:val="restart"/>
            <w:tcBorders>
              <w:top w:val="single" w:sz="6" w:space="0" w:color="000000"/>
              <w:left w:val="single" w:sz="6" w:space="0" w:color="000000"/>
              <w:bottom w:val="single" w:sz="6" w:space="0" w:color="000000"/>
            </w:tcBorders>
            <w:shd w:fill="auto" w:val="clear"/>
          </w:tcPr>
          <w:p>
            <w:pPr>
              <w:pStyle w:val="NoSpacing"/>
              <w:rPr/>
            </w:pPr>
            <w:r>
              <w:rPr>
                <w:b/>
                <w:bCs/>
                <w:lang w:val="en-GB"/>
              </w:rPr>
              <w:t>Qualifications</w:t>
            </w:r>
            <w:r>
              <w:rPr>
                <w:lang w:val="en-GB"/>
              </w:rPr>
              <w:t> </w:t>
            </w:r>
          </w:p>
        </w:tc>
        <w:tc>
          <w:tcPr>
            <w:tcW w:w="4159" w:type="dxa"/>
            <w:tcBorders>
              <w:top w:val="single" w:sz="6" w:space="0" w:color="000000"/>
              <w:left w:val="single" w:sz="6" w:space="0" w:color="000000"/>
              <w:bottom w:val="single" w:sz="6" w:space="0" w:color="000000"/>
            </w:tcBorders>
            <w:shd w:fill="auto" w:val="clear"/>
          </w:tcPr>
          <w:p>
            <w:pPr>
              <w:pStyle w:val="NoSpacing"/>
              <w:rPr/>
            </w:pPr>
            <w:r>
              <w:rPr/>
              <w:t>Relevant industry qualification in a construction trade (Level 2 or above)</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rPr/>
            </w:pPr>
            <w:r>
              <w:rPr/>
              <w:t xml:space="preserve">Level 3 Award in Education and Training (AET) or equivalent </w:t>
            </w:r>
          </w:p>
          <w:p>
            <w:pPr>
              <w:pStyle w:val="NoSpacing"/>
              <w:rPr>
                <w:i/>
                <w:i/>
                <w:iCs/>
              </w:rPr>
            </w:pPr>
            <w:r>
              <w:rPr>
                <w:i/>
                <w:iCs/>
              </w:rPr>
              <w:t>(or willingness to undertake)</w:t>
            </w:r>
          </w:p>
        </w:tc>
      </w:tr>
      <w:tr>
        <w:trPr/>
        <w:tc>
          <w:tcPr>
            <w:tcW w:w="1902" w:type="dxa"/>
            <w:vMerge w:val="continue"/>
            <w:tcBorders>
              <w:top w:val="single" w:sz="6" w:space="0" w:color="000000"/>
              <w:left w:val="single" w:sz="6" w:space="0" w:color="000000"/>
              <w:bottom w:val="single" w:sz="6" w:space="0" w:color="000000"/>
            </w:tcBorders>
            <w:shd w:fill="auto" w:val="clear"/>
          </w:tcPr>
          <w:p>
            <w:pPr>
              <w:pStyle w:val="NoSpacing"/>
              <w:snapToGrid w:val="false"/>
              <w:rPr>
                <w:lang w:val="en-GB"/>
              </w:rPr>
            </w:pPr>
            <w:r>
              <w:rPr>
                <w:lang w:val="en-GB"/>
              </w:rPr>
            </w:r>
          </w:p>
        </w:tc>
        <w:tc>
          <w:tcPr>
            <w:tcW w:w="4159" w:type="dxa"/>
            <w:tcBorders>
              <w:top w:val="single" w:sz="6" w:space="0" w:color="000000"/>
              <w:left w:val="single" w:sz="6" w:space="0" w:color="000000"/>
              <w:bottom w:val="single" w:sz="6" w:space="0" w:color="000000"/>
            </w:tcBorders>
            <w:shd w:fill="auto" w:val="clear"/>
          </w:tcPr>
          <w:p>
            <w:pPr>
              <w:pStyle w:val="NoSpacing"/>
              <w:rPr/>
            </w:pPr>
            <w:r>
              <w:rPr/>
              <w:t>Occupational competency across one or more construction disciplines</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rPr/>
            </w:pPr>
            <w:r>
              <w:rPr/>
              <w:t>Assessor qualification (e.g. TAQA or equivalent)</w:t>
            </w:r>
          </w:p>
        </w:tc>
      </w:tr>
      <w:tr>
        <w:trPr/>
        <w:tc>
          <w:tcPr>
            <w:tcW w:w="1902" w:type="dxa"/>
            <w:vMerge w:val="continue"/>
            <w:tcBorders>
              <w:top w:val="single" w:sz="6" w:space="0" w:color="000000"/>
              <w:left w:val="single" w:sz="6" w:space="0" w:color="000000"/>
              <w:bottom w:val="single" w:sz="6" w:space="0" w:color="000000"/>
            </w:tcBorders>
            <w:shd w:fill="auto" w:val="clear"/>
          </w:tcPr>
          <w:p>
            <w:pPr>
              <w:pStyle w:val="NoSpacing"/>
              <w:snapToGrid w:val="false"/>
              <w:rPr>
                <w:lang w:val="en-GB"/>
              </w:rPr>
            </w:pPr>
            <w:r>
              <w:rPr>
                <w:lang w:val="en-GB"/>
              </w:rPr>
            </w:r>
          </w:p>
        </w:tc>
        <w:tc>
          <w:tcPr>
            <w:tcW w:w="4159" w:type="dxa"/>
            <w:tcBorders>
              <w:top w:val="single" w:sz="6" w:space="0" w:color="000000"/>
              <w:left w:val="single" w:sz="6" w:space="0" w:color="000000"/>
              <w:bottom w:val="single" w:sz="6" w:space="0" w:color="000000"/>
            </w:tcBorders>
            <w:shd w:fill="auto" w:val="clear"/>
          </w:tcPr>
          <w:p>
            <w:pPr>
              <w:pStyle w:val="NoSpacing"/>
              <w:rPr/>
            </w:pPr>
            <w:r>
              <w:rPr/>
              <w:t>Level 2 or above in English and maths</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rPr/>
            </w:pPr>
            <w:r>
              <w:rPr/>
              <w:t>Health &amp; Safety qualification relevant to workshop practice</w:t>
            </w:r>
          </w:p>
        </w:tc>
      </w:tr>
      <w:tr>
        <w:trPr/>
        <w:tc>
          <w:tcPr>
            <w:tcW w:w="1902" w:type="dxa"/>
            <w:vMerge w:val="continue"/>
            <w:tcBorders>
              <w:top w:val="single" w:sz="6" w:space="0" w:color="000000"/>
              <w:left w:val="single" w:sz="6" w:space="0" w:color="000000"/>
              <w:bottom w:val="single" w:sz="6" w:space="0" w:color="000000"/>
            </w:tcBorders>
            <w:shd w:fill="auto" w:val="clear"/>
          </w:tcPr>
          <w:p>
            <w:pPr>
              <w:pStyle w:val="NoSpacing"/>
              <w:snapToGrid w:val="false"/>
              <w:rPr>
                <w:lang w:val="en-GB"/>
              </w:rPr>
            </w:pPr>
            <w:r>
              <w:rPr>
                <w:lang w:val="en-GB"/>
              </w:rPr>
            </w:r>
          </w:p>
        </w:tc>
        <w:tc>
          <w:tcPr>
            <w:tcW w:w="4159" w:type="dxa"/>
            <w:tcBorders>
              <w:top w:val="single" w:sz="6" w:space="0" w:color="000000"/>
              <w:left w:val="single" w:sz="6" w:space="0" w:color="000000"/>
              <w:bottom w:val="single" w:sz="6" w:space="0" w:color="000000"/>
            </w:tcBorders>
            <w:shd w:fill="auto" w:val="clear"/>
          </w:tcPr>
          <w:p>
            <w:pPr>
              <w:pStyle w:val="NoSpacing"/>
              <w:rPr/>
            </w:pPr>
            <w:r>
              <w:rPr>
                <w:lang w:val="en-GB"/>
              </w:rPr>
              <w:t>Safeguarding training and understanding of safeguarding responsibilities in education settings </w:t>
              <w:br/>
            </w:r>
            <w:r>
              <w:rPr>
                <w:i/>
                <w:iCs/>
                <w:lang w:val="en-GB"/>
              </w:rPr>
              <w:t>(or willingness to complete upon appointment)</w:t>
            </w:r>
            <w:r>
              <w:rPr>
                <w:lang w:val="en-GB"/>
              </w:rPr>
              <w:t> </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snapToGrid w:val="false"/>
              <w:rPr>
                <w:lang w:val="en-GB"/>
              </w:rPr>
            </w:pPr>
            <w:r>
              <w:rPr>
                <w:lang w:val="en-GB"/>
              </w:rPr>
            </w:r>
          </w:p>
        </w:tc>
      </w:tr>
      <w:tr>
        <w:trPr/>
        <w:tc>
          <w:tcPr>
            <w:tcW w:w="1902" w:type="dxa"/>
            <w:vMerge w:val="restart"/>
            <w:tcBorders>
              <w:top w:val="single" w:sz="6" w:space="0" w:color="000000"/>
              <w:left w:val="single" w:sz="6" w:space="0" w:color="000000"/>
              <w:bottom w:val="single" w:sz="6" w:space="0" w:color="000000"/>
            </w:tcBorders>
            <w:shd w:fill="auto" w:val="clear"/>
          </w:tcPr>
          <w:p>
            <w:pPr>
              <w:pStyle w:val="NoSpacing"/>
              <w:rPr/>
            </w:pPr>
            <w:r>
              <w:rPr>
                <w:b/>
                <w:bCs/>
                <w:lang w:val="en-GB"/>
              </w:rPr>
              <w:t>Experience</w:t>
            </w:r>
            <w:r>
              <w:rPr>
                <w:lang w:val="en-GB"/>
              </w:rPr>
              <w:t> </w:t>
            </w:r>
          </w:p>
        </w:tc>
        <w:tc>
          <w:tcPr>
            <w:tcW w:w="4159" w:type="dxa"/>
            <w:tcBorders>
              <w:top w:val="single" w:sz="6" w:space="0" w:color="000000"/>
              <w:left w:val="single" w:sz="6" w:space="0" w:color="000000"/>
              <w:bottom w:val="single" w:sz="6" w:space="0" w:color="000000"/>
            </w:tcBorders>
            <w:shd w:fill="auto" w:val="clear"/>
          </w:tcPr>
          <w:p>
            <w:pPr>
              <w:pStyle w:val="NoSpacing"/>
              <w:rPr/>
            </w:pPr>
            <w:r>
              <w:rPr/>
              <w:t>Experience working within the construction industry</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rPr/>
            </w:pPr>
            <w:r>
              <w:rPr/>
              <w:t>Experience delivering NOCN or similar vocational qualifications</w:t>
            </w:r>
          </w:p>
        </w:tc>
      </w:tr>
      <w:tr>
        <w:trPr/>
        <w:tc>
          <w:tcPr>
            <w:tcW w:w="1902" w:type="dxa"/>
            <w:vMerge w:val="continue"/>
            <w:tcBorders>
              <w:top w:val="single" w:sz="6" w:space="0" w:color="000000"/>
              <w:left w:val="single" w:sz="6" w:space="0" w:color="000000"/>
              <w:bottom w:val="single" w:sz="6" w:space="0" w:color="000000"/>
            </w:tcBorders>
            <w:shd w:fill="auto" w:val="clear"/>
          </w:tcPr>
          <w:p>
            <w:pPr>
              <w:pStyle w:val="NoSpacing"/>
              <w:snapToGrid w:val="false"/>
              <w:rPr>
                <w:lang w:val="en-GB"/>
              </w:rPr>
            </w:pPr>
            <w:r>
              <w:rPr>
                <w:lang w:val="en-GB"/>
              </w:rPr>
            </w:r>
          </w:p>
        </w:tc>
        <w:tc>
          <w:tcPr>
            <w:tcW w:w="4159" w:type="dxa"/>
            <w:tcBorders>
              <w:top w:val="single" w:sz="6" w:space="0" w:color="000000"/>
              <w:left w:val="single" w:sz="6" w:space="0" w:color="000000"/>
              <w:bottom w:val="single" w:sz="6" w:space="0" w:color="000000"/>
            </w:tcBorders>
            <w:shd w:fill="auto" w:val="clear"/>
          </w:tcPr>
          <w:p>
            <w:pPr>
              <w:pStyle w:val="NoSpacing"/>
              <w:rPr/>
            </w:pPr>
            <w:r>
              <w:rPr/>
              <w:t>Experience delivering practical skills training or mentoring apprentices/trainees</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rPr/>
            </w:pPr>
            <w:r>
              <w:rPr/>
              <w:t>Experience contributing to EHCP reviews or learner progress discussions</w:t>
            </w:r>
          </w:p>
        </w:tc>
      </w:tr>
      <w:tr>
        <w:trPr/>
        <w:tc>
          <w:tcPr>
            <w:tcW w:w="1902" w:type="dxa"/>
            <w:vMerge w:val="continue"/>
            <w:tcBorders>
              <w:top w:val="single" w:sz="6" w:space="0" w:color="000000"/>
              <w:left w:val="single" w:sz="6" w:space="0" w:color="000000"/>
              <w:bottom w:val="single" w:sz="6" w:space="0" w:color="000000"/>
            </w:tcBorders>
            <w:shd w:fill="auto" w:val="clear"/>
          </w:tcPr>
          <w:p>
            <w:pPr>
              <w:pStyle w:val="NoSpacing"/>
              <w:snapToGrid w:val="false"/>
              <w:rPr>
                <w:lang w:val="en-GB"/>
              </w:rPr>
            </w:pPr>
            <w:r>
              <w:rPr>
                <w:lang w:val="en-GB"/>
              </w:rPr>
            </w:r>
          </w:p>
        </w:tc>
        <w:tc>
          <w:tcPr>
            <w:tcW w:w="4159" w:type="dxa"/>
            <w:tcBorders>
              <w:top w:val="single" w:sz="6" w:space="0" w:color="000000"/>
              <w:left w:val="single" w:sz="6" w:space="0" w:color="000000"/>
              <w:bottom w:val="single" w:sz="6" w:space="0" w:color="000000"/>
            </w:tcBorders>
            <w:shd w:fill="auto" w:val="clear"/>
          </w:tcPr>
          <w:p>
            <w:pPr>
              <w:pStyle w:val="NoSpacing"/>
              <w:rPr/>
            </w:pPr>
            <w:r>
              <w:rPr/>
              <w:t>Experience working with young people or adults with additional needs, SEND or behavioural challenges</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rPr/>
            </w:pPr>
            <w:r>
              <w:rPr/>
              <w:t>Experience working in alternative provision, FE or specialist SEND settings</w:t>
            </w:r>
          </w:p>
        </w:tc>
      </w:tr>
      <w:tr>
        <w:trPr/>
        <w:tc>
          <w:tcPr>
            <w:tcW w:w="1902" w:type="dxa"/>
            <w:vMerge w:val="continue"/>
            <w:tcBorders>
              <w:top w:val="single" w:sz="6" w:space="0" w:color="000000"/>
              <w:left w:val="single" w:sz="6" w:space="0" w:color="000000"/>
              <w:bottom w:val="single" w:sz="6" w:space="0" w:color="000000"/>
            </w:tcBorders>
            <w:shd w:fill="auto" w:val="clear"/>
          </w:tcPr>
          <w:p>
            <w:pPr>
              <w:pStyle w:val="NoSpacing"/>
              <w:snapToGrid w:val="false"/>
              <w:rPr>
                <w:lang w:val="en-GB"/>
              </w:rPr>
            </w:pPr>
            <w:r>
              <w:rPr>
                <w:lang w:val="en-GB"/>
              </w:rPr>
            </w:r>
          </w:p>
        </w:tc>
        <w:tc>
          <w:tcPr>
            <w:tcW w:w="4159" w:type="dxa"/>
            <w:tcBorders>
              <w:top w:val="single" w:sz="6" w:space="0" w:color="000000"/>
              <w:left w:val="single" w:sz="6" w:space="0" w:color="000000"/>
              <w:bottom w:val="single" w:sz="6" w:space="0" w:color="000000"/>
            </w:tcBorders>
            <w:shd w:fill="auto" w:val="clear"/>
          </w:tcPr>
          <w:p>
            <w:pPr>
              <w:pStyle w:val="NoSpacing"/>
              <w:rPr/>
            </w:pPr>
            <w:r>
              <w:rPr/>
              <w:t>Experience embedding safe working practices within a practical environment</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rPr/>
            </w:pPr>
            <w:r>
              <w:rPr/>
              <w:t>Experience liaising with employers or supporting progression into employment</w:t>
            </w:r>
          </w:p>
        </w:tc>
      </w:tr>
      <w:tr>
        <w:trPr/>
        <w:tc>
          <w:tcPr>
            <w:tcW w:w="1902" w:type="dxa"/>
            <w:vMerge w:val="restart"/>
            <w:tcBorders>
              <w:top w:val="single" w:sz="6" w:space="0" w:color="000000"/>
              <w:left w:val="single" w:sz="6" w:space="0" w:color="000000"/>
              <w:bottom w:val="single" w:sz="6" w:space="0" w:color="000000"/>
            </w:tcBorders>
            <w:shd w:fill="auto" w:val="clear"/>
          </w:tcPr>
          <w:p>
            <w:pPr>
              <w:pStyle w:val="NoSpacing"/>
              <w:rPr/>
            </w:pPr>
            <w:r>
              <w:rPr>
                <w:b/>
                <w:bCs/>
                <w:lang w:val="en-GB"/>
              </w:rPr>
              <w:t>Knowledge and Skills</w:t>
            </w:r>
            <w:r>
              <w:rPr>
                <w:lang w:val="en-GB"/>
              </w:rPr>
              <w:t> </w:t>
            </w:r>
          </w:p>
        </w:tc>
        <w:tc>
          <w:tcPr>
            <w:tcW w:w="4159" w:type="dxa"/>
            <w:tcBorders>
              <w:top w:val="single" w:sz="6" w:space="0" w:color="000000"/>
              <w:left w:val="single" w:sz="6" w:space="0" w:color="000000"/>
              <w:bottom w:val="single" w:sz="6" w:space="0" w:color="000000"/>
            </w:tcBorders>
            <w:shd w:fill="auto" w:val="clear"/>
          </w:tcPr>
          <w:p>
            <w:pPr>
              <w:pStyle w:val="NoSpacing"/>
              <w:rPr/>
            </w:pPr>
            <w:r>
              <w:rPr/>
              <w:t>Strong practical knowledge of construction multi-skills</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rPr/>
            </w:pPr>
            <w:r>
              <w:rPr/>
              <w:t>Awareness of apprenticeship pathways and local labour market routes</w:t>
            </w:r>
          </w:p>
        </w:tc>
      </w:tr>
      <w:tr>
        <w:trPr/>
        <w:tc>
          <w:tcPr>
            <w:tcW w:w="1902" w:type="dxa"/>
            <w:vMerge w:val="continue"/>
            <w:tcBorders>
              <w:top w:val="single" w:sz="6" w:space="0" w:color="000000"/>
              <w:left w:val="single" w:sz="6" w:space="0" w:color="000000"/>
              <w:bottom w:val="single" w:sz="6" w:space="0" w:color="000000"/>
            </w:tcBorders>
            <w:shd w:fill="auto" w:val="clear"/>
          </w:tcPr>
          <w:p>
            <w:pPr>
              <w:pStyle w:val="NoSpacing"/>
              <w:snapToGrid w:val="false"/>
              <w:rPr>
                <w:lang w:val="en-GB"/>
              </w:rPr>
            </w:pPr>
            <w:r>
              <w:rPr>
                <w:lang w:val="en-GB"/>
              </w:rPr>
            </w:r>
          </w:p>
        </w:tc>
        <w:tc>
          <w:tcPr>
            <w:tcW w:w="4159" w:type="dxa"/>
            <w:tcBorders>
              <w:top w:val="single" w:sz="6" w:space="0" w:color="000000"/>
              <w:left w:val="single" w:sz="6" w:space="0" w:color="000000"/>
              <w:bottom w:val="single" w:sz="6" w:space="0" w:color="000000"/>
            </w:tcBorders>
            <w:shd w:fill="auto" w:val="clear"/>
          </w:tcPr>
          <w:p>
            <w:pPr>
              <w:pStyle w:val="NoSpacing"/>
              <w:rPr/>
            </w:pPr>
            <w:r>
              <w:rPr>
                <w:lang w:val="en-GB"/>
              </w:rPr>
              <w:t> </w:t>
            </w:r>
            <w:r>
              <w:rPr/>
              <w:t>Understanding of workshop health &amp; safety and risk assessment</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rPr/>
            </w:pPr>
            <w:r>
              <w:rPr/>
              <w:t>Knowledge of trauma-informed practices and restorative approaches</w:t>
            </w:r>
            <w:r>
              <w:rPr>
                <w:lang w:val="en-GB"/>
              </w:rPr>
              <w:t> </w:t>
            </w:r>
          </w:p>
        </w:tc>
      </w:tr>
      <w:tr>
        <w:trPr/>
        <w:tc>
          <w:tcPr>
            <w:tcW w:w="1902" w:type="dxa"/>
            <w:vMerge w:val="continue"/>
            <w:tcBorders>
              <w:top w:val="single" w:sz="6" w:space="0" w:color="000000"/>
              <w:left w:val="single" w:sz="6" w:space="0" w:color="000000"/>
              <w:bottom w:val="single" w:sz="6" w:space="0" w:color="000000"/>
            </w:tcBorders>
            <w:shd w:fill="auto" w:val="clear"/>
          </w:tcPr>
          <w:p>
            <w:pPr>
              <w:pStyle w:val="NoSpacing"/>
              <w:snapToGrid w:val="false"/>
              <w:rPr>
                <w:lang w:val="en-GB"/>
              </w:rPr>
            </w:pPr>
            <w:r>
              <w:rPr>
                <w:lang w:val="en-GB"/>
              </w:rPr>
            </w:r>
          </w:p>
        </w:tc>
        <w:tc>
          <w:tcPr>
            <w:tcW w:w="4159" w:type="dxa"/>
            <w:tcBorders>
              <w:top w:val="single" w:sz="6" w:space="0" w:color="000000"/>
              <w:left w:val="single" w:sz="6" w:space="0" w:color="000000"/>
              <w:bottom w:val="single" w:sz="6" w:space="0" w:color="000000"/>
            </w:tcBorders>
            <w:shd w:fill="auto" w:val="clear"/>
          </w:tcPr>
          <w:p>
            <w:pPr>
              <w:pStyle w:val="NoSpacing"/>
              <w:rPr/>
            </w:pPr>
            <w:r>
              <w:rPr/>
              <w:t>Ability to plan and adapt practical learning for learners with SEND and SEMH needs</w:t>
            </w:r>
            <w:r>
              <w:rPr>
                <w:lang w:val="en-GB"/>
              </w:rPr>
              <w:t> </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snapToGrid w:val="false"/>
              <w:rPr>
                <w:lang w:val="en-GB"/>
              </w:rPr>
            </w:pPr>
            <w:r>
              <w:rPr>
                <w:lang w:val="en-GB"/>
              </w:rPr>
            </w:r>
          </w:p>
        </w:tc>
      </w:tr>
      <w:tr>
        <w:trPr/>
        <w:tc>
          <w:tcPr>
            <w:tcW w:w="1902" w:type="dxa"/>
            <w:vMerge w:val="continue"/>
            <w:tcBorders>
              <w:top w:val="single" w:sz="6" w:space="0" w:color="000000"/>
              <w:left w:val="single" w:sz="6" w:space="0" w:color="000000"/>
              <w:bottom w:val="single" w:sz="6" w:space="0" w:color="000000"/>
            </w:tcBorders>
            <w:shd w:fill="auto" w:val="clear"/>
          </w:tcPr>
          <w:p>
            <w:pPr>
              <w:pStyle w:val="NoSpacing"/>
              <w:snapToGrid w:val="false"/>
              <w:rPr>
                <w:lang w:val="en-GB"/>
              </w:rPr>
            </w:pPr>
            <w:r>
              <w:rPr>
                <w:lang w:val="en-GB"/>
              </w:rPr>
            </w:r>
          </w:p>
        </w:tc>
        <w:tc>
          <w:tcPr>
            <w:tcW w:w="4159" w:type="dxa"/>
            <w:tcBorders>
              <w:top w:val="single" w:sz="6" w:space="0" w:color="000000"/>
              <w:left w:val="single" w:sz="6" w:space="0" w:color="000000"/>
              <w:bottom w:val="single" w:sz="6" w:space="0" w:color="000000"/>
            </w:tcBorders>
            <w:shd w:fill="auto" w:val="clear"/>
          </w:tcPr>
          <w:p>
            <w:pPr>
              <w:pStyle w:val="NoSpacing"/>
              <w:rPr/>
            </w:pPr>
            <w:r>
              <w:rPr/>
              <w:t>Ability to manage behaviour calmly using relational approaches</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rPr>
                <w:lang w:val="en-GB"/>
              </w:rPr>
            </w:pPr>
            <w:r>
              <w:rPr>
                <w:lang w:val="en-GB"/>
              </w:rPr>
              <w:t> </w:t>
            </w:r>
          </w:p>
        </w:tc>
      </w:tr>
      <w:tr>
        <w:trPr/>
        <w:tc>
          <w:tcPr>
            <w:tcW w:w="1902" w:type="dxa"/>
            <w:vMerge w:val="continue"/>
            <w:tcBorders>
              <w:top w:val="single" w:sz="6" w:space="0" w:color="000000"/>
              <w:left w:val="single" w:sz="6" w:space="0" w:color="000000"/>
              <w:bottom w:val="single" w:sz="6" w:space="0" w:color="000000"/>
            </w:tcBorders>
            <w:shd w:fill="auto" w:val="clear"/>
          </w:tcPr>
          <w:p>
            <w:pPr>
              <w:pStyle w:val="NoSpacing"/>
              <w:snapToGrid w:val="false"/>
              <w:rPr>
                <w:lang w:val="en-GB"/>
              </w:rPr>
            </w:pPr>
            <w:r>
              <w:rPr>
                <w:lang w:val="en-GB"/>
              </w:rPr>
            </w:r>
          </w:p>
        </w:tc>
        <w:tc>
          <w:tcPr>
            <w:tcW w:w="4159" w:type="dxa"/>
            <w:tcBorders>
              <w:top w:val="single" w:sz="6" w:space="0" w:color="000000"/>
              <w:left w:val="single" w:sz="6" w:space="0" w:color="000000"/>
              <w:bottom w:val="single" w:sz="6" w:space="0" w:color="000000"/>
            </w:tcBorders>
            <w:shd w:fill="auto" w:val="clear"/>
          </w:tcPr>
          <w:p>
            <w:pPr>
              <w:pStyle w:val="NoSpacing"/>
              <w:rPr/>
            </w:pPr>
            <w:r>
              <w:rPr/>
              <w:t>Ability to build positive, professional relationships with learners</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rPr>
                <w:lang w:val="en-GB"/>
              </w:rPr>
            </w:pPr>
            <w:r>
              <w:rPr>
                <w:lang w:val="en-GB"/>
              </w:rPr>
              <w:t> </w:t>
            </w:r>
          </w:p>
        </w:tc>
      </w:tr>
      <w:tr>
        <w:trPr/>
        <w:tc>
          <w:tcPr>
            <w:tcW w:w="1902" w:type="dxa"/>
            <w:vMerge w:val="continue"/>
            <w:tcBorders>
              <w:top w:val="single" w:sz="6" w:space="0" w:color="000000"/>
              <w:left w:val="single" w:sz="6" w:space="0" w:color="000000"/>
              <w:bottom w:val="single" w:sz="6" w:space="0" w:color="000000"/>
            </w:tcBorders>
            <w:shd w:fill="auto" w:val="clear"/>
          </w:tcPr>
          <w:p>
            <w:pPr>
              <w:pStyle w:val="NoSpacing"/>
              <w:snapToGrid w:val="false"/>
              <w:rPr>
                <w:lang w:val="en-GB"/>
              </w:rPr>
            </w:pPr>
            <w:r>
              <w:rPr>
                <w:lang w:val="en-GB"/>
              </w:rPr>
            </w:r>
          </w:p>
        </w:tc>
        <w:tc>
          <w:tcPr>
            <w:tcW w:w="4159" w:type="dxa"/>
            <w:tcBorders>
              <w:top w:val="single" w:sz="6" w:space="0" w:color="000000"/>
              <w:left w:val="single" w:sz="6" w:space="0" w:color="000000"/>
              <w:bottom w:val="single" w:sz="6" w:space="0" w:color="000000"/>
            </w:tcBorders>
            <w:shd w:fill="auto" w:val="clear"/>
          </w:tcPr>
          <w:p>
            <w:pPr>
              <w:pStyle w:val="NoSpacing"/>
              <w:rPr/>
            </w:pPr>
            <w:r>
              <w:rPr/>
              <w:t>Strong organisational skills with ability to maintain accurate assessment and portfolio documentation and handle sensitive information appropriately</w:t>
            </w:r>
            <w:r>
              <w:rPr>
                <w:lang w:val="en-GB"/>
              </w:rPr>
              <w:t> </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snapToGrid w:val="false"/>
              <w:rPr>
                <w:lang w:val="en-GB"/>
              </w:rPr>
            </w:pPr>
            <w:r>
              <w:rPr>
                <w:lang w:val="en-GB"/>
              </w:rPr>
            </w:r>
          </w:p>
        </w:tc>
      </w:tr>
      <w:tr>
        <w:trPr/>
        <w:tc>
          <w:tcPr>
            <w:tcW w:w="1902" w:type="dxa"/>
            <w:vMerge w:val="continue"/>
            <w:tcBorders>
              <w:top w:val="single" w:sz="6" w:space="0" w:color="000000"/>
              <w:left w:val="single" w:sz="6" w:space="0" w:color="000000"/>
              <w:bottom w:val="single" w:sz="6" w:space="0" w:color="000000"/>
            </w:tcBorders>
            <w:shd w:fill="auto" w:val="clear"/>
          </w:tcPr>
          <w:p>
            <w:pPr>
              <w:pStyle w:val="NoSpacing"/>
              <w:snapToGrid w:val="false"/>
              <w:rPr>
                <w:lang w:val="en-GB"/>
              </w:rPr>
            </w:pPr>
            <w:r>
              <w:rPr>
                <w:lang w:val="en-GB"/>
              </w:rPr>
            </w:r>
          </w:p>
        </w:tc>
        <w:tc>
          <w:tcPr>
            <w:tcW w:w="4159" w:type="dxa"/>
            <w:tcBorders>
              <w:top w:val="single" w:sz="6" w:space="0" w:color="000000"/>
              <w:left w:val="single" w:sz="6" w:space="0" w:color="000000"/>
              <w:bottom w:val="single" w:sz="6" w:space="0" w:color="000000"/>
            </w:tcBorders>
            <w:shd w:fill="auto" w:val="clear"/>
          </w:tcPr>
          <w:p>
            <w:pPr>
              <w:pStyle w:val="NoSpacing"/>
              <w:rPr/>
            </w:pPr>
            <w:r>
              <w:rPr/>
              <w:t>Effective communication and teamwork skills</w:t>
            </w:r>
            <w:r>
              <w:rPr>
                <w:lang w:val="en-GB"/>
              </w:rPr>
              <w:t> </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rPr>
                <w:lang w:val="en-GB"/>
              </w:rPr>
            </w:pPr>
            <w:r>
              <w:rPr>
                <w:lang w:val="en-GB"/>
              </w:rPr>
              <w:t> </w:t>
            </w:r>
          </w:p>
        </w:tc>
      </w:tr>
      <w:tr>
        <w:trPr/>
        <w:tc>
          <w:tcPr>
            <w:tcW w:w="1902" w:type="dxa"/>
            <w:vMerge w:val="restart"/>
            <w:tcBorders>
              <w:top w:val="single" w:sz="6" w:space="0" w:color="000000"/>
              <w:left w:val="single" w:sz="6" w:space="0" w:color="000000"/>
              <w:bottom w:val="single" w:sz="6" w:space="0" w:color="000000"/>
            </w:tcBorders>
            <w:shd w:fill="auto" w:val="clear"/>
          </w:tcPr>
          <w:p>
            <w:pPr>
              <w:pStyle w:val="NoSpacing"/>
              <w:rPr/>
            </w:pPr>
            <w:r>
              <w:rPr>
                <w:b/>
                <w:bCs/>
                <w:lang w:val="en-GB"/>
              </w:rPr>
              <w:t>Personal Qualities</w:t>
            </w:r>
            <w:r>
              <w:rPr>
                <w:lang w:val="en-GB"/>
              </w:rPr>
              <w:t> </w:t>
            </w:r>
          </w:p>
        </w:tc>
        <w:tc>
          <w:tcPr>
            <w:tcW w:w="4159" w:type="dxa"/>
            <w:tcBorders>
              <w:top w:val="single" w:sz="6" w:space="0" w:color="000000"/>
              <w:left w:val="single" w:sz="6" w:space="0" w:color="000000"/>
              <w:bottom w:val="single" w:sz="6" w:space="0" w:color="000000"/>
            </w:tcBorders>
            <w:shd w:fill="auto" w:val="clear"/>
          </w:tcPr>
          <w:p>
            <w:pPr>
              <w:pStyle w:val="NoSpacing"/>
              <w:rPr/>
            </w:pPr>
            <w:r>
              <w:rPr/>
              <w:t>Patient, calm and consistent</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rPr/>
            </w:pPr>
            <w:r>
              <w:rPr/>
              <w:t>Reflective practitioner open to continuous professional development</w:t>
            </w:r>
          </w:p>
        </w:tc>
      </w:tr>
      <w:tr>
        <w:trPr/>
        <w:tc>
          <w:tcPr>
            <w:tcW w:w="1902" w:type="dxa"/>
            <w:vMerge w:val="continue"/>
            <w:tcBorders>
              <w:top w:val="single" w:sz="6" w:space="0" w:color="000000"/>
              <w:left w:val="single" w:sz="6" w:space="0" w:color="000000"/>
              <w:bottom w:val="single" w:sz="6" w:space="0" w:color="000000"/>
            </w:tcBorders>
            <w:shd w:fill="auto" w:val="clear"/>
          </w:tcPr>
          <w:p>
            <w:pPr>
              <w:pStyle w:val="NoSpacing"/>
              <w:snapToGrid w:val="false"/>
              <w:rPr>
                <w:lang w:val="en-GB"/>
              </w:rPr>
            </w:pPr>
            <w:r>
              <w:rPr>
                <w:lang w:val="en-GB"/>
              </w:rPr>
            </w:r>
          </w:p>
        </w:tc>
        <w:tc>
          <w:tcPr>
            <w:tcW w:w="4159" w:type="dxa"/>
            <w:tcBorders>
              <w:top w:val="single" w:sz="6" w:space="0" w:color="000000"/>
              <w:left w:val="single" w:sz="6" w:space="0" w:color="000000"/>
              <w:bottom w:val="single" w:sz="6" w:space="0" w:color="000000"/>
            </w:tcBorders>
            <w:shd w:fill="auto" w:val="clear"/>
          </w:tcPr>
          <w:p>
            <w:pPr>
              <w:pStyle w:val="NoSpacing"/>
              <w:rPr/>
            </w:pPr>
            <w:r>
              <w:rPr/>
              <w:t>High expectations for safe working practice and learner conduct</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rPr/>
            </w:pPr>
            <w:r>
              <w:rPr/>
              <w:t>Creative approach to engaging disengaged learners</w:t>
            </w:r>
          </w:p>
        </w:tc>
      </w:tr>
      <w:tr>
        <w:trPr/>
        <w:tc>
          <w:tcPr>
            <w:tcW w:w="1902" w:type="dxa"/>
            <w:vMerge w:val="continue"/>
            <w:tcBorders>
              <w:top w:val="single" w:sz="6" w:space="0" w:color="000000"/>
              <w:left w:val="single" w:sz="6" w:space="0" w:color="000000"/>
              <w:bottom w:val="single" w:sz="6" w:space="0" w:color="000000"/>
            </w:tcBorders>
            <w:shd w:fill="auto" w:val="clear"/>
          </w:tcPr>
          <w:p>
            <w:pPr>
              <w:pStyle w:val="NoSpacing"/>
              <w:snapToGrid w:val="false"/>
              <w:rPr>
                <w:lang w:val="en-GB"/>
              </w:rPr>
            </w:pPr>
            <w:r>
              <w:rPr>
                <w:lang w:val="en-GB"/>
              </w:rPr>
            </w:r>
          </w:p>
        </w:tc>
        <w:tc>
          <w:tcPr>
            <w:tcW w:w="4159" w:type="dxa"/>
            <w:tcBorders>
              <w:top w:val="single" w:sz="6" w:space="0" w:color="000000"/>
              <w:left w:val="single" w:sz="6" w:space="0" w:color="000000"/>
              <w:bottom w:val="single" w:sz="6" w:space="0" w:color="000000"/>
            </w:tcBorders>
            <w:shd w:fill="auto" w:val="clear"/>
          </w:tcPr>
          <w:p>
            <w:pPr>
              <w:pStyle w:val="NoSpacing"/>
              <w:rPr/>
            </w:pPr>
            <w:r>
              <w:rPr/>
              <w:t>Committed to safeguarding and professional integrity</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snapToGrid w:val="false"/>
              <w:rPr>
                <w:lang w:val="en-GB"/>
              </w:rPr>
            </w:pPr>
            <w:r>
              <w:rPr>
                <w:lang w:val="en-GB"/>
              </w:rPr>
            </w:r>
          </w:p>
        </w:tc>
      </w:tr>
      <w:tr>
        <w:trPr/>
        <w:tc>
          <w:tcPr>
            <w:tcW w:w="1902" w:type="dxa"/>
            <w:vMerge w:val="continue"/>
            <w:tcBorders>
              <w:top w:val="single" w:sz="6" w:space="0" w:color="000000"/>
              <w:left w:val="single" w:sz="6" w:space="0" w:color="000000"/>
              <w:bottom w:val="single" w:sz="6" w:space="0" w:color="000000"/>
            </w:tcBorders>
            <w:shd w:fill="auto" w:val="clear"/>
          </w:tcPr>
          <w:p>
            <w:pPr>
              <w:pStyle w:val="NoSpacing"/>
              <w:snapToGrid w:val="false"/>
              <w:rPr>
                <w:lang w:val="en-GB"/>
              </w:rPr>
            </w:pPr>
            <w:r>
              <w:rPr>
                <w:lang w:val="en-GB"/>
              </w:rPr>
            </w:r>
          </w:p>
        </w:tc>
        <w:tc>
          <w:tcPr>
            <w:tcW w:w="4159" w:type="dxa"/>
            <w:tcBorders>
              <w:top w:val="single" w:sz="6" w:space="0" w:color="000000"/>
              <w:left w:val="single" w:sz="6" w:space="0" w:color="000000"/>
              <w:bottom w:val="single" w:sz="6" w:space="0" w:color="000000"/>
            </w:tcBorders>
            <w:shd w:fill="auto" w:val="clear"/>
          </w:tcPr>
          <w:p>
            <w:pPr>
              <w:pStyle w:val="NoSpacing"/>
              <w:rPr/>
            </w:pPr>
            <w:r>
              <w:rPr/>
              <w:t>Resilient and solution-focused</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rPr>
                <w:lang w:val="en-GB"/>
              </w:rPr>
            </w:pPr>
            <w:r>
              <w:rPr>
                <w:lang w:val="en-GB"/>
              </w:rPr>
              <w:t> </w:t>
            </w:r>
          </w:p>
        </w:tc>
      </w:tr>
      <w:tr>
        <w:trPr/>
        <w:tc>
          <w:tcPr>
            <w:tcW w:w="1902" w:type="dxa"/>
            <w:vMerge w:val="continue"/>
            <w:tcBorders>
              <w:top w:val="single" w:sz="6" w:space="0" w:color="000000"/>
              <w:left w:val="single" w:sz="6" w:space="0" w:color="000000"/>
              <w:bottom w:val="single" w:sz="6" w:space="0" w:color="000000"/>
            </w:tcBorders>
            <w:shd w:fill="auto" w:val="clear"/>
          </w:tcPr>
          <w:p>
            <w:pPr>
              <w:pStyle w:val="NoSpacing"/>
              <w:snapToGrid w:val="false"/>
              <w:rPr>
                <w:lang w:val="en-GB"/>
              </w:rPr>
            </w:pPr>
            <w:r>
              <w:rPr>
                <w:lang w:val="en-GB"/>
              </w:rPr>
            </w:r>
          </w:p>
        </w:tc>
        <w:tc>
          <w:tcPr>
            <w:tcW w:w="4159" w:type="dxa"/>
            <w:tcBorders>
              <w:top w:val="single" w:sz="6" w:space="0" w:color="000000"/>
              <w:left w:val="single" w:sz="6" w:space="0" w:color="000000"/>
              <w:bottom w:val="single" w:sz="6" w:space="0" w:color="000000"/>
            </w:tcBorders>
            <w:shd w:fill="auto" w:val="clear"/>
          </w:tcPr>
          <w:p>
            <w:pPr>
              <w:pStyle w:val="NoSpacing"/>
              <w:rPr/>
            </w:pPr>
            <w:r>
              <w:rPr/>
              <w:t>Motivated to support learners with SEND to achieve meaningful progression</w:t>
            </w:r>
          </w:p>
        </w:tc>
        <w:tc>
          <w:tcPr>
            <w:tcW w:w="2964" w:type="dxa"/>
            <w:tcBorders>
              <w:top w:val="single" w:sz="6" w:space="0" w:color="000000"/>
              <w:left w:val="single" w:sz="6" w:space="0" w:color="000000"/>
              <w:bottom w:val="single" w:sz="6" w:space="0" w:color="000000"/>
              <w:right w:val="single" w:sz="6" w:space="0" w:color="000000"/>
            </w:tcBorders>
            <w:shd w:fill="auto" w:val="clear"/>
          </w:tcPr>
          <w:p>
            <w:pPr>
              <w:pStyle w:val="NoSpacing"/>
              <w:rPr>
                <w:lang w:val="en-GB"/>
              </w:rPr>
            </w:pPr>
            <w:r>
              <w:rPr>
                <w:lang w:val="en-GB"/>
              </w:rPr>
              <w:t> </w:t>
            </w:r>
          </w:p>
        </w:tc>
      </w:tr>
    </w:tbl>
    <w:p>
      <w:pPr>
        <w:pStyle w:val="NoSpacing"/>
        <w:rPr>
          <w:lang w:val="en-GB"/>
        </w:rPr>
      </w:pPr>
      <w:r>
        <w:rPr>
          <w:lang w:val="en-GB"/>
        </w:rPr>
        <w:t> </w:t>
      </w:r>
    </w:p>
    <w:p>
      <w:pPr>
        <w:pStyle w:val="NoSpacing"/>
        <w:rPr/>
      </w:pPr>
      <w:r>
        <w:rPr/>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Narrow" w:hAnsi="Arial Narrow" w:cs="Arial Narrow"/>
        <w:i/>
        <w:i/>
        <w:iCs/>
        <w:caps/>
        <w:color w:val="156082"/>
      </w:rPr>
    </w:pPr>
    <w:r>
      <w:rPr>
        <w:caps/>
        <w:color w:val="156082"/>
      </w:rPr>
      <w:fldChar w:fldCharType="begin"/>
    </w:r>
    <w:r>
      <w:rPr>
        <w:caps/>
      </w:rPr>
      <w:instrText> PAGE </w:instrText>
    </w:r>
    <w:r>
      <w:rPr>
        <w:caps/>
      </w:rPr>
      <w:fldChar w:fldCharType="separate"/>
    </w:r>
    <w:r>
      <w:rPr>
        <w:caps/>
      </w:rPr>
      <w:t>6</w:t>
    </w:r>
    <w:r>
      <w:rPr>
        <w:caps/>
      </w:rPr>
      <w:fldChar w:fldCharType="end"/>
    </w:r>
  </w:p>
  <w:p>
    <w:pPr>
      <w:pStyle w:val="Footer"/>
      <w:rPr>
        <w:rFonts w:ascii="Arial Narrow" w:hAnsi="Arial Narrow" w:cs="Arial Narrow"/>
        <w:i/>
        <w:i/>
        <w:iCs/>
      </w:rPr>
    </w:pPr>
    <w:r>
      <w:rPr>
        <w:rFonts w:cs="Arial Narrow" w:ascii="Arial Narrow" w:hAnsi="Arial Narrow"/>
        <w:i/>
        <w:iCs/>
      </w:rPr>
      <w:t>ELY-REC-007 Elysium Training - Construction Trade Tutor - Job Description and Person Specification – 02/2026.2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567" w:right="-461" w:hanging="0"/>
      <w:jc w:val="right"/>
      <w:rPr/>
    </w:pPr>
    <w:r>
      <w:rPr/>
      <w:drawing>
        <wp:anchor behindDoc="0" distT="0" distB="0" distL="114300" distR="114300" simplePos="0" locked="0" layoutInCell="1" allowOverlap="1" relativeHeight="7">
          <wp:simplePos x="0" y="0"/>
          <wp:positionH relativeFrom="column">
            <wp:posOffset>-407670</wp:posOffset>
          </wp:positionH>
          <wp:positionV relativeFrom="paragraph">
            <wp:posOffset>-360680</wp:posOffset>
          </wp:positionV>
          <wp:extent cx="2064385" cy="569595"/>
          <wp:effectExtent l="0" t="0" r="0" b="0"/>
          <wp:wrapTight wrapText="bothSides">
            <wp:wrapPolygon edited="0">
              <wp:start x="3157" y="0"/>
              <wp:lineTo x="-36" y="5745"/>
              <wp:lineTo x="-36" y="16559"/>
              <wp:lineTo x="4954" y="20880"/>
              <wp:lineTo x="6749" y="20880"/>
              <wp:lineTo x="21315" y="17275"/>
              <wp:lineTo x="21315" y="5028"/>
              <wp:lineTo x="12136" y="0"/>
              <wp:lineTo x="315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2" t="-45" r="-12" b="-45"/>
                  <a:stretch>
                    <a:fillRect/>
                  </a:stretch>
                </pic:blipFill>
                <pic:spPr bwMode="auto">
                  <a:xfrm>
                    <a:off x="0" y="0"/>
                    <a:ext cx="2064385" cy="569595"/>
                  </a:xfrm>
                  <a:prstGeom prst="rect">
                    <a:avLst/>
                  </a:prstGeom>
                </pic:spPr>
              </pic:pic>
            </a:graphicData>
          </a:graphic>
        </wp:anchor>
      </w:drawing>
      <mc:AlternateContent>
        <mc:Choice Requires="wps">
          <w:drawing>
            <wp:anchor behindDoc="1" distT="0" distB="0" distL="114935" distR="114935" simplePos="0" locked="0" layoutInCell="1" allowOverlap="1" relativeHeight="13">
              <wp:simplePos x="0" y="0"/>
              <wp:positionH relativeFrom="column">
                <wp:posOffset>-1033780</wp:posOffset>
              </wp:positionH>
              <wp:positionV relativeFrom="paragraph">
                <wp:posOffset>284480</wp:posOffset>
              </wp:positionV>
              <wp:extent cx="9405620" cy="635"/>
              <wp:effectExtent l="0" t="0" r="0" b="0"/>
              <wp:wrapNone/>
              <wp:docPr id="2" name="Straight Connector 1"/>
              <a:graphic xmlns:a="http://schemas.openxmlformats.org/drawingml/2006/main">
                <a:graphicData uri="http://schemas.microsoft.com/office/word/2010/wordprocessingShape">
                  <wps:wsp>
                    <wps:cNvSpPr/>
                    <wps:spPr>
                      <a:xfrm>
                        <a:off x="0" y="0"/>
                        <a:ext cx="9405000" cy="0"/>
                      </a:xfrm>
                      <a:prstGeom prst="line">
                        <a:avLst/>
                      </a:prstGeom>
                      <a:ln w="25560">
                        <a:solidFill>
                          <a:srgbClr val="e97132"/>
                        </a:solidFill>
                        <a:miter/>
                      </a:ln>
                    </wps:spPr>
                    <wps:style>
                      <a:lnRef idx="0"/>
                      <a:fillRef idx="0"/>
                      <a:effectRef idx="0"/>
                      <a:fontRef idx="minor"/>
                    </wps:style>
                    <wps:bodyPr/>
                  </wps:wsp>
                </a:graphicData>
              </a:graphic>
            </wp:anchor>
          </w:drawing>
        </mc:Choice>
        <mc:Fallback>
          <w:pict>
            <v:line id="shape_0" from="-81.4pt,22.4pt" to="659.1pt,22.4pt" ID="Straight Connector 1" stroked="t" style="position:absolute">
              <v:stroke color="#e97132" weight="25560" joinstyle="miter" endcap="flat"/>
              <v:fill o:detectmouseclick="t" on="false"/>
            </v:line>
          </w:pict>
        </mc:Fallback>
      </mc:AlternateContent>
    </w:r>
  </w:p>
  <w:p>
    <w:pPr>
      <w:pStyle w:val="Header"/>
      <w:ind w:left="-567" w:right="-461" w:hanging="0"/>
      <w:jc w:val="right"/>
      <w:rPr>
        <w:b/>
        <w:b/>
        <w:bCs/>
        <w:i/>
        <w:i/>
        <w:iCs/>
        <w:color w:val="000000"/>
        <w:sz w:val="18"/>
        <w:szCs w:val="18"/>
      </w:rPr>
    </w:pPr>
    <w:r>
      <w:rPr>
        <w:b/>
        <w:bCs/>
        <w:i/>
        <w:iCs/>
        <w:color w:val="000000"/>
        <w:sz w:val="18"/>
        <w:szCs w:val="18"/>
      </w:rPr>
      <w:t>A Specialist Provider of Alternative Education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Light" w:hAnsi="Calibri Light" w:eastAsia="" w:cs=""/>
      <w:color w:val="auto"/>
      <w:kern w:val="0"/>
      <w:sz w:val="22"/>
      <w:szCs w:val="22"/>
      <w:lang w:val="en-US"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eastAsia="" w:cs=""/>
      <w:color w:val="E97132"/>
      <w:kern w:val="2"/>
      <w:sz w:val="32"/>
      <w:szCs w:val="40"/>
      <w:lang w:val="en-GB"/>
    </w:rPr>
  </w:style>
  <w:style w:type="paragraph" w:styleId="Heading2">
    <w:name w:val="Heading 2"/>
    <w:basedOn w:val="Normal"/>
    <w:next w:val="Normal"/>
    <w:qFormat/>
    <w:pPr>
      <w:keepNext w:val="true"/>
      <w:keepLines/>
      <w:numPr>
        <w:ilvl w:val="1"/>
        <w:numId w:val="1"/>
      </w:numPr>
      <w:spacing w:before="160" w:after="80"/>
      <w:outlineLvl w:val="1"/>
    </w:pPr>
    <w:rPr>
      <w:rFonts w:eastAsia="" w:cs=""/>
      <w:i/>
      <w:color w:val="0F4761"/>
      <w:kern w:val="2"/>
      <w:sz w:val="24"/>
      <w:szCs w:val="32"/>
      <w:lang w:val="en-GB"/>
    </w:rPr>
  </w:style>
  <w:style w:type="paragraph" w:styleId="Heading3">
    <w:name w:val="Heading 3"/>
    <w:basedOn w:val="Normal"/>
    <w:next w:val="Normal"/>
    <w:qFormat/>
    <w:pPr>
      <w:keepNext w:val="true"/>
      <w:keepLines/>
      <w:numPr>
        <w:ilvl w:val="2"/>
        <w:numId w:val="1"/>
      </w:numPr>
      <w:spacing w:before="160" w:after="80"/>
      <w:outlineLvl w:val="2"/>
    </w:pPr>
    <w:rPr>
      <w:rFonts w:eastAsia="" w:cs=""/>
      <w:i/>
      <w:color w:val="0F4761"/>
      <w:kern w:val="2"/>
      <w:sz w:val="24"/>
      <w:szCs w:val="28"/>
      <w:lang w:val="en-GB"/>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0"/>
    </w:rPr>
  </w:style>
  <w:style w:type="character" w:styleId="WW8Num7z0">
    <w:name w:val="WW8Num7z0"/>
    <w:qFormat/>
    <w:rPr>
      <w:rFonts w:ascii="Symbol" w:hAnsi="Symbol" w:cs="Symbol"/>
      <w:sz w:val="20"/>
    </w:rPr>
  </w:style>
  <w:style w:type="character" w:styleId="WW8Num8z0">
    <w:name w:val="WW8Num8z0"/>
    <w:qFormat/>
    <w:rPr>
      <w:rFonts w:ascii="Symbol" w:hAnsi="Symbol" w:cs="Symbol"/>
      <w:sz w:val="20"/>
    </w:rPr>
  </w:style>
  <w:style w:type="character" w:styleId="WW8Num9z0">
    <w:name w:val="WW8Num9z0"/>
    <w:qFormat/>
    <w:rPr>
      <w:rFonts w:ascii="Symbol" w:hAnsi="Symbol" w:cs="Symbol"/>
      <w:sz w:val="20"/>
    </w:rPr>
  </w:style>
  <w:style w:type="character" w:styleId="WW8Num10z0">
    <w:name w:val="WW8Num10z0"/>
    <w:qFormat/>
    <w:rPr>
      <w:rFonts w:ascii="Symbol" w:hAnsi="Symbol" w:cs="Symbol"/>
      <w:sz w:val="20"/>
    </w:rPr>
  </w:style>
  <w:style w:type="character" w:styleId="WW8Num11z0">
    <w:name w:val="WW8Num11z0"/>
    <w:qFormat/>
    <w:rPr>
      <w:rFonts w:ascii="Symbol" w:hAnsi="Symbol" w:cs="Symbol"/>
      <w:sz w:val="20"/>
    </w:rPr>
  </w:style>
  <w:style w:type="character" w:styleId="WW8Num12z0">
    <w:name w:val="WW8Num12z0"/>
    <w:qFormat/>
    <w:rPr>
      <w:rFonts w:ascii="Symbol" w:hAnsi="Symbol" w:cs="Symbol"/>
      <w:sz w:val="20"/>
    </w:rPr>
  </w:style>
  <w:style w:type="character" w:styleId="WW8Num13z0">
    <w:name w:val="WW8Num13z0"/>
    <w:qFormat/>
    <w:rPr>
      <w:rFonts w:ascii="Symbol" w:hAnsi="Symbol" w:cs="Symbol"/>
      <w:sz w:val="20"/>
    </w:rPr>
  </w:style>
  <w:style w:type="character" w:styleId="WW8Num14z0">
    <w:name w:val="WW8Num14z0"/>
    <w:qFormat/>
    <w:rPr>
      <w:rFonts w:ascii="Symbol" w:hAnsi="Symbol" w:cs="Symbol"/>
      <w:sz w:val="20"/>
    </w:rPr>
  </w:style>
  <w:style w:type="character" w:styleId="WW8Num15z0">
    <w:name w:val="WW8Num15z0"/>
    <w:qFormat/>
    <w:rPr>
      <w:rFonts w:ascii="Symbol" w:hAnsi="Symbol" w:cs="Symbol"/>
      <w:sz w:val="20"/>
    </w:rPr>
  </w:style>
  <w:style w:type="character" w:styleId="WW8Num16z0">
    <w:name w:val="WW8Num16z0"/>
    <w:qFormat/>
    <w:rPr>
      <w:rFonts w:ascii="Symbol" w:hAnsi="Symbol" w:cs="Symbol"/>
      <w:sz w:val="20"/>
    </w:rPr>
  </w:style>
  <w:style w:type="character" w:styleId="WW8Num17z0">
    <w:name w:val="WW8Num17z0"/>
    <w:qFormat/>
    <w:rPr>
      <w:rFonts w:ascii="Symbol" w:hAnsi="Symbol" w:cs="Symbol"/>
      <w:sz w:val="20"/>
    </w:rPr>
  </w:style>
  <w:style w:type="character" w:styleId="WW8Num18z0">
    <w:name w:val="WW8Num18z0"/>
    <w:qFormat/>
    <w:rPr>
      <w:rFonts w:ascii="Symbol" w:hAnsi="Symbol" w:cs="Symbol"/>
      <w:sz w:val="20"/>
    </w:rPr>
  </w:style>
  <w:style w:type="character" w:styleId="WW8Num19z0">
    <w:name w:val="WW8Num19z0"/>
    <w:qFormat/>
    <w:rPr>
      <w:rFonts w:ascii="Symbol" w:hAnsi="Symbol" w:cs="Symbol"/>
      <w:sz w:val="20"/>
    </w:rPr>
  </w:style>
  <w:style w:type="character" w:styleId="WW8Num20z0">
    <w:name w:val="WW8Num20z0"/>
    <w:qFormat/>
    <w:rPr>
      <w:rFonts w:ascii="Symbol" w:hAnsi="Symbol" w:cs="Symbol"/>
      <w:sz w:val="20"/>
    </w:rPr>
  </w:style>
  <w:style w:type="character" w:styleId="WW8Num21z0">
    <w:name w:val="WW8Num21z0"/>
    <w:qFormat/>
    <w:rPr>
      <w:rFonts w:ascii="Symbol" w:hAnsi="Symbol" w:cs="Symbol"/>
      <w:sz w:val="20"/>
    </w:rPr>
  </w:style>
  <w:style w:type="character" w:styleId="WW8Num22z0">
    <w:name w:val="WW8Num22z0"/>
    <w:qFormat/>
    <w:rPr>
      <w:rFonts w:ascii="Symbol" w:hAnsi="Symbol" w:cs="Symbol"/>
      <w:sz w:val="20"/>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DefaultParagraphFont">
    <w:name w:val="Default Paragraph Font"/>
    <w:qFormat/>
    <w:rPr/>
  </w:style>
  <w:style w:type="character" w:styleId="Heading1Char">
    <w:name w:val="Heading 1 Char"/>
    <w:basedOn w:val="DefaultParagraphFont"/>
    <w:qFormat/>
    <w:rPr>
      <w:rFonts w:ascii="Calibri Light" w:hAnsi="Calibri Light" w:eastAsia="" w:cs=""/>
      <w:color w:val="E97132"/>
      <w:sz w:val="32"/>
      <w:szCs w:val="40"/>
    </w:rPr>
  </w:style>
  <w:style w:type="character" w:styleId="Heading2Char">
    <w:name w:val="Heading 2 Char"/>
    <w:basedOn w:val="DefaultParagraphFont"/>
    <w:qFormat/>
    <w:rPr>
      <w:rFonts w:ascii="Calibri Light" w:hAnsi="Calibri Light" w:eastAsia="" w:cs=""/>
      <w:i/>
      <w:color w:val="0F4761"/>
      <w:szCs w:val="32"/>
    </w:rPr>
  </w:style>
  <w:style w:type="character" w:styleId="Heading3Char">
    <w:name w:val="Heading 3 Char"/>
    <w:basedOn w:val="DefaultParagraphFont"/>
    <w:qFormat/>
    <w:rPr>
      <w:rFonts w:eastAsia="" w:cs=""/>
      <w:i/>
      <w:color w:val="0F4761"/>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Calibri Light" w:hAnsi="Calibri Light" w:eastAsia="" w:cs=""/>
      <w:spacing w:val="-10"/>
      <w:kern w:val="2"/>
      <w:sz w:val="36"/>
      <w:szCs w:val="56"/>
      <w:lang w:val="en-US"/>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eastAsia=""/>
      <w:kern w:val="0"/>
      <w:sz w:val="20"/>
      <w:szCs w:val="20"/>
      <w:lang w:val="en-US"/>
    </w:rPr>
  </w:style>
  <w:style w:type="character" w:styleId="CommentSubjectChar">
    <w:name w:val="Comment Subject Char"/>
    <w:basedOn w:val="CommentTextChar"/>
    <w:qFormat/>
    <w:rPr>
      <w:rFonts w:eastAsia=""/>
      <w:b/>
      <w:bCs/>
      <w:kern w:val="0"/>
      <w:sz w:val="20"/>
      <w:szCs w:val="20"/>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jc w:val="center"/>
    </w:pPr>
    <w:rPr>
      <w:rFonts w:eastAsia="" w:cs=""/>
      <w:spacing w:val="-10"/>
      <w:kern w:val="2"/>
      <w:sz w:val="3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200"/>
      <w:jc w:val="center"/>
    </w:pPr>
    <w:rPr>
      <w:i/>
      <w:iCs/>
      <w:color w:val="404040"/>
    </w:rPr>
  </w:style>
  <w:style w:type="paragraph" w:styleId="ListParagraph">
    <w:name w:val="List Paragraph"/>
    <w:basedOn w:val="Normal"/>
    <w:qFormat/>
    <w:pPr>
      <w:spacing w:before="0" w:after="20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NormalWeb">
    <w:name w:val="Normal (Web)"/>
    <w:basedOn w:val="Normal"/>
    <w:qFormat/>
    <w:pPr/>
    <w:rPr>
      <w:rFonts w:ascii="Times New Roman" w:hAnsi="Times New Roman" w:cs="Times New Roman"/>
      <w:sz w:val="24"/>
      <w:szCs w:val="24"/>
    </w:rPr>
  </w:style>
  <w:style w:type="paragraph" w:styleId="NoSpacing">
    <w:name w:val="No Spacing"/>
    <w:qFormat/>
    <w:pPr>
      <w:widowControl/>
      <w:suppressAutoHyphens w:val="true"/>
      <w:bidi w:val="0"/>
      <w:spacing w:lineRule="auto" w:line="240" w:before="0" w:after="0"/>
      <w:jc w:val="left"/>
    </w:pPr>
    <w:rPr>
      <w:rFonts w:ascii="Calibri Light" w:hAnsi="Calibri Light" w:eastAsia="" w:cs=""/>
      <w:color w:val="auto"/>
      <w:kern w:val="0"/>
      <w:sz w:val="22"/>
      <w:szCs w:val="22"/>
      <w:lang w:val="en-US" w:eastAsia="en-US" w:bidi="ar-SA"/>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2026-04-10T13:11:00Z</dcterms:created>
  <dc:creator>Michael Fletcher</dc:creator>
  <dc:description/>
  <dc:language>en-US</dc:language>
  <cp:lastModifiedBy>Terri Fletcher</cp:lastModifiedBy>
  <cp:lastPrinted>1995-11-21T17:41:00Z</cp:lastPrinted>
  <dcterms:modified xsi:type="dcterms:W3CDTF">2026-04-10T13:11:00Z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0x01010055C0BD2FE784DF4CA93F0294617A163A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