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spacing w:lineRule="auto" w:line="240" w:before="0" w:after="0"/>
        <w:rPr>
          <w:rFonts w:ascii="Arial" w:hAnsi="Arial" w:eastAsia="Arial" w:cs="Arial"/>
          <w:b/>
          <w:b/>
          <w:color w:val="000000"/>
          <w:sz w:val="24"/>
          <w:szCs w:val="24"/>
        </w:rPr>
      </w:pPr>
      <w:r>
        <w:rPr>
          <w:rFonts w:eastAsia="Arial" w:cs="Arial" w:ascii="Arial" w:hAnsi="Arial"/>
          <w:b/>
          <w:color w:val="000000"/>
          <w:sz w:val="24"/>
          <w:szCs w:val="24"/>
        </w:rPr>
      </w:r>
    </w:p>
    <w:p>
      <w:pPr>
        <w:pStyle w:val="Normal"/>
        <w:pBdr/>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pBdr/>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t>Northern Education Trust – Job Description</w:t>
      </w:r>
    </w:p>
    <w:p>
      <w:pPr>
        <w:pStyle w:val="Normal"/>
        <w:pBdr/>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r>
    </w:p>
    <w:tbl>
      <w:tblPr>
        <w:tblW w:w="9025" w:type="dxa"/>
        <w:jc w:val="left"/>
        <w:tblInd w:w="0" w:type="dxa"/>
        <w:tblCellMar>
          <w:top w:w="0" w:type="dxa"/>
          <w:left w:w="108" w:type="dxa"/>
          <w:bottom w:w="0" w:type="dxa"/>
          <w:right w:w="108" w:type="dxa"/>
        </w:tblCellMar>
      </w:tblPr>
      <w:tblGrid>
        <w:gridCol w:w="2683"/>
        <w:gridCol w:w="2102"/>
        <w:gridCol w:w="506"/>
        <w:gridCol w:w="950"/>
        <w:gridCol w:w="672"/>
        <w:gridCol w:w="2112"/>
      </w:tblGrid>
      <w:tr>
        <w:trPr/>
        <w:tc>
          <w:tcPr>
            <w:tcW w:w="2683"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Job Title:</w:t>
            </w:r>
          </w:p>
        </w:tc>
        <w:tc>
          <w:tcPr>
            <w:tcW w:w="2102"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Assistant Cook</w:t>
            </w:r>
          </w:p>
        </w:tc>
        <w:tc>
          <w:tcPr>
            <w:tcW w:w="2128" w:type="dxa"/>
            <w:gridSpan w:val="3"/>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 xml:space="preserve">JE Reference </w:t>
            </w:r>
          </w:p>
        </w:tc>
        <w:tc>
          <w:tcPr>
            <w:tcW w:w="2112" w:type="dxa"/>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JE206</w:t>
            </w:r>
          </w:p>
        </w:tc>
      </w:tr>
      <w:tr>
        <w:trPr/>
        <w:tc>
          <w:tcPr>
            <w:tcW w:w="2683"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Base:</w:t>
            </w:r>
          </w:p>
        </w:tc>
        <w:tc>
          <w:tcPr>
            <w:tcW w:w="6342" w:type="dxa"/>
            <w:gridSpan w:val="5"/>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Essa Primary Academy</w:t>
            </w:r>
          </w:p>
        </w:tc>
      </w:tr>
      <w:tr>
        <w:trPr/>
        <w:tc>
          <w:tcPr>
            <w:tcW w:w="2683"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Reports to:</w:t>
            </w:r>
          </w:p>
        </w:tc>
        <w:tc>
          <w:tcPr>
            <w:tcW w:w="2608" w:type="dxa"/>
            <w:gridSpan w:val="2"/>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 xml:space="preserve">Chef Manager </w:t>
            </w:r>
          </w:p>
        </w:tc>
        <w:tc>
          <w:tcPr>
            <w:tcW w:w="950"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Grade:</w:t>
            </w:r>
          </w:p>
        </w:tc>
        <w:tc>
          <w:tcPr>
            <w:tcW w:w="278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Grade 3</w:t>
            </w:r>
          </w:p>
          <w:p>
            <w:pPr>
              <w:pStyle w:val="Normal"/>
              <w:pBdr/>
              <w:spacing w:before="0" w:after="160"/>
              <w:rPr>
                <w:rFonts w:ascii="Arial" w:hAnsi="Arial" w:eastAsia="Arial" w:cs="Arial"/>
                <w:color w:val="000000"/>
              </w:rPr>
            </w:pPr>
            <w:r>
              <w:rPr>
                <w:rFonts w:eastAsia="Arial" w:cs="Arial" w:ascii="Arial" w:hAnsi="Arial"/>
                <w:color w:val="000000"/>
              </w:rPr>
              <w:t>SCP 7-SCP 8</w:t>
            </w:r>
          </w:p>
        </w:tc>
      </w:tr>
      <w:tr>
        <w:trPr/>
        <w:tc>
          <w:tcPr>
            <w:tcW w:w="2683"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Service responsibility:</w:t>
            </w:r>
          </w:p>
        </w:tc>
        <w:tc>
          <w:tcPr>
            <w:tcW w:w="2608" w:type="dxa"/>
            <w:gridSpan w:val="2"/>
            <w:tcBorders>
              <w:top w:val="single" w:sz="4" w:space="0" w:color="000000"/>
              <w:left w:val="single" w:sz="4" w:space="0" w:color="000000"/>
              <w:bottom w:val="single" w:sz="4" w:space="0" w:color="000000"/>
            </w:tcBorders>
            <w:shd w:fill="F2F2F2" w:val="clear"/>
          </w:tcPr>
          <w:p>
            <w:pPr>
              <w:pStyle w:val="Normal"/>
              <w:pBdr/>
              <w:snapToGrid w:val="false"/>
              <w:spacing w:before="0" w:after="160"/>
              <w:rPr>
                <w:rFonts w:ascii="Arial" w:hAnsi="Arial" w:eastAsia="Arial" w:cs="Arial"/>
                <w:color w:val="000000"/>
              </w:rPr>
            </w:pPr>
            <w:r>
              <w:rPr>
                <w:rFonts w:eastAsia="Arial" w:cs="Arial" w:ascii="Arial" w:hAnsi="Arial"/>
                <w:color w:val="000000"/>
              </w:rPr>
            </w:r>
          </w:p>
        </w:tc>
        <w:tc>
          <w:tcPr>
            <w:tcW w:w="950"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Salary:</w:t>
            </w:r>
          </w:p>
        </w:tc>
        <w:tc>
          <w:tcPr>
            <w:tcW w:w="278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pPr>
            <w:r>
              <w:rPr>
                <w:rFonts w:eastAsia="Arial" w:cs="Arial" w:ascii="Arial" w:hAnsi="Arial"/>
                <w:color w:val="000000"/>
              </w:rPr>
              <w:t>£2</w:t>
            </w:r>
            <w:r>
              <w:rPr>
                <w:rFonts w:eastAsia="Arial" w:cs="Arial" w:ascii="Arial" w:hAnsi="Arial"/>
              </w:rPr>
              <w:t>6</w:t>
            </w:r>
            <w:r>
              <w:rPr>
                <w:rFonts w:eastAsia="Arial" w:cs="Arial" w:ascii="Arial" w:hAnsi="Arial"/>
                <w:color w:val="000000"/>
              </w:rPr>
              <w:t>,</w:t>
            </w:r>
            <w:r>
              <w:rPr>
                <w:rFonts w:eastAsia="Arial" w:cs="Arial" w:ascii="Arial" w:hAnsi="Arial"/>
              </w:rPr>
              <w:t>403</w:t>
            </w:r>
            <w:r>
              <w:rPr>
                <w:rFonts w:eastAsia="Arial" w:cs="Arial" w:ascii="Arial" w:hAnsi="Arial"/>
                <w:color w:val="000000"/>
              </w:rPr>
              <w:t>.00 - £2</w:t>
            </w:r>
            <w:r>
              <w:rPr>
                <w:rFonts w:eastAsia="Arial" w:cs="Arial" w:ascii="Arial" w:hAnsi="Arial"/>
              </w:rPr>
              <w:t>6</w:t>
            </w:r>
            <w:r>
              <w:rPr>
                <w:rFonts w:eastAsia="Arial" w:cs="Arial" w:ascii="Arial" w:hAnsi="Arial"/>
                <w:color w:val="000000"/>
              </w:rPr>
              <w:t>,</w:t>
            </w:r>
            <w:r>
              <w:rPr>
                <w:rFonts w:eastAsia="Arial" w:cs="Arial" w:ascii="Arial" w:hAnsi="Arial"/>
              </w:rPr>
              <w:t>824</w:t>
            </w:r>
            <w:r>
              <w:rPr>
                <w:rFonts w:eastAsia="Arial" w:cs="Arial" w:ascii="Arial" w:hAnsi="Arial"/>
                <w:color w:val="000000"/>
              </w:rPr>
              <w:t xml:space="preserve">.00 </w:t>
            </w:r>
          </w:p>
          <w:p>
            <w:pPr>
              <w:pStyle w:val="Normal"/>
              <w:pBdr/>
              <w:rPr>
                <w:rFonts w:ascii="Arial" w:hAnsi="Arial" w:eastAsia="Arial" w:cs="Arial"/>
                <w:color w:val="000000"/>
              </w:rPr>
            </w:pPr>
            <w:r>
              <w:rPr>
                <w:rFonts w:eastAsia="Arial" w:cs="Arial" w:ascii="Arial" w:hAnsi="Arial"/>
                <w:color w:val="000000"/>
              </w:rPr>
              <w:t>(FTE), (Salary to be pro rata) £15,762.00-£16,013.00</w:t>
            </w:r>
          </w:p>
          <w:p>
            <w:pPr>
              <w:pStyle w:val="Normal"/>
              <w:pBdr/>
              <w:spacing w:before="0" w:after="160"/>
              <w:rPr>
                <w:rFonts w:ascii="Arial" w:hAnsi="Arial" w:eastAsia="Arial" w:cs="Arial"/>
                <w:color w:val="000000"/>
              </w:rPr>
            </w:pPr>
            <w:r>
              <w:rPr>
                <w:rFonts w:eastAsia="Arial" w:cs="Arial" w:ascii="Arial" w:hAnsi="Arial"/>
                <w:color w:val="000000"/>
              </w:rPr>
            </w:r>
            <w:bookmarkStart w:id="0" w:name="_heading=h.xpr8o66mqc4y"/>
            <w:bookmarkStart w:id="1" w:name="_heading=h.xpr8o66mqc4y"/>
            <w:bookmarkEnd w:id="1"/>
          </w:p>
        </w:tc>
      </w:tr>
      <w:tr>
        <w:trPr/>
        <w:tc>
          <w:tcPr>
            <w:tcW w:w="2683"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Additional:</w:t>
            </w:r>
          </w:p>
        </w:tc>
        <w:tc>
          <w:tcPr>
            <w:tcW w:w="2608" w:type="dxa"/>
            <w:gridSpan w:val="2"/>
            <w:tcBorders>
              <w:top w:val="single" w:sz="4" w:space="0" w:color="000000"/>
              <w:left w:val="single" w:sz="4" w:space="0" w:color="000000"/>
              <w:bottom w:val="single" w:sz="4" w:space="0" w:color="000000"/>
            </w:tcBorders>
            <w:shd w:fill="F2F2F2" w:val="clear"/>
          </w:tcPr>
          <w:p>
            <w:pPr>
              <w:pStyle w:val="Normal"/>
              <w:pBdr/>
              <w:snapToGrid w:val="false"/>
              <w:spacing w:before="0" w:after="160"/>
              <w:rPr>
                <w:rFonts w:ascii="Arial" w:hAnsi="Arial" w:eastAsia="Arial" w:cs="Arial"/>
                <w:color w:val="000000"/>
              </w:rPr>
            </w:pPr>
            <w:r>
              <w:rPr>
                <w:rFonts w:eastAsia="Arial" w:cs="Arial" w:ascii="Arial" w:hAnsi="Arial"/>
                <w:color w:val="000000"/>
              </w:rPr>
            </w:r>
          </w:p>
        </w:tc>
        <w:tc>
          <w:tcPr>
            <w:tcW w:w="950"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color w:val="000000"/>
              </w:rPr>
            </w:pPr>
            <w:r>
              <w:rPr>
                <w:rFonts w:eastAsia="Arial" w:cs="Arial" w:ascii="Arial" w:hAnsi="Arial"/>
                <w:b/>
                <w:color w:val="000000"/>
              </w:rPr>
              <w:t>Term:</w:t>
            </w:r>
          </w:p>
        </w:tc>
        <w:tc>
          <w:tcPr>
            <w:tcW w:w="278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25 hours / 39 weeks</w:t>
            </w:r>
          </w:p>
          <w:p>
            <w:pPr>
              <w:pStyle w:val="Normal"/>
              <w:pBdr/>
              <w:spacing w:before="0" w:after="160"/>
              <w:rPr>
                <w:rFonts w:ascii="Arial" w:hAnsi="Arial" w:eastAsia="Arial" w:cs="Arial"/>
                <w:color w:val="000000"/>
              </w:rPr>
            </w:pPr>
            <w:r>
              <w:rPr>
                <w:rFonts w:eastAsia="Arial" w:cs="Arial" w:ascii="Arial" w:hAnsi="Arial"/>
                <w:color w:val="000000"/>
              </w:rPr>
            </w:r>
          </w:p>
        </w:tc>
      </w:tr>
    </w:tbl>
    <w:p>
      <w:pPr>
        <w:pStyle w:val="Normal"/>
        <w:pBdr/>
        <w:spacing w:lineRule="auto" w:line="240" w:before="0" w:after="0"/>
        <w:jc w:val="center"/>
        <w:rPr>
          <w:rFonts w:ascii="Arial" w:hAnsi="Arial" w:eastAsia="Arial" w:cs="Arial"/>
          <w:b/>
          <w:b/>
          <w:color w:val="000000"/>
        </w:rPr>
      </w:pPr>
      <w:r>
        <w:rPr>
          <w:rFonts w:eastAsia="Arial" w:cs="Arial" w:ascii="Arial" w:hAnsi="Arial"/>
          <w:b/>
          <w:color w:val="000000"/>
        </w:rPr>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t>JOB PURPOSE</w:t>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r>
    </w:p>
    <w:p>
      <w:pPr>
        <w:pStyle w:val="Normal"/>
        <w:tabs>
          <w:tab w:val="clear" w:pos="720"/>
          <w:tab w:val="left" w:pos="284" w:leader="none"/>
          <w:tab w:val="left" w:pos="567" w:leader="none"/>
          <w:tab w:val="left" w:pos="851" w:leader="none"/>
          <w:tab w:val="left" w:pos="1134" w:leader="none"/>
          <w:tab w:val="left" w:pos="1418" w:leader="none"/>
          <w:tab w:val="left" w:pos="170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jc w:val="both"/>
        <w:rPr>
          <w:rFonts w:ascii="Arial" w:hAnsi="Arial" w:eastAsia="Arial" w:cs="Arial"/>
        </w:rPr>
      </w:pPr>
      <w:r>
        <w:rPr>
          <w:rFonts w:eastAsia="Arial" w:cs="Arial" w:ascii="Arial" w:hAnsi="Arial"/>
        </w:rPr>
        <w:t>To support the Chef Manager with the preparation and production of breakfast, break, lunch &amp; hospitality services according to requirements.</w:t>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t>JOB SUMMARY</w:t>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Preparation and cooking of breakfast, break, lunch &amp; hospitality events in accordance with the daily menu and following the government guidelines with assistance from the general catering team. Maintaining high standards of working practises within the trust.</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To be competent and skilled to work in all areas of preparation, cooking and counter service.</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To ensure that the counter presentation and service is to the Academy standards, ensuring quantities and proportions are sufficient to satisfy demand</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To serve on the food counters following all customer service standards.</w:t>
      </w:r>
    </w:p>
    <w:p>
      <w:pPr>
        <w:pStyle w:val="Normal"/>
        <w:numPr>
          <w:ilvl w:val="0"/>
          <w:numId w:val="2"/>
        </w:numPr>
        <w:tabs>
          <w:tab w:val="clear" w:pos="720"/>
          <w:tab w:val="left" w:pos="284" w:leader="none"/>
          <w:tab w:val="left" w:pos="567" w:leader="none"/>
          <w:tab w:val="left" w:pos="851" w:leader="none"/>
          <w:tab w:val="left" w:pos="1134" w:leader="none"/>
          <w:tab w:val="left" w:pos="1418" w:leader="none"/>
          <w:tab w:val="left" w:pos="170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jc w:val="both"/>
        <w:rPr/>
      </w:pPr>
      <w:r>
        <w:rPr>
          <w:rFonts w:eastAsia="Arial" w:cs="Arial" w:ascii="Arial" w:hAnsi="Arial"/>
        </w:rPr>
        <w:t xml:space="preserve">  </w:t>
      </w:r>
      <w:r>
        <w:rPr>
          <w:rFonts w:eastAsia="Arial" w:cs="Arial" w:ascii="Arial" w:hAnsi="Arial"/>
        </w:rPr>
        <w:t>To support the Chef Manager in maintaining all food stock levels, to include stock taking and stock rotation.</w:t>
      </w:r>
    </w:p>
    <w:p>
      <w:pPr>
        <w:pStyle w:val="Normal"/>
        <w:numPr>
          <w:ilvl w:val="0"/>
          <w:numId w:val="2"/>
        </w:numPr>
        <w:tabs>
          <w:tab w:val="clear" w:pos="720"/>
          <w:tab w:val="left" w:pos="284" w:leader="none"/>
          <w:tab w:val="left" w:pos="567" w:leader="none"/>
          <w:tab w:val="left" w:pos="851" w:leader="none"/>
          <w:tab w:val="left" w:pos="1134" w:leader="none"/>
          <w:tab w:val="left" w:pos="1418" w:leader="none"/>
          <w:tab w:val="left" w:pos="170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jc w:val="both"/>
        <w:rPr/>
      </w:pPr>
      <w:r>
        <w:rPr>
          <w:rFonts w:eastAsia="Arial" w:cs="Arial" w:ascii="Arial" w:hAnsi="Arial"/>
        </w:rPr>
        <w:t xml:space="preserve">  </w:t>
      </w:r>
      <w:r>
        <w:rPr>
          <w:rFonts w:eastAsia="Arial" w:cs="Arial" w:ascii="Arial" w:hAnsi="Arial"/>
        </w:rPr>
        <w:t>To assist in the monitoring and maintaining of records of daily fridge and freezer and food temperature in accordance with Food Hygiene Regulations.</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Deputise in the absence of the Chef and manage this transition through to all staff ensuring they are aware of their duties.</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 xml:space="preserve">To ensure, at all times, the good running of the kitchen. To immediately report any concerns or queries to the Chef Manager if the running of the kitchen may in some way be compromised. </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To attend appropriate training sessions for the purposes of maintaining quality and safe practice in the kitchen environment. To appreciate that these training sessions may need to take place on rare occasion out of term time or duty time.</w:t>
      </w:r>
    </w:p>
    <w:p>
      <w:pPr>
        <w:pStyle w:val="Normal"/>
        <w:numPr>
          <w:ilvl w:val="0"/>
          <w:numId w:val="2"/>
        </w:numPr>
        <w:pBdr/>
        <w:spacing w:lineRule="auto" w:line="240" w:before="0" w:after="0"/>
        <w:rPr>
          <w:rFonts w:ascii="Arial" w:hAnsi="Arial" w:eastAsia="Arial" w:cs="Arial"/>
          <w:color w:val="000000"/>
        </w:rPr>
      </w:pPr>
      <w:r>
        <w:rPr>
          <w:rFonts w:eastAsia="Arial" w:cs="Arial" w:ascii="Arial" w:hAnsi="Arial"/>
          <w:color w:val="000000"/>
        </w:rPr>
        <w:t xml:space="preserve">To comply with all Health and Safety legislation. </w:t>
      </w:r>
    </w:p>
    <w:p>
      <w:pPr>
        <w:pStyle w:val="Normal"/>
        <w:pBdr/>
        <w:spacing w:lineRule="auto" w:line="240" w:before="0" w:after="0"/>
        <w:rPr>
          <w:rFonts w:ascii="Arial" w:hAnsi="Arial" w:eastAsia="Arial" w:cs="Arial"/>
          <w:color w:val="000000"/>
        </w:rPr>
      </w:pPr>
      <w:r>
        <w:rPr>
          <w:rFonts w:eastAsia="Arial" w:cs="Arial" w:ascii="Arial" w:hAnsi="Arial"/>
          <w:color w:val="000000"/>
        </w:rPr>
      </w:r>
    </w:p>
    <w:p>
      <w:pPr>
        <w:pStyle w:val="Normal"/>
        <w:pBdr/>
        <w:spacing w:before="0" w:after="0"/>
        <w:rPr>
          <w:rFonts w:ascii="Arial" w:hAnsi="Arial" w:eastAsia="Arial" w:cs="Arial"/>
          <w:b/>
          <w:b/>
          <w:color w:val="000000"/>
        </w:rPr>
      </w:pPr>
      <w:r>
        <w:rPr>
          <w:rFonts w:eastAsia="Arial" w:cs="Arial" w:ascii="Arial" w:hAnsi="Arial"/>
          <w:b/>
          <w:color w:val="000000"/>
        </w:rPr>
        <w:t>GDPR</w:t>
      </w:r>
    </w:p>
    <w:p>
      <w:pPr>
        <w:pStyle w:val="Normal"/>
        <w:numPr>
          <w:ilvl w:val="0"/>
          <w:numId w:val="3"/>
        </w:numPr>
        <w:pBdr/>
        <w:spacing w:lineRule="auto" w:line="252" w:before="0" w:after="0"/>
        <w:rPr>
          <w:rFonts w:ascii="Arial" w:hAnsi="Arial" w:eastAsia="Arial" w:cs="Arial"/>
          <w:color w:val="000000"/>
        </w:rPr>
      </w:pPr>
      <w:r>
        <w:rPr>
          <w:rFonts w:eastAsia="Arial" w:cs="Arial" w:ascii="Arial" w:hAnsi="Arial"/>
          <w:color w:val="000000"/>
        </w:rPr>
        <w:t xml:space="preserve">To adhere to GDPR and Data Protection Regulations, whilst maintaining confidentiality </w:t>
      </w:r>
    </w:p>
    <w:p>
      <w:pPr>
        <w:pStyle w:val="Normal"/>
        <w:pBdr/>
        <w:spacing w:before="0" w:after="0"/>
        <w:ind w:left="720" w:right="0" w:hanging="0"/>
        <w:rPr>
          <w:rFonts w:ascii="Arial" w:hAnsi="Arial" w:eastAsia="Arial" w:cs="Arial"/>
          <w:color w:val="000000"/>
        </w:rPr>
      </w:pPr>
      <w:r>
        <w:rPr>
          <w:rFonts w:eastAsia="Arial" w:cs="Arial" w:ascii="Arial" w:hAnsi="Arial"/>
          <w:color w:val="000000"/>
        </w:rPr>
      </w:r>
    </w:p>
    <w:p>
      <w:pPr>
        <w:pStyle w:val="Normal"/>
        <w:pBdr/>
        <w:spacing w:before="0" w:after="0"/>
        <w:rPr>
          <w:rFonts w:ascii="Arial" w:hAnsi="Arial" w:eastAsia="Arial" w:cs="Arial"/>
          <w:b/>
          <w:b/>
          <w:color w:val="000000"/>
        </w:rPr>
      </w:pPr>
      <w:bookmarkStart w:id="2" w:name="_heading=h.pzvgr2a3ghkt"/>
      <w:bookmarkEnd w:id="2"/>
      <w:r>
        <w:rPr>
          <w:rFonts w:eastAsia="Arial" w:cs="Arial" w:ascii="Arial" w:hAnsi="Arial"/>
          <w:b/>
          <w:color w:val="000000"/>
        </w:rPr>
        <w:t>Safeguarding</w:t>
      </w:r>
    </w:p>
    <w:p>
      <w:pPr>
        <w:pStyle w:val="Normal"/>
        <w:numPr>
          <w:ilvl w:val="0"/>
          <w:numId w:val="4"/>
        </w:numPr>
        <w:pBdr/>
        <w:spacing w:lineRule="auto" w:line="276" w:before="0" w:after="0"/>
        <w:rPr>
          <w:rFonts w:ascii="Arial" w:hAnsi="Arial" w:eastAsia="Arial" w:cs="Arial"/>
          <w:color w:val="000000"/>
        </w:rPr>
      </w:pPr>
      <w:r>
        <w:rPr>
          <w:rFonts w:eastAsia="Arial" w:cs="Arial" w:ascii="Arial" w:hAnsi="Arial"/>
          <w:color w:val="000000"/>
        </w:rPr>
        <w:t xml:space="preserve">To follow all safeguarding and child protection policies and procedures. </w:t>
      </w:r>
    </w:p>
    <w:p>
      <w:pPr>
        <w:pStyle w:val="Normal"/>
        <w:numPr>
          <w:ilvl w:val="0"/>
          <w:numId w:val="4"/>
        </w:numPr>
        <w:pBdr/>
        <w:spacing w:lineRule="auto" w:line="276" w:before="0" w:after="200"/>
        <w:rPr>
          <w:rFonts w:ascii="Arial" w:hAnsi="Arial" w:eastAsia="Arial" w:cs="Arial"/>
          <w:color w:val="000000"/>
        </w:rPr>
      </w:pPr>
      <w:r>
        <w:rPr>
          <w:rFonts w:eastAsia="Arial" w:cs="Arial" w:ascii="Arial" w:hAnsi="Arial"/>
          <w:color w:val="000000"/>
        </w:rPr>
        <w:t>This role wholly or mainly involves working with children</w:t>
      </w:r>
    </w:p>
    <w:p>
      <w:pPr>
        <w:pStyle w:val="Normal"/>
        <w:pBdr/>
        <w:spacing w:lineRule="auto" w:line="240" w:before="0" w:after="0"/>
        <w:ind w:left="284" w:right="0" w:hanging="284"/>
        <w:jc w:val="both"/>
        <w:rPr>
          <w:rFonts w:ascii="Arial" w:hAnsi="Arial" w:eastAsia="Arial" w:cs="Arial"/>
          <w:b/>
          <w:b/>
          <w:color w:val="000000"/>
        </w:rPr>
      </w:pPr>
      <w:r>
        <w:rPr>
          <w:rFonts w:eastAsia="Arial" w:cs="Arial" w:ascii="Arial" w:hAnsi="Arial"/>
          <w:b/>
          <w:color w:val="000000"/>
        </w:rPr>
        <w:t>General</w:t>
      </w:r>
    </w:p>
    <w:p>
      <w:pPr>
        <w:pStyle w:val="Normal"/>
        <w:pBdr/>
        <w:spacing w:lineRule="auto" w:line="240" w:before="0" w:after="0"/>
        <w:jc w:val="both"/>
        <w:rPr>
          <w:rFonts w:ascii="Arial" w:hAnsi="Arial" w:eastAsia="Arial" w:cs="Arial"/>
          <w:b/>
          <w:b/>
          <w:color w:val="000000"/>
        </w:rPr>
      </w:pPr>
      <w:r>
        <w:rPr>
          <w:rFonts w:eastAsia="Arial" w:cs="Arial" w:ascii="Arial" w:hAnsi="Arial"/>
          <w:b/>
          <w:color w:val="000000"/>
        </w:rPr>
      </w:r>
    </w:p>
    <w:p>
      <w:pPr>
        <w:pStyle w:val="Normal"/>
        <w:widowControl w:val="false"/>
        <w:numPr>
          <w:ilvl w:val="0"/>
          <w:numId w:val="4"/>
        </w:numPr>
        <w:pBdr/>
        <w:tabs>
          <w:tab w:val="clear" w:pos="720"/>
          <w:tab w:val="left" w:pos="220" w:leader="none"/>
          <w:tab w:val="left" w:pos="360" w:leader="none"/>
        </w:tabs>
        <w:spacing w:lineRule="auto" w:line="240" w:before="0" w:after="0"/>
        <w:rPr>
          <w:rFonts w:ascii="Arial" w:hAnsi="Arial" w:eastAsia="Arial" w:cs="Arial"/>
          <w:color w:val="000000"/>
        </w:rPr>
      </w:pPr>
      <w:r>
        <w:rPr>
          <w:rFonts w:eastAsia="Arial" w:cs="Arial" w:ascii="Arial" w:hAnsi="Arial"/>
          <w:color w:val="000000"/>
        </w:rPr>
        <w:t>To participate in wider Trust meetings and working groups as required</w:t>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lineRule="auto" w:line="240" w:before="0" w:after="0"/>
        <w:jc w:val="both"/>
        <w:rPr>
          <w:rFonts w:ascii="Arial" w:hAnsi="Arial" w:eastAsia="Arial" w:cs="Arial"/>
          <w:color w:val="000000"/>
        </w:rPr>
      </w:pPr>
      <w:r>
        <w:rPr>
          <w:rFonts w:eastAsia="Arial" w:cs="Arial" w:ascii="Arial" w:hAnsi="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rPr>
          <w:rFonts w:ascii="Arial" w:hAnsi="Arial" w:eastAsia="Arial" w:cs="Arial"/>
        </w:rPr>
      </w:pPr>
      <w:r>
        <w:rPr>
          <w:rFonts w:eastAsia="Arial" w:cs="Arial" w:ascii="Arial" w:hAnsi="Arial"/>
        </w:rPr>
        <w:t>NET is committed to safeguarding and promoting the welfare of children and young people. We expect all staff to share this commitment and to undergo appropriate checks, including an enhanced DBS check.</w:t>
      </w:r>
    </w:p>
    <w:p>
      <w:pPr>
        <w:pStyle w:val="Normal"/>
        <w:pBdr/>
        <w:spacing w:lineRule="auto" w:line="240" w:before="0" w:after="0"/>
        <w:rPr>
          <w:rFonts w:ascii="Arial" w:hAnsi="Arial" w:eastAsia="Arial" w:cs="Arial"/>
          <w:color w:val="000000"/>
        </w:rPr>
      </w:pPr>
      <w:r>
        <w:rPr>
          <w:rFonts w:eastAsia="Arial" w:cs="Arial" w:ascii="Arial" w:hAnsi="Arial"/>
          <w:color w:val="000000"/>
        </w:rPr>
      </w:r>
    </w:p>
    <w:p>
      <w:pPr>
        <w:pStyle w:val="Normal"/>
        <w:pBdr/>
        <w:spacing w:lineRule="auto" w:line="240" w:before="0" w:after="0"/>
        <w:rPr>
          <w:rFonts w:ascii="Arial" w:hAnsi="Arial" w:eastAsia="Arial" w:cs="Arial"/>
          <w:color w:val="000000"/>
        </w:rPr>
      </w:pPr>
      <w:r>
        <w:rPr>
          <w:rFonts w:eastAsia="Arial" w:cs="Arial" w:ascii="Arial" w:hAnsi="Arial"/>
          <w:color w:val="000000"/>
        </w:rPr>
        <w:t>Signed: ……………………………………</w:t>
        <w:tab/>
        <w:tab/>
        <w:t>Date: ……………………………….</w:t>
      </w:r>
    </w:p>
    <w:p>
      <w:pPr>
        <w:pStyle w:val="Normal"/>
        <w:pBdr/>
        <w:spacing w:lineRule="auto" w:line="240" w:before="0" w:after="0"/>
        <w:rPr>
          <w:rFonts w:ascii="Arial" w:hAnsi="Arial" w:eastAsia="Arial" w:cs="Arial"/>
          <w:b/>
          <w:b/>
          <w:color w:val="000000"/>
        </w:rPr>
      </w:pPr>
      <w:r>
        <w:rPr>
          <w:rFonts w:eastAsia="Arial" w:cs="Arial" w:ascii="Arial" w:hAnsi="Arial"/>
          <w:b/>
          <w:color w:val="000000"/>
        </w:rPr>
      </w:r>
    </w:p>
    <w:p>
      <w:pPr>
        <w:pStyle w:val="Normal"/>
        <w:pBdr/>
        <w:spacing w:lineRule="auto" w:line="240" w:before="0" w:after="0"/>
        <w:rPr>
          <w:rFonts w:ascii="Arial" w:hAnsi="Arial" w:eastAsia="Arial" w:cs="Arial"/>
          <w:b/>
          <w:b/>
          <w:color w:val="000000"/>
        </w:rPr>
      </w:pPr>
      <w:r>
        <w:rPr>
          <w:rFonts w:eastAsia="Arial" w:cs="Arial" w:ascii="Arial" w:hAnsi="Arial"/>
          <w:b/>
          <w:color w:val="000000"/>
        </w:rPr>
      </w:r>
    </w:p>
    <w:sectPr>
      <w:type w:val="nextPage"/>
      <w:pgSz w:w="11906" w:h="16838"/>
      <w:pgMar w:left="1440" w:right="1440" w:header="0" w:top="1026" w:footer="0" w:bottom="83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rFonts w:ascii="Arial" w:hAnsi="Arial" w:eastAsia="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Arial" w:hAnsi="Arial" w:eastAsia="Arial" w:cs="Aria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Char">
    <w:name w:val="Body Text Char"/>
    <w:basedOn w:val="DefaultParagraphFont"/>
    <w:qFormat/>
    <w:rPr>
      <w:rFonts w:ascii="Calibri" w:hAnsi="Calibri" w:eastAsia="Calibri" w:cs="Calibri"/>
      <w:lang w:val="en-US"/>
    </w:rPr>
  </w:style>
  <w:style w:type="character" w:styleId="Annotationreference">
    <w:name w:val="annotation reference"/>
    <w:basedOn w:val="DefaultParagraphFont"/>
    <w:qFormat/>
    <w:rPr>
      <w:sz w:val="18"/>
      <w:szCs w:val="18"/>
    </w:rPr>
  </w:style>
  <w:style w:type="character" w:styleId="CommentTextChar">
    <w:name w:val="Comment Text Char"/>
    <w:basedOn w:val="DefaultParagraphFont"/>
    <w:qFormat/>
    <w:rPr>
      <w:sz w:val="24"/>
      <w:szCs w:val="24"/>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imes New Roman" w:hAnsi="Times New Roman" w:cs="Times New Roman"/>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spacing w:lineRule="auto" w:line="240" w:before="0" w:after="0"/>
      <w:ind w:left="695" w:right="0" w:hanging="576"/>
    </w:pPr>
    <w:rPr>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Spacing">
    <w:name w:val="No Spacing"/>
    <w:qFormat/>
    <w:pPr>
      <w:widowControl/>
      <w:suppressAutoHyphens w:val="true"/>
      <w:bidi w:val="0"/>
      <w:spacing w:lineRule="auto" w:line="240" w:before="0" w:after="0"/>
      <w:jc w:val="left"/>
    </w:pPr>
    <w:rPr>
      <w:rFonts w:ascii="Calibri" w:hAnsi="Calibri" w:eastAsia="Calibri" w:cs="Calibri"/>
      <w:color w:val="auto"/>
      <w:kern w:val="0"/>
      <w:sz w:val="22"/>
      <w:szCs w:val="22"/>
      <w:lang w:val="en-GB" w:eastAsia="en-GB" w:bidi="ar-SA"/>
    </w:rPr>
  </w:style>
  <w:style w:type="paragraph" w:styleId="ListParagraph">
    <w:name w:val="List Paragraph"/>
    <w:basedOn w:val="Normal"/>
    <w:qFormat/>
    <w:pPr>
      <w:spacing w:before="0" w:after="160"/>
      <w:ind w:left="720" w:right="0" w:hanging="0"/>
      <w:contextualSpacing/>
    </w:pPr>
    <w:rPr/>
  </w:style>
  <w:style w:type="paragraph" w:styleId="Annotationtext">
    <w:name w:val="annotation text"/>
    <w:basedOn w:val="Normal"/>
    <w:qFormat/>
    <w:pPr>
      <w:spacing w:lineRule="auto" w:line="240"/>
    </w:pPr>
    <w:rPr>
      <w:sz w:val="24"/>
      <w:szCs w:val="24"/>
    </w:rPr>
  </w:style>
  <w:style w:type="paragraph" w:styleId="Annotationsubject">
    <w:name w:val="annotation subject"/>
    <w:basedOn w:val="Annotationtext"/>
    <w:next w:val="Annotationtext"/>
    <w:qFormat/>
    <w:pPr/>
    <w:rPr>
      <w:b/>
      <w:bCs/>
      <w:sz w:val="20"/>
      <w:szCs w:val="20"/>
    </w:rPr>
  </w:style>
  <w:style w:type="paragraph" w:styleId="BalloonText">
    <w:name w:val="Balloon Text"/>
    <w:basedOn w:val="Normal"/>
    <w:qFormat/>
    <w:pPr>
      <w:spacing w:lineRule="auto" w:line="240" w:before="0" w:after="0"/>
    </w:pPr>
    <w:rPr>
      <w:rFonts w:ascii="Times New Roman" w:hAnsi="Times New Roman" w:cs="Times New Roman"/>
      <w:sz w:val="18"/>
      <w:szCs w:val="18"/>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Northern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2024-11-21T14:34:00Z</dcterms:created>
  <dc:creator>Armstrong, Luke</dc:creator>
  <dc:description/>
  <dc:language>en-US</dc:language>
  <cp:lastModifiedBy>O'Connell, Allison</cp:lastModifiedBy>
  <cp:lastPrinted>1995-11-21T17:41:00Z</cp:lastPrinted>
  <dcterms:modified xsi:type="dcterms:W3CDTF">2026-06-11T10:24:00Z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Northern Education Trust</vt:lpwstr>
  </property>
  <property fmtid="{D5CDD505-2E9C-101B-9397-08002B2CF9AE}" pid="4" name="ContentTypeId">
    <vt:lpwstr>0x01010033B207770BAFD24F905B3C651FAA74AC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