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jpeg" ContentType="image/jpe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6" w:before="0" w:after="0"/>
        <w:ind w:left="0" w:right="0" w:hanging="0"/>
        <w:jc w:val="center"/>
        <w:rPr/>
      </w:pPr>
      <w:r>
        <w:rPr/>
      </w:r>
    </w:p>
    <w:p>
      <w:pPr>
        <w:pStyle w:val="Normal"/>
        <w:spacing w:lineRule="auto" w:line="256" w:before="0" w:after="100"/>
        <w:ind w:left="10" w:right="59" w:hanging="10"/>
        <w:jc w:val="center"/>
        <w:rPr/>
      </w:pPr>
      <w:r>
        <w:rPr>
          <w:color w:val="FFFFFF"/>
          <w:szCs w:val="24"/>
        </w:rPr>
        <w:t>Social Worker (Adult</w:t>
      </w:r>
      <w:r>
        <w:rPr>
          <w:b w:val="false"/>
          <w:bCs/>
          <w:i w:val="false"/>
          <w:iCs/>
          <w:color w:val="000000"/>
          <w:szCs w:val="24"/>
        </w:rPr>
        <w:t xml:space="preserve"> </w:t>
        <w:tab/>
        <w:t>Social Worker (Adults)</w:t>
      </w:r>
      <w:r>
        <w:rPr>
          <w:color w:val="FFFFFF"/>
          <w:szCs w:val="24"/>
        </w:rPr>
        <w:t>s) Social Worker (Adults)</w:t>
      </w:r>
      <w:r>
        <w:rPr>
          <w:i w:val="false"/>
          <w:color w:val="000000"/>
          <w:szCs w:val="24"/>
        </w:rPr>
        <w:br/>
        <w:t>JOB DESCRIPTION</w:t>
      </w:r>
    </w:p>
    <w:p>
      <w:pPr>
        <w:pStyle w:val="Normal"/>
        <w:spacing w:lineRule="auto" w:line="256" w:before="0" w:after="0"/>
        <w:ind w:left="6" w:right="0" w:hanging="0"/>
        <w:jc w:val="center"/>
        <w:rPr>
          <w:i w:val="false"/>
          <w:i w:val="false"/>
          <w:color w:val="000000"/>
          <w:szCs w:val="24"/>
        </w:rPr>
      </w:pPr>
      <w:r>
        <w:rPr>
          <w:i w:val="false"/>
          <w:color w:val="000000"/>
          <w:szCs w:val="24"/>
        </w:rPr>
        <w:t xml:space="preserve"> </w:t>
      </w:r>
    </w:p>
    <w:tbl>
      <w:tblPr>
        <w:tblW w:w="9501" w:type="dxa"/>
        <w:jc w:val="left"/>
        <w:tblInd w:w="-4" w:type="dxa"/>
        <w:tblCellMar>
          <w:top w:w="11" w:type="dxa"/>
          <w:left w:w="107" w:type="dxa"/>
          <w:bottom w:w="0" w:type="dxa"/>
          <w:right w:w="11" w:type="dxa"/>
        </w:tblCellMar>
      </w:tblPr>
      <w:tblGrid>
        <w:gridCol w:w="2878"/>
        <w:gridCol w:w="6623"/>
      </w:tblGrid>
      <w:tr>
        <w:trPr>
          <w:trHeight w:val="472"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Job Title: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10" w:right="0" w:hanging="10"/>
              <w:rPr/>
            </w:pPr>
            <w:bookmarkStart w:id="0" w:name="_Hlk150248980"/>
            <w:r>
              <w:rPr>
                <w:b w:val="false"/>
                <w:i w:val="false"/>
                <w:color w:val="000000"/>
              </w:rPr>
              <w:t>Social Worker (Adults)</w:t>
            </w:r>
            <w:r>
              <w:rPr>
                <w:color w:val="FFFFFF"/>
              </w:rPr>
              <w:t xml:space="preserve"> Worker </w:t>
            </w:r>
            <w:bookmarkEnd w:id="0"/>
            <w:r>
              <w:rPr>
                <w:color w:val="FFFFFF"/>
              </w:rPr>
              <w:t>(Adults)</w:t>
            </w:r>
          </w:p>
        </w:tc>
      </w:tr>
      <w:tr>
        <w:trPr>
          <w:trHeight w:val="443"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AfC Band: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2" w:right="0" w:hanging="0"/>
              <w:rPr/>
            </w:pPr>
            <w:r>
              <w:rPr>
                <w:b w:val="false"/>
                <w:i w:val="false"/>
                <w:color w:val="000000"/>
              </w:rPr>
              <w:t>3C – 4A</w:t>
            </w:r>
            <w:r>
              <w:rPr>
                <w:b w:val="false"/>
                <w:i w:val="false"/>
                <w:color w:val="FFFFFF"/>
              </w:rPr>
              <w:t xml:space="preserve"> –</w:t>
            </w:r>
            <w:r>
              <w:rPr>
                <w:color w:val="FFFFFF"/>
              </w:rPr>
              <w:t xml:space="preserve"> 4A3C – 4A</w:t>
            </w:r>
          </w:p>
        </w:tc>
      </w:tr>
      <w:tr>
        <w:trPr>
          <w:trHeight w:val="754"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Directorate/Service: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2" w:right="0" w:hanging="0"/>
              <w:jc w:val="left"/>
              <w:rPr>
                <w:b w:val="false"/>
                <w:b w:val="false"/>
                <w:bCs/>
                <w:i w:val="false"/>
                <w:i w:val="false"/>
                <w:iCs/>
                <w:color w:val="000000"/>
                <w:szCs w:val="24"/>
              </w:rPr>
            </w:pPr>
            <w:r>
              <w:rPr>
                <w:b w:val="false"/>
                <w:bCs/>
                <w:i w:val="false"/>
                <w:iCs/>
                <w:color w:val="000000"/>
                <w:szCs w:val="24"/>
              </w:rPr>
              <w:t>Adult Social Care in Salford</w:t>
            </w:r>
          </w:p>
        </w:tc>
      </w:tr>
      <w:tr>
        <w:trPr>
          <w:trHeight w:val="586"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Accountable To: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10" w:right="0" w:hanging="10"/>
              <w:jc w:val="left"/>
              <w:rPr>
                <w:b w:val="false"/>
                <w:b w:val="false"/>
                <w:bCs/>
                <w:i w:val="false"/>
                <w:i w:val="false"/>
                <w:iCs/>
                <w:color w:val="000000"/>
                <w:szCs w:val="24"/>
              </w:rPr>
            </w:pPr>
            <w:r>
              <w:rPr>
                <w:b w:val="false"/>
                <w:bCs/>
                <w:i w:val="false"/>
                <w:iCs/>
                <w:color w:val="000000"/>
                <w:szCs w:val="24"/>
              </w:rPr>
              <w:t>Team Manager</w:t>
            </w:r>
          </w:p>
        </w:tc>
      </w:tr>
      <w:tr>
        <w:trPr>
          <w:trHeight w:val="696"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Responsible To: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10" w:right="0" w:hanging="10"/>
              <w:jc w:val="left"/>
              <w:rPr>
                <w:b w:val="false"/>
                <w:b w:val="false"/>
                <w:bCs/>
                <w:i w:val="false"/>
                <w:i w:val="false"/>
                <w:iCs/>
                <w:color w:val="000000"/>
                <w:szCs w:val="24"/>
              </w:rPr>
            </w:pPr>
            <w:r>
              <w:rPr>
                <w:b w:val="false"/>
                <w:bCs/>
                <w:i w:val="false"/>
                <w:iCs/>
                <w:color w:val="000000"/>
                <w:szCs w:val="24"/>
              </w:rPr>
              <w:t>Director Adult Social Care</w:t>
            </w:r>
          </w:p>
        </w:tc>
      </w:tr>
      <w:tr>
        <w:trPr>
          <w:trHeight w:val="473"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Base Location: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2" w:right="0" w:hanging="0"/>
              <w:jc w:val="left"/>
              <w:rPr>
                <w:b w:val="false"/>
                <w:b w:val="false"/>
                <w:i w:val="false"/>
                <w:i w:val="false"/>
                <w:color w:val="000000"/>
                <w:szCs w:val="24"/>
              </w:rPr>
            </w:pPr>
            <w:r>
              <w:rPr>
                <w:b w:val="false"/>
                <w:i w:val="false"/>
                <w:color w:val="000000"/>
                <w:szCs w:val="24"/>
              </w:rPr>
              <w:t>Salford</w:t>
            </w:r>
          </w:p>
        </w:tc>
      </w:tr>
      <w:tr>
        <w:trPr>
          <w:trHeight w:val="473"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On-Call Requirement:</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2" w:right="0" w:hanging="0"/>
              <w:jc w:val="left"/>
              <w:rPr>
                <w:b w:val="false"/>
                <w:b w:val="false"/>
                <w:i w:val="false"/>
                <w:i w:val="false"/>
                <w:color w:val="000000"/>
                <w:szCs w:val="24"/>
              </w:rPr>
            </w:pPr>
            <w:r>
              <w:rPr>
                <w:b w:val="false"/>
                <w:i w:val="false"/>
                <w:color w:val="000000"/>
                <w:szCs w:val="24"/>
              </w:rPr>
              <w:t xml:space="preserve">No </w:t>
            </w:r>
          </w:p>
        </w:tc>
      </w:tr>
      <w:tr>
        <w:trPr>
          <w:trHeight w:val="440" w:hRule="atLeast"/>
        </w:trPr>
        <w:tc>
          <w:tcPr>
            <w:tcW w:w="287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1" w:right="0" w:hanging="0"/>
              <w:jc w:val="left"/>
              <w:rPr>
                <w:i w:val="false"/>
                <w:i w:val="false"/>
                <w:color w:val="000000"/>
                <w:szCs w:val="24"/>
              </w:rPr>
            </w:pPr>
            <w:r>
              <w:rPr>
                <w:i w:val="false"/>
                <w:color w:val="000000"/>
                <w:szCs w:val="24"/>
              </w:rPr>
              <w:t xml:space="preserve">AfC Job Code: </w:t>
            </w:r>
          </w:p>
        </w:tc>
        <w:tc>
          <w:tcPr>
            <w:tcW w:w="662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56" w:before="0" w:after="0"/>
              <w:ind w:left="2" w:right="0" w:hanging="0"/>
              <w:jc w:val="left"/>
              <w:rPr>
                <w:b w:val="false"/>
                <w:b w:val="false"/>
                <w:i w:val="false"/>
                <w:i w:val="false"/>
                <w:szCs w:val="24"/>
              </w:rPr>
            </w:pPr>
            <w:r>
              <w:rPr>
                <w:b w:val="false"/>
                <w:i w:val="false"/>
                <w:szCs w:val="24"/>
              </w:rPr>
            </w:r>
          </w:p>
        </w:tc>
      </w:tr>
    </w:tbl>
    <w:p>
      <w:pPr>
        <w:pStyle w:val="Normal"/>
        <w:spacing w:lineRule="auto" w:line="256" w:before="0" w:after="0"/>
        <w:ind w:left="0" w:right="0" w:hanging="0"/>
        <w:jc w:val="left"/>
        <w:rPr>
          <w:szCs w:val="24"/>
        </w:rPr>
      </w:pPr>
      <w:r>
        <w:rPr>
          <w:szCs w:val="24"/>
        </w:rPr>
      </w:r>
    </w:p>
    <w:tbl>
      <w:tblPr>
        <w:tblW w:w="9508" w:type="dxa"/>
        <w:jc w:val="left"/>
        <w:tblInd w:w="-4" w:type="dxa"/>
        <w:tblCellMar>
          <w:top w:w="12" w:type="dxa"/>
          <w:left w:w="107" w:type="dxa"/>
          <w:bottom w:w="0" w:type="dxa"/>
          <w:right w:w="166" w:type="dxa"/>
        </w:tblCellMar>
      </w:tblPr>
      <w:tblGrid>
        <w:gridCol w:w="9508"/>
      </w:tblGrid>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Values </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56" w:before="0" w:after="0"/>
              <w:ind w:left="0" w:right="0" w:hanging="0"/>
              <w:rPr/>
            </w:pPr>
            <w:r>
              <w:rPr>
                <w:b w:val="false"/>
                <w:bCs/>
                <w:i w:val="false"/>
                <w:color w:val="000000"/>
                <w:szCs w:val="24"/>
              </w:rPr>
              <w:t xml:space="preserve">Three values are at the heart of our organisation: </w:t>
            </w:r>
            <w:r>
              <w:rPr>
                <w:i w:val="false"/>
                <w:color w:val="000000"/>
                <w:szCs w:val="24"/>
              </w:rPr>
              <w:t>Care</w:t>
            </w:r>
            <w:r>
              <w:rPr>
                <w:b w:val="false"/>
                <w:bCs/>
                <w:i w:val="false"/>
                <w:color w:val="000000"/>
                <w:szCs w:val="24"/>
              </w:rPr>
              <w:t xml:space="preserve">, </w:t>
            </w:r>
            <w:r>
              <w:rPr>
                <w:i w:val="false"/>
                <w:color w:val="000000"/>
                <w:szCs w:val="24"/>
              </w:rPr>
              <w:t>Appreciate</w:t>
            </w:r>
            <w:r>
              <w:rPr>
                <w:b w:val="false"/>
                <w:bCs/>
                <w:i w:val="false"/>
                <w:color w:val="000000"/>
                <w:szCs w:val="24"/>
              </w:rPr>
              <w:t xml:space="preserve"> and </w:t>
            </w:r>
            <w:r>
              <w:rPr>
                <w:i w:val="false"/>
                <w:color w:val="000000"/>
                <w:szCs w:val="24"/>
              </w:rPr>
              <w:t>Inspire</w:t>
            </w:r>
            <w:r>
              <w:rPr>
                <w:b w:val="false"/>
                <w:bCs/>
                <w:i w:val="false"/>
                <w:color w:val="000000"/>
                <w:szCs w:val="24"/>
              </w:rPr>
              <w:t xml:space="preserve">. </w:t>
            </w:r>
          </w:p>
          <w:p>
            <w:pPr>
              <w:pStyle w:val="Normal"/>
              <w:spacing w:lineRule="auto" w:line="256" w:before="0" w:after="0"/>
              <w:ind w:left="0" w:right="0" w:hanging="0"/>
              <w:rPr>
                <w:b w:val="false"/>
                <w:b w:val="false"/>
                <w:bCs/>
                <w:i w:val="false"/>
                <w:i w:val="false"/>
                <w:color w:val="000000"/>
                <w:szCs w:val="24"/>
              </w:rPr>
            </w:pPr>
            <w:r>
              <w:rPr>
                <w:b w:val="false"/>
                <w:bCs/>
                <w:i w:val="false"/>
                <w:color w:val="000000"/>
                <w:szCs w:val="24"/>
              </w:rPr>
            </w:r>
          </w:p>
          <w:p>
            <w:pPr>
              <w:pStyle w:val="Normal"/>
              <w:spacing w:lineRule="auto" w:line="256" w:before="0" w:after="0"/>
              <w:ind w:left="0" w:right="0" w:hanging="0"/>
              <w:rPr>
                <w:b w:val="false"/>
                <w:b w:val="false"/>
                <w:bCs/>
                <w:i w:val="false"/>
                <w:i w:val="false"/>
                <w:color w:val="000000"/>
                <w:szCs w:val="24"/>
              </w:rPr>
            </w:pPr>
            <w:r>
              <w:rPr>
                <w:b w:val="false"/>
                <w:bCs/>
                <w:i w:val="false"/>
                <w:color w:val="000000"/>
                <w:szCs w:val="24"/>
              </w:rPr>
              <w:t xml:space="preserve">Our values and behaviours define what’s important to us as we work alongside each other and with our patients and service users. They also shape what it feels like to work at the NCA and will be central to your development and performance conversations. Together, we will create a culture where care, appreciation and inspiration thrive.  </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Structure Chart </w:t>
            </w:r>
          </w:p>
        </w:tc>
      </w:tr>
      <w:tr>
        <w:trPr>
          <w:trHeight w:val="3147"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0" w:right="0" w:hanging="0"/>
              <w:rPr>
                <w:i w:val="false"/>
                <w:i w:val="false"/>
                <w:color w:val="000000"/>
                <w:szCs w:val="24"/>
              </w:rPr>
            </w:pPr>
            <w:r>
              <w:rPr>
                <w:i w:val="false"/>
                <w:color w:val="000000"/>
                <w:szCs w:val="24"/>
              </w:rPr>
              <w:br/>
            </w:r>
            <w:r>
              <w:rPr>
                <w:i w:val="false"/>
                <w:color w:val="000000"/>
                <w:szCs w:val="24"/>
              </w:rPr>
              <mc:AlternateContent>
                <mc:Choice Requires="wpg">
                  <w:drawing>
                    <wp:inline distT="0" distB="0" distL="0" distR="0">
                      <wp:extent cx="5610225" cy="2466975"/>
                      <wp:effectExtent l="0" t="0" r="0" b="0"/>
                      <wp:docPr id="1" name=""/>
                      <a:graphic xmlns:a="http://schemas.openxmlformats.org/drawingml/2006/main">
                        <a:graphicData uri="http://schemas.microsoft.com/office/word/2010/wordprocessingGroup">
                          <wpg:wgp>
                            <wpg:cNvGrpSpPr/>
                            <wpg:grpSpPr>
                              <a:xfrm>
                                <a:off x="0" y="0"/>
                                <a:ext cx="5609520" cy="2466360"/>
                              </a:xfrm>
                            </wpg:grpSpPr>
                            <pic:pic xmlns:pic="http://schemas.openxmlformats.org/drawingml/2006/picture">
                              <pic:nvPicPr>
                                <pic:cNvPr id="0" name="RenderedShapes" descr=""/>
                                <pic:cNvPicPr/>
                              </pic:nvPicPr>
                              <pic:blipFill>
                                <a:blip r:embed="rId2"/>
                                <a:stretch/>
                              </pic:blipFill>
                              <pic:spPr>
                                <a:xfrm>
                                  <a:off x="0" y="0"/>
                                  <a:ext cx="5609520" cy="2466360"/>
                                </a:xfrm>
                                <a:prstGeom prst="rect">
                                  <a:avLst/>
                                </a:prstGeom>
                                <a:ln>
                                  <a:noFill/>
                                </a:ln>
                              </pic:spPr>
                            </pic:pic>
                          </wpg:wgp>
                        </a:graphicData>
                      </a:graphic>
                    </wp:inline>
                  </w:drawing>
                </mc:Choice>
                <mc:Fallback>
                  <w:pict>
                    <v:group id="shape_0" style="position:absolute;margin-left:0pt;margin-top:0pt;width:441.7pt;height:194.2pt" coordorigin="0,0" coordsize="8834,3884">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RenderedShapes" stroked="f" style="position:absolute;left:0;top:0;width:8833;height:3883;mso-position-horizontal-relative:char" type="shapetype_75">
                        <v:imagedata r:id="rId2" o:detectmouseclick="t"/>
                        <w10:wrap type="none"/>
                        <v:stroke color="#3465a4" joinstyle="round" endcap="flat"/>
                      </v:shape>
                    </v:group>
                  </w:pict>
                </mc:Fallback>
              </mc:AlternateContent>
            </w:r>
          </w:p>
          <w:p>
            <w:pPr>
              <w:pStyle w:val="Normal"/>
              <w:spacing w:lineRule="auto" w:line="256" w:before="0" w:after="0"/>
              <w:ind w:left="0" w:right="0" w:hanging="0"/>
              <w:rPr>
                <w:i w:val="false"/>
                <w:i w:val="false"/>
                <w:color w:val="000000"/>
                <w:szCs w:val="24"/>
              </w:rPr>
            </w:pPr>
            <w:r>
              <w:rPr>
                <w:i w:val="false"/>
                <w:color w:val="000000"/>
                <w:szCs w:val="24"/>
              </w:rPr>
            </w:r>
          </w:p>
          <w:p>
            <w:pPr>
              <w:pStyle w:val="Normal"/>
              <w:spacing w:lineRule="auto" w:line="256" w:before="0" w:after="0"/>
              <w:ind w:left="0" w:right="0" w:hanging="0"/>
              <w:rPr>
                <w:i w:val="false"/>
                <w:i w:val="false"/>
                <w:color w:val="000000"/>
                <w:szCs w:val="24"/>
              </w:rPr>
            </w:pPr>
            <w:r>
              <w:rPr>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Job Summary </w:t>
            </w:r>
          </w:p>
        </w:tc>
      </w:tr>
      <w:tr>
        <w:trPr>
          <w:trHeight w:val="1211"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22" w:right="62" w:hanging="0"/>
              <w:rPr>
                <w:b w:val="false"/>
                <w:b w:val="false"/>
                <w:bCs/>
                <w:i w:val="false"/>
                <w:i w:val="false"/>
                <w:iCs/>
                <w:color w:val="000000"/>
                <w:sz w:val="22"/>
              </w:rPr>
            </w:pPr>
            <w:r>
              <w:rPr>
                <w:b w:val="false"/>
                <w:bCs/>
                <w:i w:val="false"/>
                <w:iCs/>
                <w:color w:val="000000"/>
                <w:sz w:val="22"/>
              </w:rPr>
              <w:t>To provide a person centred, statutory social work service for the most vulnerable adults and their carers in accordance with local and national policies and procedures.</w:t>
            </w:r>
          </w:p>
          <w:p>
            <w:pPr>
              <w:pStyle w:val="Normal"/>
              <w:spacing w:lineRule="auto" w:line="240" w:before="0" w:after="0"/>
              <w:ind w:left="22" w:right="62" w:hanging="0"/>
              <w:rPr>
                <w:b w:val="false"/>
                <w:b w:val="false"/>
                <w:bCs/>
                <w:i w:val="false"/>
                <w:i w:val="false"/>
                <w:iCs/>
                <w:color w:val="000000"/>
                <w:sz w:val="22"/>
              </w:rPr>
            </w:pPr>
            <w:r>
              <w:rPr>
                <w:b w:val="false"/>
                <w:bCs/>
                <w:i w:val="false"/>
                <w:iCs/>
                <w:color w:val="000000"/>
                <w:sz w:val="22"/>
              </w:rPr>
            </w:r>
          </w:p>
          <w:p>
            <w:pPr>
              <w:pStyle w:val="Normal"/>
              <w:spacing w:lineRule="auto" w:line="240" w:before="0" w:after="0"/>
              <w:ind w:left="22" w:right="62" w:hanging="0"/>
              <w:rPr>
                <w:b w:val="false"/>
                <w:b w:val="false"/>
                <w:bCs/>
                <w:i w:val="false"/>
                <w:i w:val="false"/>
                <w:iCs/>
                <w:color w:val="000000"/>
                <w:sz w:val="22"/>
              </w:rPr>
            </w:pPr>
            <w:r>
              <w:rPr>
                <w:b w:val="false"/>
                <w:bCs/>
                <w:i w:val="false"/>
                <w:iCs/>
                <w:color w:val="000000"/>
                <w:sz w:val="22"/>
              </w:rPr>
              <w:t>To actively support and participate in the development and implementation of integrated, multi-disciplinary working.</w:t>
            </w:r>
          </w:p>
          <w:p>
            <w:pPr>
              <w:pStyle w:val="Normal"/>
              <w:spacing w:lineRule="auto" w:line="240" w:before="0" w:after="0"/>
              <w:ind w:left="22" w:right="62" w:hanging="0"/>
              <w:rPr>
                <w:b w:val="false"/>
                <w:b w:val="false"/>
                <w:bCs/>
                <w:i w:val="false"/>
                <w:i w:val="false"/>
                <w:iCs/>
                <w:color w:val="000000"/>
                <w:sz w:val="22"/>
              </w:rPr>
            </w:pPr>
            <w:r>
              <w:rPr>
                <w:b w:val="false"/>
                <w:bCs/>
                <w:i w:val="false"/>
                <w:iCs/>
                <w:color w:val="000000"/>
                <w:sz w:val="22"/>
              </w:rPr>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t>To take a key role working with partners to safeguard service users through the effective management of risk and the recording and sharing of information.</w:t>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t>To adopt a strength’s-based approach to meet the individual needs of people with lived experience through effective support planning.</w:t>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t>To contribute to the effective development of the team.</w:t>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r>
          </w:p>
          <w:p>
            <w:pPr>
              <w:pStyle w:val="Normal"/>
              <w:spacing w:lineRule="auto" w:line="240" w:before="0" w:after="0"/>
              <w:ind w:left="22" w:right="62" w:hanging="10"/>
              <w:rPr>
                <w:b w:val="false"/>
                <w:b w:val="false"/>
                <w:bCs/>
                <w:i w:val="false"/>
                <w:i w:val="false"/>
                <w:iCs/>
                <w:color w:val="000000"/>
                <w:sz w:val="22"/>
              </w:rPr>
            </w:pPr>
            <w:r>
              <w:rPr>
                <w:b w:val="false"/>
                <w:bCs/>
                <w:i w:val="false"/>
                <w:iCs/>
                <w:color w:val="000000"/>
                <w:sz w:val="22"/>
              </w:rPr>
              <w:t>To carry out activities under the direction of a Team Manager, Advanced Practitioner, or other professional staff</w:t>
            </w:r>
          </w:p>
          <w:p>
            <w:pPr>
              <w:pStyle w:val="Normal"/>
              <w:spacing w:lineRule="auto" w:line="256" w:before="0" w:after="0"/>
              <w:ind w:left="0" w:right="0" w:hanging="0"/>
              <w:jc w:val="left"/>
              <w:rPr>
                <w:rFonts w:eastAsia="Cambria"/>
                <w:b w:val="false"/>
                <w:b w:val="false"/>
                <w:i w:val="false"/>
                <w:i w:val="false"/>
                <w:color w:val="000000"/>
                <w:szCs w:val="24"/>
              </w:rPr>
            </w:pPr>
            <w:r>
              <w:rPr>
                <w:rFonts w:eastAsia="Cambria"/>
                <w:b w:val="false"/>
                <w:i w:val="false"/>
                <w:color w:val="000000"/>
                <w:szCs w:val="24"/>
              </w:rPr>
            </w:r>
          </w:p>
          <w:p>
            <w:pPr>
              <w:pStyle w:val="Normal"/>
              <w:spacing w:lineRule="auto" w:line="256" w:before="0" w:after="0"/>
              <w:ind w:left="0" w:right="0" w:hanging="0"/>
              <w:jc w:val="left"/>
              <w:rPr>
                <w:rFonts w:eastAsia="Cambria"/>
                <w:b w:val="false"/>
                <w:b w:val="false"/>
                <w:i w:val="false"/>
                <w:i w:val="false"/>
                <w:color w:val="000000"/>
                <w:szCs w:val="24"/>
              </w:rPr>
            </w:pPr>
            <w:r>
              <w:rPr>
                <w:rFonts w:eastAsia="Cambria"/>
                <w:b w:val="false"/>
                <w:i w:val="false"/>
                <w:color w:val="000000"/>
                <w:szCs w:val="24"/>
              </w:rPr>
            </w:r>
          </w:p>
          <w:p>
            <w:pPr>
              <w:pStyle w:val="Normal"/>
              <w:spacing w:lineRule="auto" w:line="256" w:before="0" w:after="0"/>
              <w:ind w:left="0" w:right="0" w:hanging="0"/>
              <w:jc w:val="left"/>
              <w:rPr>
                <w:rFonts w:eastAsia="Cambria"/>
                <w:b w:val="false"/>
                <w:b w:val="false"/>
                <w:i w:val="false"/>
                <w:i w:val="false"/>
                <w:color w:val="000000"/>
                <w:szCs w:val="24"/>
              </w:rPr>
            </w:pPr>
            <w:r>
              <w:rPr>
                <w:rFonts w:eastAsia="Cambria"/>
                <w:b w:val="false"/>
                <w:i w:val="false"/>
                <w:color w:val="000000"/>
                <w:szCs w:val="24"/>
              </w:rPr>
            </w:r>
          </w:p>
        </w:tc>
      </w:tr>
    </w:tbl>
    <w:p>
      <w:pPr>
        <w:pStyle w:val="Normal"/>
        <w:spacing w:lineRule="auto" w:line="256" w:before="0" w:after="0"/>
        <w:ind w:left="-1440" w:right="10503" w:hanging="0"/>
        <w:jc w:val="left"/>
        <w:rPr>
          <w:szCs w:val="24"/>
        </w:rPr>
      </w:pPr>
      <w:r>
        <w:rPr>
          <w:szCs w:val="24"/>
        </w:rPr>
      </w:r>
    </w:p>
    <w:p>
      <w:pPr>
        <w:pStyle w:val="Normal"/>
        <w:spacing w:lineRule="auto" w:line="256" w:before="0" w:after="0"/>
        <w:ind w:left="-1440" w:right="10503" w:hanging="0"/>
        <w:jc w:val="left"/>
        <w:rPr>
          <w:szCs w:val="24"/>
        </w:rPr>
      </w:pPr>
      <w:r>
        <w:rPr>
          <w:szCs w:val="24"/>
        </w:rPr>
      </w:r>
    </w:p>
    <w:tbl>
      <w:tblPr>
        <w:tblW w:w="9508" w:type="dxa"/>
        <w:jc w:val="left"/>
        <w:tblInd w:w="-4" w:type="dxa"/>
        <w:tblCellMar>
          <w:top w:w="12" w:type="dxa"/>
          <w:left w:w="107" w:type="dxa"/>
          <w:bottom w:w="0" w:type="dxa"/>
          <w:right w:w="67" w:type="dxa"/>
        </w:tblCellMar>
      </w:tblPr>
      <w:tblGrid>
        <w:gridCol w:w="9508"/>
      </w:tblGrid>
      <w:tr>
        <w:trPr>
          <w:trHeight w:val="464"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Key Role and Responsibilities </w:t>
            </w:r>
          </w:p>
        </w:tc>
      </w:tr>
      <w:tr>
        <w:trPr>
          <w:trHeight w:val="857"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contextualSpacing/>
              <w:rPr>
                <w:bCs/>
                <w:i w:val="false"/>
                <w:i w:val="false"/>
                <w:iCs/>
                <w:color w:val="000000"/>
                <w:szCs w:val="24"/>
              </w:rPr>
            </w:pPr>
            <w:r>
              <w:rPr>
                <w:bCs/>
                <w:i w:val="false"/>
                <w:iCs/>
                <w:color w:val="000000"/>
                <w:szCs w:val="24"/>
              </w:rPr>
              <w:t>Caseload management</w:t>
            </w:r>
          </w:p>
          <w:p>
            <w:pPr>
              <w:pStyle w:val="ListParagraph"/>
              <w:spacing w:lineRule="auto" w:line="240" w:before="0" w:after="0"/>
              <w:ind w:left="0" w:right="1191" w:hanging="10"/>
              <w:contextualSpacing/>
              <w:rPr>
                <w:color w:val="000000"/>
                <w:szCs w:val="24"/>
              </w:rPr>
            </w:pPr>
            <w:r>
              <w:rPr>
                <w:color w:val="000000"/>
                <w:szCs w:val="24"/>
              </w:rPr>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undertake social care assessments and reviews that promote independence, improve well-being, and ensure outcomes are being met.</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produce and agree a support plan, if required, with individuals and their carers/families which acknowledges the strengths within their current situation and any additional support which will enable to them to remain as independent as possible.</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encourage individual choice and participation in service planning and to ensure that the person’s needs are understood by service providers.</w:t>
            </w:r>
          </w:p>
          <w:p>
            <w:pPr>
              <w:pStyle w:val="ListParagraph"/>
              <w:numPr>
                <w:ilvl w:val="0"/>
                <w:numId w:val="2"/>
              </w:numPr>
              <w:spacing w:lineRule="auto" w:line="240" w:before="0" w:after="0"/>
              <w:ind w:left="360" w:right="0" w:hanging="360"/>
              <w:contextualSpacing/>
              <w:rPr/>
            </w:pPr>
            <w:r>
              <w:rPr>
                <w:b w:val="false"/>
                <w:bCs/>
                <w:i w:val="false"/>
                <w:iCs/>
                <w:color w:val="000000"/>
                <w:sz w:val="22"/>
              </w:rPr>
              <w:t>To help resolve conflicts between individuals, carers and/or services.</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develop knowledge of community led support, building relationships with service providers and voluntary groups to ensure there is support available for people to access and/or purchase to meet their desired outcomes.</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support individuals to identify and utilise their informal network of support.</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calculate personal budgets and explore Direct Payments as part of the assessment of need.</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Maintain clear, accurate, legible, and up to date records, documenting how you have arrived at your decisions within specified timescales when required.</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work closely with social care/multi-disciplinary colleagues to support individuals in the community and seek appropriate support from these colleagues as required.</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offer a timely and proportionate social work response.</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respond to and make enquires into safeguarding concerns.</w:t>
            </w:r>
          </w:p>
          <w:p>
            <w:pPr>
              <w:pStyle w:val="ListParagraph"/>
              <w:numPr>
                <w:ilvl w:val="0"/>
                <w:numId w:val="2"/>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work to the principles of Making Safeguarding Personal and adhere to local and national safeguarding policies and procedures.</w:t>
            </w:r>
          </w:p>
          <w:p>
            <w:pPr>
              <w:pStyle w:val="Normal"/>
              <w:spacing w:lineRule="auto" w:line="240" w:before="0" w:after="0"/>
              <w:rPr>
                <w:b w:val="false"/>
                <w:b w:val="false"/>
                <w:bCs/>
                <w:i w:val="false"/>
                <w:i w:val="false"/>
                <w:iCs/>
                <w:color w:val="000000"/>
                <w:sz w:val="22"/>
              </w:rPr>
            </w:pPr>
            <w:r>
              <w:rPr>
                <w:b w:val="false"/>
                <w:bCs/>
                <w:i w:val="false"/>
                <w:iCs/>
                <w:color w:val="000000"/>
                <w:sz w:val="22"/>
              </w:rPr>
            </w:r>
          </w:p>
          <w:p>
            <w:pPr>
              <w:pStyle w:val="Normal"/>
              <w:spacing w:lineRule="auto" w:line="240" w:before="0" w:after="0"/>
              <w:rPr>
                <w:i w:val="false"/>
                <w:i w:val="false"/>
                <w:iCs/>
                <w:color w:val="000000"/>
                <w:sz w:val="22"/>
              </w:rPr>
            </w:pPr>
            <w:r>
              <w:rPr>
                <w:i w:val="false"/>
                <w:iCs/>
                <w:color w:val="000000"/>
                <w:sz w:val="22"/>
              </w:rPr>
              <w:t>Organisational and Professional development</w:t>
            </w:r>
          </w:p>
          <w:p>
            <w:pPr>
              <w:pStyle w:val="Normal"/>
              <w:spacing w:lineRule="auto" w:line="240" w:before="0" w:after="0"/>
              <w:rPr>
                <w:b w:val="false"/>
                <w:b w:val="false"/>
                <w:bCs/>
                <w:i w:val="false"/>
                <w:i w:val="false"/>
                <w:iCs/>
                <w:color w:val="000000"/>
                <w:sz w:val="22"/>
              </w:rPr>
            </w:pPr>
            <w:r>
              <w:rPr>
                <w:b w:val="false"/>
                <w:bCs/>
                <w:i w:val="false"/>
                <w:iCs/>
                <w:color w:val="000000"/>
                <w:sz w:val="22"/>
              </w:rPr>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contribute to and participate in the general development of the team in which you are located.</w:t>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 xml:space="preserve">To contribute to the development of services that benefit people in Salford through specialised roles and project work. </w:t>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 xml:space="preserve">To undertake training courses that contribute to your professional development and meet the needs of the organisation such as, Practice Educator and Best Interest Assessor. </w:t>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 xml:space="preserve">To contribute to the learning of others by supporting and mentoring students, newly qualified social workers, apprentices, and other learners on the team. </w:t>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To undertake continuous professional development as required to maintain your Social Work England registration.</w:t>
            </w:r>
          </w:p>
          <w:p>
            <w:pPr>
              <w:pStyle w:val="ListParagraph"/>
              <w:numPr>
                <w:ilvl w:val="0"/>
                <w:numId w:val="3"/>
              </w:numPr>
              <w:spacing w:lineRule="auto" w:line="240" w:before="0" w:after="0"/>
              <w:ind w:left="360" w:right="0" w:hanging="360"/>
              <w:contextualSpacing/>
              <w:rPr>
                <w:b w:val="false"/>
                <w:b w:val="false"/>
                <w:bCs/>
                <w:i w:val="false"/>
                <w:i w:val="false"/>
                <w:iCs/>
                <w:color w:val="000000"/>
                <w:sz w:val="22"/>
              </w:rPr>
            </w:pPr>
            <w:r>
              <w:rPr>
                <w:b w:val="false"/>
                <w:bCs/>
                <w:i w:val="false"/>
                <w:iCs/>
                <w:color w:val="000000"/>
                <w:sz w:val="22"/>
              </w:rPr>
              <w:t xml:space="preserve">To ensure your practice remains current by monitoring national updates and ensuring compliance with mandatory training. </w:t>
            </w:r>
          </w:p>
          <w:p>
            <w:pPr>
              <w:pStyle w:val="Normal"/>
              <w:spacing w:lineRule="auto" w:line="240" w:before="0" w:after="0"/>
              <w:ind w:left="1080" w:right="62" w:hanging="10"/>
              <w:contextualSpacing/>
              <w:rPr>
                <w:b w:val="false"/>
                <w:b w:val="false"/>
                <w:bCs/>
                <w:color w:val="000000"/>
                <w:sz w:val="22"/>
              </w:rPr>
            </w:pPr>
            <w:r>
              <w:rPr>
                <w:b w:val="false"/>
                <w:bCs/>
                <w:color w:val="000000"/>
                <w:sz w:val="22"/>
              </w:rPr>
            </w:r>
          </w:p>
          <w:p>
            <w:pPr>
              <w:pStyle w:val="Normal"/>
              <w:spacing w:lineRule="auto" w:line="240" w:before="0" w:after="0"/>
              <w:rPr>
                <w:rFonts w:eastAsia="MS Mincho"/>
                <w:i w:val="false"/>
                <w:i w:val="false"/>
                <w:iCs/>
                <w:color w:val="000000"/>
                <w:sz w:val="22"/>
              </w:rPr>
            </w:pPr>
            <w:r>
              <w:rPr>
                <w:rFonts w:eastAsia="MS Mincho"/>
                <w:i w:val="false"/>
                <w:iCs/>
                <w:color w:val="000000"/>
                <w:sz w:val="22"/>
              </w:rPr>
              <w:t xml:space="preserve">Integrated Care </w:t>
            </w:r>
          </w:p>
          <w:p>
            <w:pPr>
              <w:pStyle w:val="Normal"/>
              <w:spacing w:lineRule="auto" w:line="240" w:before="0" w:after="0"/>
              <w:ind w:left="322" w:right="62" w:hanging="10"/>
              <w:rPr>
                <w:rFonts w:eastAsia="MS Mincho"/>
                <w:b w:val="false"/>
                <w:b w:val="false"/>
                <w:bCs/>
                <w:i w:val="false"/>
                <w:i w:val="false"/>
                <w:iCs/>
                <w:color w:val="000000"/>
                <w:sz w:val="22"/>
              </w:rPr>
            </w:pPr>
            <w:r>
              <w:rPr>
                <w:rFonts w:eastAsia="MS Mincho"/>
                <w:b w:val="false"/>
                <w:bCs/>
                <w:i w:val="false"/>
                <w:iCs/>
                <w:color w:val="000000"/>
                <w:sz w:val="22"/>
              </w:rPr>
            </w:r>
          </w:p>
          <w:p>
            <w:pPr>
              <w:pStyle w:val="ListParagraph"/>
              <w:numPr>
                <w:ilvl w:val="0"/>
                <w:numId w:val="4"/>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To play an effective role within Integrated Services, representing a social work perspective at multi-agency meetings. </w:t>
            </w:r>
          </w:p>
          <w:p>
            <w:pPr>
              <w:pStyle w:val="ListParagraph"/>
              <w:numPr>
                <w:ilvl w:val="0"/>
                <w:numId w:val="4"/>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To attend multi-disciplinary meetings on the allocated caseload or duty as required by the Advanced Practitioner/Team Manager. These include discharge planning meetings in hospitals, self-neglect meetings, safeguarding meetings</w:t>
            </w:r>
          </w:p>
          <w:p>
            <w:pPr>
              <w:pStyle w:val="ListParagraph"/>
              <w:numPr>
                <w:ilvl w:val="0"/>
                <w:numId w:val="4"/>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To recognize and value other disciplines and specialist perspectives and work positively with others, contributing to teamwork and collaborative support. </w:t>
            </w:r>
          </w:p>
          <w:p>
            <w:pPr>
              <w:pStyle w:val="ListParagraph"/>
              <w:numPr>
                <w:ilvl w:val="0"/>
                <w:numId w:val="4"/>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Maintain an awareness changing policy, political and professional contexts at local and national level and take account of these in the workplace. </w:t>
            </w:r>
          </w:p>
          <w:p>
            <w:pPr>
              <w:pStyle w:val="ListParagraph"/>
              <w:numPr>
                <w:ilvl w:val="0"/>
                <w:numId w:val="4"/>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Explore, identify, and communicate to leaders how organisational practice can improve to support better social work practice and outcomes. </w:t>
            </w:r>
          </w:p>
          <w:p>
            <w:pPr>
              <w:pStyle w:val="Normal"/>
              <w:spacing w:lineRule="auto" w:line="240" w:before="0" w:after="0"/>
              <w:rPr>
                <w:rFonts w:eastAsia="MS Mincho"/>
                <w:b w:val="false"/>
                <w:b w:val="false"/>
                <w:bCs/>
                <w:sz w:val="22"/>
              </w:rPr>
            </w:pPr>
            <w:r>
              <w:rPr>
                <w:rFonts w:eastAsia="MS Mincho"/>
                <w:b w:val="false"/>
                <w:bCs/>
                <w:sz w:val="22"/>
              </w:rPr>
            </w:r>
          </w:p>
          <w:p>
            <w:pPr>
              <w:pStyle w:val="Normal"/>
              <w:spacing w:lineRule="auto" w:line="240" w:before="0" w:after="0"/>
              <w:rPr>
                <w:rFonts w:eastAsia="MS Mincho"/>
                <w:i w:val="false"/>
                <w:i w:val="false"/>
                <w:iCs/>
                <w:color w:val="000000"/>
                <w:sz w:val="22"/>
              </w:rPr>
            </w:pPr>
            <w:r>
              <w:rPr>
                <w:rFonts w:eastAsia="MS Mincho"/>
                <w:i w:val="false"/>
                <w:iCs/>
                <w:color w:val="000000"/>
                <w:sz w:val="22"/>
              </w:rPr>
              <w:t xml:space="preserve">General </w:t>
            </w:r>
          </w:p>
          <w:p>
            <w:pPr>
              <w:pStyle w:val="Normal"/>
              <w:spacing w:lineRule="auto" w:line="240" w:before="0" w:after="0"/>
              <w:ind w:left="322" w:right="62" w:hanging="10"/>
              <w:rPr>
                <w:rFonts w:eastAsia="MS Mincho"/>
                <w:b w:val="false"/>
                <w:b w:val="false"/>
                <w:bCs/>
                <w:color w:val="000000"/>
                <w:sz w:val="22"/>
              </w:rPr>
            </w:pPr>
            <w:r>
              <w:rPr>
                <w:rFonts w:eastAsia="MS Mincho"/>
                <w:b w:val="false"/>
                <w:bCs/>
                <w:color w:val="000000"/>
                <w:sz w:val="22"/>
              </w:rPr>
            </w:r>
          </w:p>
          <w:p>
            <w:pPr>
              <w:pStyle w:val="ListParagraph"/>
              <w:numPr>
                <w:ilvl w:val="0"/>
                <w:numId w:val="5"/>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To participate in the duty rota providing advice, guidance, and support to the community. </w:t>
            </w:r>
          </w:p>
          <w:p>
            <w:pPr>
              <w:pStyle w:val="ListParagraph"/>
              <w:numPr>
                <w:ilvl w:val="0"/>
                <w:numId w:val="5"/>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To demonstrate the NCA values of People Focus, Continuous Improvement, Accountability and Respect.</w:t>
            </w:r>
          </w:p>
          <w:p>
            <w:pPr>
              <w:pStyle w:val="ListParagraph"/>
              <w:numPr>
                <w:ilvl w:val="0"/>
                <w:numId w:val="5"/>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The post holder must carry out their duties with full regard to the Trust policies and procedures.</w:t>
            </w:r>
          </w:p>
          <w:p>
            <w:pPr>
              <w:pStyle w:val="ListParagraph"/>
              <w:numPr>
                <w:ilvl w:val="0"/>
                <w:numId w:val="5"/>
              </w:numPr>
              <w:spacing w:lineRule="auto" w:line="240" w:before="0" w:after="0"/>
              <w:ind w:left="360" w:right="0" w:hanging="360"/>
              <w:contextualSpacing/>
              <w:rPr/>
            </w:pPr>
            <w:r>
              <w:rPr>
                <w:rFonts w:eastAsia="MS Mincho"/>
                <w:b w:val="false"/>
                <w:bCs/>
                <w:i w:val="false"/>
                <w:iCs/>
                <w:color w:val="000000"/>
                <w:sz w:val="22"/>
              </w:rPr>
              <w:t>To work flexibly in the interest of the service. This may include undertaking other duties providing that these are appropriate to the employee’s background, skills, and abilities. Where</w:t>
            </w:r>
            <w:r>
              <w:rPr>
                <w:rFonts w:eastAsia="MS Mincho"/>
                <w:b w:val="false"/>
                <w:bCs/>
                <w:color w:val="000000"/>
                <w:sz w:val="22"/>
              </w:rPr>
              <w:t xml:space="preserve"> </w:t>
            </w:r>
            <w:r>
              <w:rPr>
                <w:rFonts w:eastAsia="MS Mincho"/>
                <w:b w:val="false"/>
                <w:bCs/>
                <w:i w:val="false"/>
                <w:iCs/>
                <w:color w:val="000000"/>
                <w:sz w:val="22"/>
              </w:rPr>
              <w:t xml:space="preserve">this occurs, there will be consultation with the employee and any necessary personal development will be considered. </w:t>
            </w:r>
          </w:p>
          <w:p>
            <w:pPr>
              <w:pStyle w:val="ListParagraph"/>
              <w:numPr>
                <w:ilvl w:val="0"/>
                <w:numId w:val="5"/>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 xml:space="preserve">To carry out all duties with regard for confidentially and data protection regulations. </w:t>
            </w:r>
          </w:p>
          <w:p>
            <w:pPr>
              <w:pStyle w:val="ListParagraph"/>
              <w:numPr>
                <w:ilvl w:val="0"/>
                <w:numId w:val="5"/>
              </w:numPr>
              <w:spacing w:lineRule="auto" w:line="240" w:before="0" w:after="0"/>
              <w:ind w:left="360" w:right="0" w:hanging="360"/>
              <w:contextualSpacing/>
              <w:rPr>
                <w:rFonts w:eastAsia="MS Mincho"/>
                <w:b w:val="false"/>
                <w:b w:val="false"/>
                <w:bCs/>
                <w:i w:val="false"/>
                <w:i w:val="false"/>
                <w:iCs/>
                <w:color w:val="000000"/>
                <w:sz w:val="22"/>
              </w:rPr>
            </w:pPr>
            <w:r>
              <w:rPr>
                <w:rFonts w:eastAsia="MS Mincho"/>
                <w:b w:val="false"/>
                <w:bCs/>
                <w:i w:val="false"/>
                <w:iCs/>
                <w:color w:val="000000"/>
                <w:sz w:val="22"/>
              </w:rPr>
              <w:t>To work flexibly and outside of normal working times to meet the requirements of the post as required</w:t>
            </w:r>
          </w:p>
          <w:p>
            <w:pPr>
              <w:pStyle w:val="ListParagraph"/>
              <w:numPr>
                <w:ilvl w:val="0"/>
                <w:numId w:val="5"/>
              </w:numPr>
              <w:spacing w:lineRule="auto" w:line="240" w:before="0" w:after="0"/>
              <w:ind w:left="360" w:right="1191" w:hanging="360"/>
              <w:contextualSpacing/>
              <w:rPr>
                <w:b w:val="false"/>
                <w:b w:val="false"/>
                <w:bCs/>
                <w:i w:val="false"/>
                <w:i w:val="false"/>
                <w:iCs/>
                <w:color w:val="000000"/>
                <w:sz w:val="22"/>
              </w:rPr>
            </w:pPr>
            <w:r>
              <w:rPr>
                <w:b w:val="false"/>
                <w:bCs/>
                <w:i w:val="false"/>
                <w:iCs/>
                <w:color w:val="000000"/>
                <w:sz w:val="22"/>
              </w:rPr>
              <w:t>To be responsible for your own health and safety and that of individuals and / or carers by adhering to policies and procedures</w:t>
            </w:r>
          </w:p>
          <w:p>
            <w:pPr>
              <w:pStyle w:val="Normal"/>
              <w:spacing w:lineRule="auto" w:line="240" w:before="0" w:after="0"/>
              <w:ind w:left="10" w:right="1191" w:hanging="10"/>
              <w:rPr>
                <w:b w:val="false"/>
                <w:b w:val="false"/>
                <w:bCs/>
                <w:sz w:val="22"/>
              </w:rPr>
            </w:pPr>
            <w:r>
              <w:rPr>
                <w:b w:val="false"/>
                <w:bCs/>
                <w:sz w:val="22"/>
              </w:rPr>
            </w:r>
          </w:p>
          <w:p>
            <w:pPr>
              <w:pStyle w:val="BulletedText"/>
              <w:numPr>
                <w:ilvl w:val="0"/>
                <w:numId w:val="0"/>
              </w:numPr>
              <w:spacing w:lineRule="auto" w:line="240" w:before="80" w:after="80"/>
              <w:ind w:left="345" w:right="62" w:hanging="170"/>
              <w:jc w:val="both"/>
              <w:rPr>
                <w:rFonts w:ascii="Arial" w:hAnsi="Arial" w:cs="Arial"/>
                <w:bCs/>
                <w:sz w:val="22"/>
                <w:szCs w:val="22"/>
              </w:rPr>
            </w:pPr>
            <w:r>
              <w:rPr>
                <w:rFonts w:cs="Arial" w:ascii="Arial" w:hAnsi="Arial"/>
                <w:bCs/>
                <w:sz w:val="22"/>
                <w:szCs w:val="22"/>
              </w:rPr>
              <w:t>The Northern Care Alliance embraces a person-centred strengths-based approach, to support people, to maximise life chances and outcomes and ensure prevention and early intervention. To implement this approach staff should help identify a person’s strengths, gifts and abilities including those of their families, friends, and communities, during conversations and interactions. All roles should advocate this community focused approach to ensure people get the right support for them</w:t>
            </w:r>
          </w:p>
          <w:p>
            <w:pPr>
              <w:pStyle w:val="BulletedText"/>
              <w:numPr>
                <w:ilvl w:val="0"/>
                <w:numId w:val="0"/>
              </w:numPr>
              <w:spacing w:lineRule="auto" w:line="240" w:before="80" w:after="80"/>
              <w:ind w:left="345" w:right="62" w:hanging="170"/>
              <w:rPr>
                <w:rFonts w:ascii="Arial" w:hAnsi="Arial" w:cs="Arial"/>
                <w:sz w:val="24"/>
                <w:szCs w:val="24"/>
              </w:rPr>
            </w:pPr>
            <w:r>
              <w:rPr>
                <w:rFonts w:cs="Arial" w:ascii="Arial" w:hAnsi="Arial"/>
                <w:sz w:val="24"/>
                <w:szCs w:val="24"/>
              </w:rPr>
            </w:r>
          </w:p>
        </w:tc>
      </w:tr>
    </w:tbl>
    <w:p>
      <w:pPr>
        <w:pStyle w:val="Normal"/>
        <w:spacing w:lineRule="auto" w:line="256" w:before="0" w:after="0"/>
        <w:ind w:left="-1440" w:right="10503" w:hanging="0"/>
        <w:jc w:val="left"/>
        <w:rPr>
          <w:szCs w:val="24"/>
        </w:rPr>
      </w:pPr>
      <w:r>
        <w:rPr>
          <w:szCs w:val="24"/>
        </w:rPr>
      </w:r>
    </w:p>
    <w:p>
      <w:pPr>
        <w:pStyle w:val="Normal"/>
        <w:spacing w:lineRule="auto" w:line="256" w:before="0" w:after="0"/>
        <w:ind w:left="-1440" w:right="10503" w:hanging="0"/>
        <w:jc w:val="left"/>
        <w:rPr>
          <w:szCs w:val="24"/>
        </w:rPr>
      </w:pPr>
      <w:r>
        <w:rPr>
          <w:szCs w:val="24"/>
        </w:rPr>
      </w:r>
    </w:p>
    <w:p>
      <w:pPr>
        <w:pStyle w:val="Normal"/>
        <w:spacing w:lineRule="auto" w:line="256" w:before="0" w:after="52"/>
        <w:ind w:left="0" w:right="132" w:hanging="0"/>
        <w:jc w:val="right"/>
        <w:rPr>
          <w:i w:val="false"/>
          <w:i w:val="false"/>
          <w:color w:val="000000"/>
          <w:szCs w:val="24"/>
        </w:rPr>
      </w:pPr>
      <w:r>
        <w:rPr>
          <w:i w:val="false"/>
          <w:color w:val="000000"/>
          <w:szCs w:val="24"/>
        </w:rPr>
        <w:t xml:space="preserve">                                 </w:t>
      </w:r>
    </w:p>
    <w:p>
      <w:pPr>
        <w:pStyle w:val="Normal"/>
        <w:spacing w:lineRule="auto" w:line="256" w:before="0" w:after="100"/>
        <w:ind w:left="0" w:right="0" w:hanging="0"/>
        <w:rPr>
          <w:szCs w:val="24"/>
        </w:rPr>
      </w:pPr>
      <w:r>
        <w:rPr>
          <w:szCs w:val="24"/>
        </w:rPr>
      </w:r>
    </w:p>
    <w:p>
      <w:pPr>
        <w:pStyle w:val="Normal"/>
        <w:spacing w:lineRule="auto" w:line="256" w:before="0" w:after="100"/>
        <w:ind w:left="0" w:right="0" w:hanging="0"/>
        <w:rPr>
          <w:szCs w:val="24"/>
        </w:rPr>
      </w:pPr>
      <w:r>
        <w:rPr>
          <w:szCs w:val="24"/>
        </w:rPr>
      </w:r>
    </w:p>
    <w:p>
      <w:pPr>
        <w:pStyle w:val="Normal"/>
        <w:spacing w:lineRule="auto" w:line="256" w:before="0" w:after="100"/>
        <w:ind w:left="0" w:right="0" w:hanging="0"/>
        <w:rPr>
          <w:szCs w:val="24"/>
        </w:rPr>
      </w:pPr>
      <w:r>
        <w:rPr>
          <w:szCs w:val="24"/>
        </w:rPr>
      </w:r>
    </w:p>
    <w:p>
      <w:pPr>
        <w:pStyle w:val="Normal"/>
        <w:spacing w:lineRule="auto" w:line="256" w:before="0" w:after="100"/>
        <w:ind w:left="0" w:right="0" w:hanging="0"/>
        <w:rPr>
          <w:szCs w:val="24"/>
        </w:rPr>
      </w:pPr>
      <w:r>
        <w:rPr>
          <w:szCs w:val="24"/>
        </w:rPr>
      </w:r>
    </w:p>
    <w:p>
      <w:pPr>
        <w:pStyle w:val="Normal"/>
        <w:spacing w:lineRule="auto" w:line="256" w:before="0" w:after="100"/>
        <w:ind w:left="0" w:right="0" w:hanging="0"/>
        <w:jc w:val="center"/>
        <w:rPr>
          <w:b w:val="false"/>
          <w:b w:val="false"/>
          <w:bCs/>
          <w:i w:val="false"/>
          <w:i w:val="false"/>
          <w:iCs/>
          <w:szCs w:val="24"/>
        </w:rPr>
      </w:pPr>
      <w:r>
        <w:rPr>
          <w:b w:val="false"/>
          <w:bCs/>
          <w:i w:val="false"/>
          <w:iCs/>
          <w:szCs w:val="24"/>
        </w:rPr>
      </w:r>
    </w:p>
    <w:p>
      <w:pPr>
        <w:pStyle w:val="Normal"/>
        <w:spacing w:lineRule="auto" w:line="256" w:before="0" w:after="38"/>
        <w:ind w:left="10" w:right="64" w:hanging="10"/>
        <w:jc w:val="center"/>
        <w:rPr>
          <w:b w:val="false"/>
          <w:b w:val="false"/>
          <w:bCs/>
          <w:i w:val="false"/>
          <w:i w:val="false"/>
          <w:iCs/>
          <w:color w:val="000000"/>
          <w:szCs w:val="24"/>
        </w:rPr>
      </w:pPr>
      <w:r>
        <w:rPr>
          <w:b w:val="false"/>
          <w:bCs/>
          <w:i w:val="false"/>
          <w:iCs/>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r>
    </w:p>
    <w:p>
      <w:pPr>
        <w:pStyle w:val="Normal"/>
        <w:spacing w:lineRule="auto" w:line="256" w:before="0" w:after="38"/>
        <w:ind w:left="10" w:right="64" w:hanging="10"/>
        <w:jc w:val="center"/>
        <w:rPr>
          <w:i w:val="false"/>
          <w:i w:val="false"/>
          <w:color w:val="000000"/>
          <w:szCs w:val="24"/>
        </w:rPr>
      </w:pPr>
      <w:r>
        <w:rPr>
          <w:i w:val="false"/>
          <w:color w:val="000000"/>
          <w:szCs w:val="24"/>
        </w:rPr>
        <w:t xml:space="preserve">PERSON SPECIFICATION </w:t>
      </w:r>
    </w:p>
    <w:p>
      <w:pPr>
        <w:pStyle w:val="Normal"/>
        <w:spacing w:lineRule="auto" w:line="256" w:before="0" w:after="0"/>
        <w:ind w:left="1" w:right="0" w:hanging="0"/>
        <w:jc w:val="center"/>
        <w:rPr>
          <w:rFonts w:eastAsia="Arial"/>
          <w:i w:val="false"/>
          <w:i w:val="false"/>
          <w:color w:val="000000"/>
          <w:szCs w:val="24"/>
        </w:rPr>
      </w:pPr>
      <w:r>
        <w:rPr>
          <w:rFonts w:eastAsia="Arial"/>
          <w:i w:val="false"/>
          <w:color w:val="000000"/>
          <w:szCs w:val="24"/>
        </w:rPr>
        <w:t xml:space="preserve"> </w:t>
      </w:r>
    </w:p>
    <w:tbl>
      <w:tblPr>
        <w:tblW w:w="9365" w:type="dxa"/>
        <w:jc w:val="left"/>
        <w:tblInd w:w="-4" w:type="dxa"/>
        <w:tblCellMar>
          <w:top w:w="13" w:type="dxa"/>
          <w:left w:w="107" w:type="dxa"/>
          <w:bottom w:w="0" w:type="dxa"/>
          <w:right w:w="115" w:type="dxa"/>
        </w:tblCellMar>
      </w:tblPr>
      <w:tblGrid>
        <w:gridCol w:w="1438"/>
        <w:gridCol w:w="7927"/>
      </w:tblGrid>
      <w:tr>
        <w:trPr>
          <w:trHeight w:val="467" w:hRule="atLeast"/>
        </w:trPr>
        <w:tc>
          <w:tcPr>
            <w:tcW w:w="143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Job Title: </w:t>
            </w:r>
          </w:p>
        </w:tc>
        <w:tc>
          <w:tcPr>
            <w:tcW w:w="79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160"/>
              <w:ind w:left="0" w:right="0" w:hanging="0"/>
              <w:jc w:val="left"/>
              <w:rPr>
                <w:b w:val="false"/>
                <w:b w:val="false"/>
                <w:bCs/>
                <w:i w:val="false"/>
                <w:i w:val="false"/>
                <w:iCs/>
                <w:color w:val="000000"/>
                <w:szCs w:val="24"/>
              </w:rPr>
            </w:pPr>
            <w:r>
              <w:rPr>
                <w:b w:val="false"/>
                <w:bCs/>
                <w:i w:val="false"/>
                <w:iCs/>
                <w:color w:val="000000"/>
                <w:szCs w:val="24"/>
              </w:rPr>
              <w:t>Social Worker (Adults)</w:t>
            </w:r>
          </w:p>
        </w:tc>
      </w:tr>
      <w:tr>
        <w:trPr>
          <w:trHeight w:val="467" w:hRule="atLeast"/>
        </w:trPr>
        <w:tc>
          <w:tcPr>
            <w:tcW w:w="1438" w:type="dxa"/>
            <w:tcBorders>
              <w:top w:val="single" w:sz="4" w:space="0" w:color="000000"/>
              <w:left w:val="single" w:sz="4" w:space="0" w:color="000000"/>
              <w:bottom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AfC Band: </w:t>
            </w:r>
          </w:p>
        </w:tc>
        <w:tc>
          <w:tcPr>
            <w:tcW w:w="792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1" w:right="0" w:hanging="0"/>
              <w:jc w:val="left"/>
              <w:rPr/>
            </w:pPr>
            <w:r>
              <w:rPr>
                <w:b w:val="false"/>
                <w:i w:val="false"/>
                <w:color w:val="000000"/>
                <w:szCs w:val="24"/>
              </w:rPr>
              <w:t xml:space="preserve"> </w:t>
            </w:r>
            <w:r>
              <w:rPr>
                <w:b w:val="false"/>
                <w:bCs/>
                <w:i w:val="false"/>
                <w:iCs/>
                <w:color w:val="000000"/>
                <w:szCs w:val="24"/>
              </w:rPr>
              <w:t>3C – 4A</w:t>
            </w:r>
            <w:r>
              <w:rPr>
                <w:b w:val="false"/>
                <w:bCs/>
                <w:i w:val="false"/>
                <w:iCs/>
                <w:color w:val="FFFFFF"/>
                <w:szCs w:val="24"/>
              </w:rPr>
              <w:t xml:space="preserve"> –</w:t>
            </w:r>
            <w:r>
              <w:rPr>
                <w:color w:val="FFFFFF"/>
                <w:szCs w:val="24"/>
              </w:rPr>
              <w:t xml:space="preserve"> 4A3C – 4A</w:t>
            </w:r>
          </w:p>
        </w:tc>
      </w:tr>
    </w:tbl>
    <w:p>
      <w:pPr>
        <w:pStyle w:val="Normal"/>
        <w:spacing w:lineRule="auto" w:line="256" w:before="0" w:after="0"/>
        <w:ind w:left="0" w:right="0" w:hanging="0"/>
        <w:jc w:val="left"/>
        <w:rPr>
          <w:b w:val="false"/>
          <w:b w:val="false"/>
          <w:i w:val="false"/>
          <w:i w:val="false"/>
          <w:color w:val="000000"/>
          <w:szCs w:val="24"/>
        </w:rPr>
      </w:pPr>
      <w:r>
        <w:rPr>
          <w:b w:val="false"/>
          <w:i w:val="false"/>
          <w:color w:val="000000"/>
          <w:szCs w:val="24"/>
        </w:rPr>
        <w:t xml:space="preserve"> </w:t>
      </w:r>
    </w:p>
    <w:p>
      <w:pPr>
        <w:pStyle w:val="Normal"/>
        <w:spacing w:lineRule="auto" w:line="256" w:before="0" w:after="0"/>
        <w:ind w:left="0" w:right="0" w:hanging="0"/>
        <w:jc w:val="left"/>
        <w:rPr/>
      </w:pPr>
      <w:r>
        <w:rPr/>
      </w:r>
    </w:p>
    <w:tbl>
      <w:tblPr>
        <w:tblW w:w="9361" w:type="dxa"/>
        <w:jc w:val="left"/>
        <w:tblInd w:w="0" w:type="dxa"/>
        <w:tblCellMar>
          <w:top w:w="0" w:type="dxa"/>
          <w:left w:w="108" w:type="dxa"/>
          <w:bottom w:w="0" w:type="dxa"/>
          <w:right w:w="108" w:type="dxa"/>
        </w:tblCellMar>
      </w:tblPr>
      <w:tblGrid>
        <w:gridCol w:w="1838"/>
        <w:gridCol w:w="3826"/>
        <w:gridCol w:w="3697"/>
      </w:tblGrid>
      <w:tr>
        <w:trPr/>
        <w:tc>
          <w:tcPr>
            <w:tcW w:w="1838"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napToGrid w:val="false"/>
              <w:spacing w:lineRule="auto" w:line="256" w:before="0" w:after="0"/>
              <w:ind w:left="0" w:right="0" w:hanging="0"/>
              <w:jc w:val="left"/>
              <w:rPr>
                <w:i w:val="false"/>
                <w:i w:val="false"/>
                <w:iCs/>
                <w:color w:val="000000"/>
                <w:szCs w:val="24"/>
              </w:rPr>
            </w:pPr>
            <w:r>
              <w:rPr>
                <w:i w:val="false"/>
                <w:iCs/>
                <w:color w:val="000000"/>
                <w:szCs w:val="24"/>
              </w:rPr>
            </w:r>
          </w:p>
        </w:tc>
        <w:tc>
          <w:tcPr>
            <w:tcW w:w="3826"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Essential</w:t>
            </w:r>
          </w:p>
        </w:tc>
        <w:tc>
          <w:tcPr>
            <w:tcW w:w="3697" w:type="dxa"/>
            <w:tcBorders>
              <w:top w:val="single" w:sz="4" w:space="0" w:color="000000"/>
              <w:left w:val="single" w:sz="4" w:space="0" w:color="000000"/>
              <w:bottom w:val="single" w:sz="4" w:space="0" w:color="000000"/>
              <w:right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Desirable</w:t>
            </w:r>
          </w:p>
        </w:tc>
      </w:tr>
      <w:tr>
        <w:trPr/>
        <w:tc>
          <w:tcPr>
            <w:tcW w:w="1838"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 xml:space="preserve">Qualifications </w:t>
            </w:r>
          </w:p>
        </w:tc>
        <w:tc>
          <w:tcPr>
            <w:tcW w:w="3826" w:type="dxa"/>
            <w:tcBorders>
              <w:top w:val="single" w:sz="4" w:space="0" w:color="000000"/>
              <w:left w:val="single" w:sz="4" w:space="0" w:color="000000"/>
              <w:bottom w:val="single" w:sz="4" w:space="0" w:color="000000"/>
            </w:tcBorders>
            <w:shd w:fill="auto" w:val="clear"/>
          </w:tcPr>
          <w:p>
            <w:pPr>
              <w:pStyle w:val="ListParagraph"/>
              <w:tabs>
                <w:tab w:val="clear" w:pos="720"/>
                <w:tab w:val="left" w:pos="3946" w:leader="none"/>
              </w:tabs>
              <w:spacing w:lineRule="auto" w:line="256" w:before="0" w:after="0"/>
              <w:ind w:left="-106" w:right="0" w:hanging="0"/>
              <w:contextualSpacing/>
              <w:jc w:val="left"/>
              <w:rPr>
                <w:rFonts w:eastAsia="MS Mincho"/>
                <w:b w:val="false"/>
                <w:b w:val="false"/>
                <w:bCs/>
                <w:i w:val="false"/>
                <w:i w:val="false"/>
                <w:iCs/>
                <w:color w:val="000000"/>
                <w:sz w:val="23"/>
                <w:szCs w:val="23"/>
              </w:rPr>
            </w:pPr>
            <w:r>
              <w:rPr>
                <w:rFonts w:eastAsia="MS Mincho"/>
                <w:b w:val="false"/>
                <w:bCs/>
                <w:i w:val="false"/>
                <w:iCs/>
                <w:color w:val="000000"/>
                <w:sz w:val="23"/>
                <w:szCs w:val="23"/>
              </w:rPr>
              <w:t>Possession of a recognised Social Work qualification; Degree, CQSW, CSS, Dip SW or equivalent.</w:t>
            </w:r>
          </w:p>
        </w:tc>
        <w:tc>
          <w:tcPr>
            <w:tcW w:w="369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napToGrid w:val="false"/>
              <w:spacing w:lineRule="auto" w:line="256" w:before="0" w:after="0"/>
              <w:ind w:left="10" w:right="0" w:hanging="10"/>
              <w:jc w:val="left"/>
              <w:rPr>
                <w:b w:val="false"/>
                <w:b w:val="false"/>
                <w:bCs/>
                <w:i w:val="false"/>
                <w:i w:val="false"/>
                <w:iCs/>
                <w:color w:val="000000"/>
                <w:szCs w:val="24"/>
              </w:rPr>
            </w:pPr>
            <w:r>
              <w:rPr>
                <w:b w:val="false"/>
                <w:bCs/>
                <w:i w:val="false"/>
                <w:iCs/>
                <w:color w:val="000000"/>
                <w:szCs w:val="24"/>
              </w:rPr>
            </w:r>
          </w:p>
        </w:tc>
      </w:tr>
      <w:tr>
        <w:trPr/>
        <w:tc>
          <w:tcPr>
            <w:tcW w:w="1838"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Professional Registration</w:t>
              <w:br/>
              <w:t xml:space="preserve"> </w:t>
            </w:r>
          </w:p>
        </w:tc>
        <w:tc>
          <w:tcPr>
            <w:tcW w:w="3826" w:type="dxa"/>
            <w:tcBorders>
              <w:top w:val="single" w:sz="4" w:space="0" w:color="000000"/>
              <w:left w:val="single" w:sz="4" w:space="0" w:color="000000"/>
              <w:bottom w:val="single" w:sz="4" w:space="0" w:color="000000"/>
            </w:tcBorders>
            <w:shd w:fill="auto" w:val="clear"/>
          </w:tcPr>
          <w:p>
            <w:pPr>
              <w:pStyle w:val="ListParagraph"/>
              <w:tabs>
                <w:tab w:val="clear" w:pos="720"/>
                <w:tab w:val="left" w:pos="3946" w:leader="none"/>
              </w:tabs>
              <w:spacing w:lineRule="auto" w:line="256" w:before="0" w:after="0"/>
              <w:ind w:left="-106" w:right="0" w:hanging="0"/>
              <w:contextualSpacing/>
              <w:jc w:val="left"/>
              <w:rPr>
                <w:rFonts w:eastAsia="MS Mincho"/>
                <w:b w:val="false"/>
                <w:b w:val="false"/>
                <w:bCs/>
                <w:i w:val="false"/>
                <w:i w:val="false"/>
                <w:iCs/>
                <w:color w:val="000000"/>
                <w:sz w:val="23"/>
                <w:szCs w:val="23"/>
              </w:rPr>
            </w:pPr>
            <w:r>
              <w:rPr>
                <w:rFonts w:eastAsia="MS Mincho"/>
                <w:b w:val="false"/>
                <w:bCs/>
                <w:i w:val="false"/>
                <w:iCs/>
                <w:color w:val="000000"/>
                <w:sz w:val="23"/>
                <w:szCs w:val="23"/>
              </w:rPr>
              <w:t>You must hold a current registration with SW England.</w:t>
            </w:r>
          </w:p>
        </w:tc>
        <w:tc>
          <w:tcPr>
            <w:tcW w:w="3697" w:type="dxa"/>
            <w:tcBorders>
              <w:top w:val="single" w:sz="4" w:space="0" w:color="000000"/>
              <w:left w:val="single" w:sz="4" w:space="0" w:color="000000"/>
              <w:bottom w:val="single" w:sz="4" w:space="0" w:color="000000"/>
              <w:right w:val="single" w:sz="4" w:space="0" w:color="000000"/>
            </w:tcBorders>
            <w:shd w:fill="auto" w:val="clear"/>
          </w:tcPr>
          <w:p>
            <w:pPr>
              <w:pStyle w:val="ListParagraph"/>
              <w:tabs>
                <w:tab w:val="clear" w:pos="720"/>
                <w:tab w:val="left" w:pos="3946" w:leader="none"/>
              </w:tabs>
              <w:snapToGrid w:val="false"/>
              <w:spacing w:lineRule="auto" w:line="256" w:before="0" w:after="0"/>
              <w:ind w:left="360" w:right="0" w:hanging="0"/>
              <w:contextualSpacing/>
              <w:jc w:val="left"/>
              <w:rPr>
                <w:b w:val="false"/>
                <w:b w:val="false"/>
                <w:bCs/>
                <w:i w:val="false"/>
                <w:i w:val="false"/>
                <w:iCs/>
                <w:color w:val="000000"/>
                <w:szCs w:val="24"/>
              </w:rPr>
            </w:pPr>
            <w:r>
              <w:rPr>
                <w:b w:val="false"/>
                <w:bCs/>
                <w:i w:val="false"/>
                <w:iCs/>
                <w:color w:val="000000"/>
                <w:szCs w:val="24"/>
              </w:rPr>
            </w:r>
          </w:p>
        </w:tc>
      </w:tr>
      <w:tr>
        <w:trPr/>
        <w:tc>
          <w:tcPr>
            <w:tcW w:w="1838"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Knowledge, Training &amp; Experience</w:t>
            </w:r>
          </w:p>
        </w:tc>
        <w:tc>
          <w:tcPr>
            <w:tcW w:w="382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MS Mincho"/>
                <w:b w:val="false"/>
                <w:b w:val="false"/>
                <w:bCs/>
                <w:i w:val="false"/>
                <w:i w:val="false"/>
                <w:iCs/>
                <w:color w:val="000000"/>
                <w:sz w:val="23"/>
                <w:szCs w:val="23"/>
              </w:rPr>
            </w:pPr>
            <w:r>
              <w:rPr>
                <w:rFonts w:eastAsia="MS Mincho"/>
                <w:b w:val="false"/>
                <w:bCs/>
                <w:i w:val="false"/>
                <w:iCs/>
                <w:color w:val="000000"/>
                <w:sz w:val="23"/>
                <w:szCs w:val="23"/>
              </w:rPr>
              <w:t xml:space="preserve">You must clearly evidence an understanding of the principles and values underlying the Care Act 2014, Mental Capacity Act 2005 and other relevant legislation. </w:t>
            </w:r>
          </w:p>
          <w:p>
            <w:pPr>
              <w:pStyle w:val="Normal"/>
              <w:spacing w:lineRule="auto" w:line="240" w:before="0" w:after="0"/>
              <w:ind w:left="254" w:right="62" w:hanging="0"/>
              <w:rPr>
                <w:rFonts w:eastAsia="MS Mincho"/>
                <w:b w:val="false"/>
                <w:b w:val="false"/>
                <w:bCs/>
                <w:i w:val="false"/>
                <w:i w:val="false"/>
                <w:iCs/>
                <w:color w:val="000000"/>
                <w:sz w:val="23"/>
                <w:szCs w:val="23"/>
              </w:rPr>
            </w:pPr>
            <w:r>
              <w:rPr>
                <w:rFonts w:eastAsia="MS Mincho"/>
                <w:b w:val="false"/>
                <w:bCs/>
                <w:i w:val="false"/>
                <w:iCs/>
                <w:color w:val="000000"/>
                <w:sz w:val="23"/>
                <w:szCs w:val="23"/>
              </w:rPr>
            </w:r>
          </w:p>
          <w:p>
            <w:pPr>
              <w:pStyle w:val="Default"/>
              <w:spacing w:lineRule="auto" w:line="240" w:before="0" w:after="0"/>
              <w:jc w:val="both"/>
              <w:rPr>
                <w:sz w:val="23"/>
                <w:szCs w:val="23"/>
              </w:rPr>
            </w:pPr>
            <w:r>
              <w:rPr>
                <w:sz w:val="23"/>
                <w:szCs w:val="23"/>
              </w:rPr>
              <w:t xml:space="preserve">You must clearly evidence an understanding of the integration agenda and the promotion of independence (enablement) model of health and social care. </w:t>
            </w:r>
          </w:p>
          <w:p>
            <w:pPr>
              <w:pStyle w:val="Normal"/>
              <w:spacing w:lineRule="auto" w:line="240" w:before="0" w:after="0"/>
              <w:rPr>
                <w:b w:val="false"/>
                <w:b w:val="false"/>
                <w:bCs/>
                <w:i w:val="false"/>
                <w:i w:val="false"/>
                <w:iCs/>
                <w:color w:val="auto"/>
                <w:sz w:val="23"/>
                <w:szCs w:val="23"/>
              </w:rPr>
            </w:pPr>
            <w:r>
              <w:rPr>
                <w:b w:val="false"/>
                <w:bCs/>
                <w:i w:val="false"/>
                <w:iCs/>
                <w:color w:val="auto"/>
                <w:sz w:val="23"/>
                <w:szCs w:val="23"/>
              </w:rPr>
            </w:r>
          </w:p>
          <w:p>
            <w:pPr>
              <w:pStyle w:val="Normal"/>
              <w:spacing w:lineRule="auto" w:line="240" w:before="0" w:after="0"/>
              <w:rPr>
                <w:b w:val="false"/>
                <w:b w:val="false"/>
                <w:bCs/>
                <w:i w:val="false"/>
                <w:i w:val="false"/>
                <w:iCs/>
                <w:color w:val="auto"/>
                <w:sz w:val="23"/>
                <w:szCs w:val="23"/>
              </w:rPr>
            </w:pPr>
            <w:r>
              <w:rPr>
                <w:b w:val="false"/>
                <w:bCs/>
                <w:i w:val="false"/>
                <w:iCs/>
                <w:color w:val="auto"/>
                <w:sz w:val="23"/>
                <w:szCs w:val="23"/>
              </w:rPr>
              <w:t>You must clearly evidence an understanding of the integration agenda and the promotion of independence (enablement) model of health and social care.</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Demonstrate a thorough understanding of personalisation and a person-centred approach.</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You must clearly evidence that you can maintain accurate records and to communicate complex information clearly and concisely both verbally and in written form.</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You must clearly evidence that you have a clear understanding of the social work role in a multi-disciplinary setting</w:t>
            </w:r>
          </w:p>
          <w:p>
            <w:pPr>
              <w:pStyle w:val="Normal"/>
              <w:spacing w:lineRule="auto" w:line="240" w:before="0" w:after="0"/>
              <w:rPr>
                <w:b w:val="false"/>
                <w:b w:val="false"/>
                <w:bCs/>
                <w:i w:val="false"/>
                <w:i w:val="false"/>
                <w:iCs/>
                <w:color w:val="auto"/>
                <w:sz w:val="23"/>
                <w:szCs w:val="23"/>
              </w:rPr>
            </w:pPr>
            <w:r>
              <w:rPr>
                <w:b w:val="false"/>
                <w:bCs/>
                <w:i w:val="false"/>
                <w:iCs/>
                <w:color w:val="auto"/>
                <w:sz w:val="23"/>
                <w:szCs w:val="23"/>
              </w:rPr>
            </w:r>
          </w:p>
          <w:p>
            <w:pPr>
              <w:pStyle w:val="Normal"/>
              <w:spacing w:lineRule="auto" w:line="240" w:before="0" w:after="0"/>
              <w:rPr>
                <w:b w:val="false"/>
                <w:b w:val="false"/>
                <w:bCs/>
                <w:i w:val="false"/>
                <w:i w:val="false"/>
                <w:iCs/>
                <w:color w:val="auto"/>
                <w:sz w:val="23"/>
                <w:szCs w:val="23"/>
              </w:rPr>
            </w:pPr>
            <w:r>
              <w:rPr>
                <w:b w:val="false"/>
                <w:bCs/>
                <w:i w:val="false"/>
                <w:iCs/>
                <w:color w:val="auto"/>
                <w:sz w:val="23"/>
                <w:szCs w:val="23"/>
              </w:rPr>
            </w:r>
          </w:p>
          <w:p>
            <w:pPr>
              <w:pStyle w:val="Normal"/>
              <w:spacing w:lineRule="auto" w:line="240" w:before="0" w:after="0"/>
              <w:rPr>
                <w:b w:val="false"/>
                <w:b w:val="false"/>
                <w:bCs/>
                <w:i w:val="false"/>
                <w:i w:val="false"/>
                <w:iCs/>
                <w:color w:val="auto"/>
                <w:sz w:val="23"/>
                <w:szCs w:val="23"/>
              </w:rPr>
            </w:pPr>
            <w:r>
              <w:rPr>
                <w:b w:val="false"/>
                <w:bCs/>
                <w:i w:val="false"/>
                <w:iCs/>
                <w:color w:val="auto"/>
                <w:sz w:val="23"/>
                <w:szCs w:val="23"/>
              </w:rPr>
              <w:t>Experience of working with adults/older people</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 xml:space="preserve">Have a good standard of computer skills. </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 xml:space="preserve">You have additional qualifications; Best Interest Assessors; AMHP; Practice Educator; Post Qualifying courses or other professional development qualifications </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 xml:space="preserve">You can evidence an innovative approach to the development of new methods of working to support people in the community </w:t>
            </w:r>
          </w:p>
          <w:p>
            <w:pPr>
              <w:pStyle w:val="ListParagraph"/>
              <w:spacing w:lineRule="auto" w:line="240" w:before="0" w:after="0"/>
              <w:ind w:left="1080" w:right="62" w:hanging="0"/>
              <w:contextualSpacing/>
              <w:rPr>
                <w:b w:val="false"/>
                <w:b w:val="false"/>
                <w:bCs/>
                <w:i w:val="false"/>
                <w:i w:val="false"/>
                <w:iCs/>
                <w:color w:val="auto"/>
                <w:szCs w:val="24"/>
              </w:rPr>
            </w:pPr>
            <w:r>
              <w:rPr>
                <w:b w:val="false"/>
                <w:bCs/>
                <w:i w:val="false"/>
                <w:iCs/>
                <w:color w:val="auto"/>
                <w:szCs w:val="24"/>
              </w:rPr>
            </w:r>
          </w:p>
          <w:p>
            <w:pPr>
              <w:pStyle w:val="Normal"/>
              <w:spacing w:lineRule="auto" w:line="240" w:before="0" w:after="0"/>
              <w:ind w:left="0" w:right="62" w:hanging="0"/>
              <w:rPr>
                <w:b w:val="false"/>
                <w:b w:val="false"/>
                <w:bCs/>
                <w:i w:val="false"/>
                <w:i w:val="false"/>
                <w:iCs/>
                <w:color w:val="auto"/>
                <w:sz w:val="23"/>
                <w:szCs w:val="23"/>
              </w:rPr>
            </w:pPr>
            <w:r>
              <w:rPr>
                <w:b w:val="false"/>
                <w:bCs/>
                <w:i w:val="false"/>
                <w:iCs/>
                <w:color w:val="auto"/>
                <w:sz w:val="23"/>
                <w:szCs w:val="23"/>
              </w:rPr>
              <w:t>You can show knowledge of relevant Welfare Rights Legislation</w:t>
            </w:r>
          </w:p>
          <w:p>
            <w:pPr>
              <w:pStyle w:val="ListParagraph"/>
              <w:spacing w:lineRule="auto" w:line="240" w:before="0" w:after="0"/>
              <w:ind w:left="720" w:right="62" w:hanging="0"/>
              <w:contextualSpacing/>
              <w:rPr>
                <w:color w:val="92D050"/>
                <w:szCs w:val="24"/>
              </w:rPr>
            </w:pPr>
            <w:r>
              <w:rPr>
                <w:color w:val="92D050"/>
                <w:szCs w:val="24"/>
              </w:rPr>
            </w:r>
          </w:p>
          <w:p>
            <w:pPr>
              <w:pStyle w:val="Normal"/>
              <w:spacing w:lineRule="auto" w:line="240" w:before="0" w:after="0"/>
              <w:ind w:left="360" w:right="62" w:hanging="0"/>
              <w:rPr>
                <w:rFonts w:eastAsia="MS Mincho"/>
                <w:b w:val="false"/>
                <w:b w:val="false"/>
                <w:bCs/>
                <w:i w:val="false"/>
                <w:i w:val="false"/>
                <w:iCs/>
                <w:color w:val="000000"/>
                <w:sz w:val="23"/>
                <w:szCs w:val="23"/>
              </w:rPr>
            </w:pPr>
            <w:r>
              <w:rPr>
                <w:rFonts w:eastAsia="MS Mincho"/>
                <w:b w:val="false"/>
                <w:bCs/>
                <w:i w:val="false"/>
                <w:iCs/>
                <w:color w:val="000000"/>
                <w:sz w:val="23"/>
                <w:szCs w:val="23"/>
              </w:rPr>
            </w:r>
          </w:p>
          <w:p>
            <w:pPr>
              <w:pStyle w:val="ListParagraph"/>
              <w:tabs>
                <w:tab w:val="clear" w:pos="720"/>
                <w:tab w:val="left" w:pos="3946" w:leader="none"/>
              </w:tabs>
              <w:spacing w:lineRule="auto" w:line="256" w:before="0" w:after="0"/>
              <w:ind w:left="-248" w:right="0" w:hanging="0"/>
              <w:contextualSpacing/>
              <w:jc w:val="left"/>
              <w:rPr>
                <w:rFonts w:eastAsia="MS Mincho"/>
                <w:b w:val="false"/>
                <w:b w:val="false"/>
                <w:bCs/>
                <w:i w:val="false"/>
                <w:i w:val="false"/>
                <w:iCs/>
                <w:color w:val="000000"/>
                <w:sz w:val="23"/>
                <w:szCs w:val="24"/>
              </w:rPr>
            </w:pPr>
            <w:r>
              <w:rPr>
                <w:rFonts w:eastAsia="MS Mincho"/>
                <w:b w:val="false"/>
                <w:bCs/>
                <w:i w:val="false"/>
                <w:iCs/>
                <w:color w:val="000000"/>
                <w:sz w:val="23"/>
                <w:szCs w:val="24"/>
              </w:rPr>
            </w:r>
          </w:p>
        </w:tc>
        <w:tc>
          <w:tcPr>
            <w:tcW w:w="3697" w:type="dxa"/>
            <w:tcBorders>
              <w:top w:val="single" w:sz="4" w:space="0" w:color="000000"/>
              <w:left w:val="single" w:sz="4" w:space="0" w:color="000000"/>
              <w:bottom w:val="single" w:sz="4" w:space="0" w:color="000000"/>
              <w:right w:val="single" w:sz="4" w:space="0" w:color="000000"/>
            </w:tcBorders>
            <w:shd w:fill="auto" w:val="clear"/>
          </w:tcPr>
          <w:p>
            <w:pPr>
              <w:pStyle w:val="ListParagraph"/>
              <w:tabs>
                <w:tab w:val="clear" w:pos="720"/>
                <w:tab w:val="left" w:pos="3946" w:leader="none"/>
              </w:tabs>
              <w:spacing w:lineRule="auto" w:line="256" w:before="0" w:after="0"/>
              <w:ind w:left="360" w:right="0" w:hanging="0"/>
              <w:contextualSpacing/>
              <w:jc w:val="left"/>
              <w:rPr>
                <w:b w:val="false"/>
                <w:b w:val="false"/>
                <w:bCs/>
                <w:i w:val="false"/>
                <w:i w:val="false"/>
                <w:iCs/>
                <w:color w:val="000000"/>
                <w:szCs w:val="24"/>
              </w:rPr>
            </w:pPr>
            <w:r>
              <w:rPr>
                <w:b w:val="false"/>
                <w:bCs/>
                <w:i w:val="false"/>
                <w:iCs/>
                <w:color w:val="000000"/>
                <w:szCs w:val="24"/>
              </w:rPr>
              <w:t xml:space="preserve"> </w:t>
            </w:r>
          </w:p>
        </w:tc>
      </w:tr>
      <w:tr>
        <w:trPr/>
        <w:tc>
          <w:tcPr>
            <w:tcW w:w="1838"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Skills &amp; Abilities</w:t>
            </w:r>
          </w:p>
        </w:tc>
        <w:tc>
          <w:tcPr>
            <w:tcW w:w="382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MS Mincho"/>
                <w:b w:val="false"/>
                <w:b w:val="false"/>
                <w:bCs/>
                <w:i w:val="false"/>
                <w:i w:val="false"/>
                <w:iCs/>
                <w:color w:val="000000"/>
                <w:sz w:val="23"/>
                <w:szCs w:val="23"/>
              </w:rPr>
            </w:pPr>
            <w:r>
              <w:rPr>
                <w:rFonts w:eastAsia="MS Mincho"/>
                <w:b w:val="false"/>
                <w:bCs/>
                <w:i w:val="false"/>
                <w:iCs/>
                <w:color w:val="000000"/>
                <w:sz w:val="23"/>
                <w:szCs w:val="23"/>
              </w:rPr>
              <w:t xml:space="preserve">You must clearly evidence your ability to develop effective working relationships with service users and their carers’ and show evidence of good assessment practice </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Demonstrate the ability to develop effective working relationships with other professionals and colleagues</w:t>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r>
          </w:p>
          <w:p>
            <w:pPr>
              <w:pStyle w:val="Normal"/>
              <w:spacing w:lineRule="auto" w:line="240" w:before="0" w:after="0"/>
              <w:rPr>
                <w:rFonts w:eastAsia="MS Mincho"/>
                <w:b w:val="false"/>
                <w:b w:val="false"/>
                <w:bCs/>
                <w:i w:val="false"/>
                <w:i w:val="false"/>
                <w:iCs/>
                <w:color w:val="auto"/>
                <w:sz w:val="23"/>
                <w:szCs w:val="23"/>
              </w:rPr>
            </w:pPr>
            <w:r>
              <w:rPr>
                <w:rFonts w:eastAsia="MS Mincho"/>
                <w:b w:val="false"/>
                <w:bCs/>
                <w:i w:val="false"/>
                <w:iCs/>
                <w:color w:val="auto"/>
                <w:sz w:val="23"/>
                <w:szCs w:val="23"/>
              </w:rPr>
              <w:t>Possess skills of negotiation, mediation and de-escalation - seeking constructive approaches to problem solving</w:t>
            </w:r>
          </w:p>
          <w:p>
            <w:pPr>
              <w:pStyle w:val="ListParagraph"/>
              <w:spacing w:lineRule="auto" w:line="240" w:before="0" w:after="0"/>
              <w:ind w:left="319" w:right="62" w:hanging="0"/>
              <w:contextualSpacing/>
              <w:rPr>
                <w:rFonts w:eastAsia="MS Mincho"/>
                <w:b w:val="false"/>
                <w:b w:val="false"/>
                <w:bCs/>
                <w:i w:val="false"/>
                <w:i w:val="false"/>
                <w:iCs/>
                <w:color w:val="000000"/>
                <w:sz w:val="23"/>
                <w:szCs w:val="23"/>
              </w:rPr>
            </w:pPr>
            <w:r>
              <w:rPr>
                <w:rFonts w:eastAsia="MS Mincho"/>
                <w:b w:val="false"/>
                <w:bCs/>
                <w:i w:val="false"/>
                <w:iCs/>
                <w:color w:val="000000"/>
                <w:sz w:val="23"/>
                <w:szCs w:val="23"/>
              </w:rPr>
            </w:r>
          </w:p>
        </w:tc>
        <w:tc>
          <w:tcPr>
            <w:tcW w:w="3697" w:type="dxa"/>
            <w:tcBorders>
              <w:top w:val="single" w:sz="4" w:space="0" w:color="000000"/>
              <w:left w:val="single" w:sz="4" w:space="0" w:color="000000"/>
              <w:bottom w:val="single" w:sz="4" w:space="0" w:color="000000"/>
              <w:right w:val="single" w:sz="4" w:space="0" w:color="000000"/>
            </w:tcBorders>
            <w:shd w:fill="auto" w:val="clear"/>
          </w:tcPr>
          <w:p>
            <w:pPr>
              <w:pStyle w:val="ListParagraph"/>
              <w:tabs>
                <w:tab w:val="clear" w:pos="720"/>
                <w:tab w:val="left" w:pos="3946" w:leader="none"/>
              </w:tabs>
              <w:snapToGrid w:val="false"/>
              <w:spacing w:lineRule="auto" w:line="256" w:before="0" w:after="0"/>
              <w:ind w:left="360" w:right="0" w:hanging="0"/>
              <w:contextualSpacing/>
              <w:jc w:val="left"/>
              <w:rPr>
                <w:rFonts w:eastAsia="MS Mincho"/>
                <w:b w:val="false"/>
                <w:b w:val="false"/>
                <w:bCs/>
                <w:i w:val="false"/>
                <w:i w:val="false"/>
                <w:iCs/>
                <w:color w:val="000000"/>
                <w:sz w:val="23"/>
                <w:szCs w:val="24"/>
              </w:rPr>
            </w:pPr>
            <w:r>
              <w:rPr>
                <w:rFonts w:eastAsia="MS Mincho"/>
                <w:b w:val="false"/>
                <w:bCs/>
                <w:i w:val="false"/>
                <w:iCs/>
                <w:color w:val="000000"/>
                <w:sz w:val="23"/>
                <w:szCs w:val="24"/>
              </w:rPr>
            </w:r>
          </w:p>
          <w:p>
            <w:pPr>
              <w:pStyle w:val="ListParagraph"/>
              <w:tabs>
                <w:tab w:val="clear" w:pos="720"/>
                <w:tab w:val="left" w:pos="3946" w:leader="none"/>
              </w:tabs>
              <w:spacing w:lineRule="auto" w:line="256" w:before="0" w:after="0"/>
              <w:ind w:left="360" w:right="0" w:hanging="0"/>
              <w:contextualSpacing/>
              <w:jc w:val="left"/>
              <w:rPr>
                <w:b w:val="false"/>
                <w:b w:val="false"/>
                <w:bCs/>
                <w:i w:val="false"/>
                <w:i w:val="false"/>
                <w:iCs/>
                <w:color w:val="000000"/>
                <w:szCs w:val="24"/>
              </w:rPr>
            </w:pPr>
            <w:r>
              <w:rPr>
                <w:b w:val="false"/>
                <w:bCs/>
                <w:i w:val="false"/>
                <w:iCs/>
                <w:color w:val="000000"/>
                <w:szCs w:val="24"/>
              </w:rPr>
            </w:r>
          </w:p>
          <w:p>
            <w:pPr>
              <w:pStyle w:val="ListParagraph"/>
              <w:tabs>
                <w:tab w:val="clear" w:pos="720"/>
                <w:tab w:val="left" w:pos="3946" w:leader="none"/>
              </w:tabs>
              <w:spacing w:lineRule="auto" w:line="256" w:before="0" w:after="0"/>
              <w:ind w:left="360" w:right="0" w:hanging="0"/>
              <w:contextualSpacing/>
              <w:jc w:val="left"/>
              <w:rPr>
                <w:b w:val="false"/>
                <w:b w:val="false"/>
                <w:bCs/>
                <w:i w:val="false"/>
                <w:i w:val="false"/>
                <w:iCs/>
                <w:color w:val="000000"/>
                <w:szCs w:val="24"/>
              </w:rPr>
            </w:pPr>
            <w:r>
              <w:rPr>
                <w:b w:val="false"/>
                <w:bCs/>
                <w:i w:val="false"/>
                <w:iCs/>
                <w:color w:val="000000"/>
                <w:szCs w:val="24"/>
              </w:rPr>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bl>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Living our Values</w:t>
      </w:r>
    </w:p>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r>
    </w:p>
    <w:p>
      <w:pPr>
        <w:pStyle w:val="Normal"/>
        <w:jc w:val="left"/>
        <w:rPr>
          <w:b w:val="false"/>
          <w:b w:val="false"/>
          <w:bCs/>
          <w:i w:val="false"/>
          <w:i w:val="false"/>
          <w:iCs/>
          <w:color w:val="000000"/>
          <w:szCs w:val="24"/>
        </w:rPr>
      </w:pPr>
      <w:r>
        <w:rPr>
          <w:b w:val="false"/>
          <w:bCs/>
          <w:i w:val="false"/>
          <w:iCs/>
          <w:color w:val="000000"/>
          <w:szCs w:val="24"/>
        </w:rPr>
        <w:t>All colleagues are expected to demonstrate the NCA values and underpinning behaviours as you carry out your role.</w:t>
      </w:r>
    </w:p>
    <w:p>
      <w:pPr>
        <w:pStyle w:val="Normal"/>
        <w:rPr>
          <w:b w:val="false"/>
          <w:b w:val="false"/>
          <w:bCs/>
          <w:i w:val="false"/>
          <w:i w:val="false"/>
          <w:iCs/>
          <w:color w:val="000000"/>
          <w:szCs w:val="24"/>
        </w:rPr>
      </w:pPr>
      <w:r>
        <w:rPr>
          <w:b w:val="false"/>
          <w:bCs/>
          <w:i w:val="false"/>
          <w:iCs/>
          <w:color w:val="000000"/>
          <w:szCs w:val="24"/>
        </w:rPr>
      </w:r>
    </w:p>
    <w:tbl>
      <w:tblPr>
        <w:tblW w:w="9360" w:type="dxa"/>
        <w:jc w:val="left"/>
        <w:tblInd w:w="0" w:type="dxa"/>
        <w:tblCellMar>
          <w:top w:w="0" w:type="dxa"/>
          <w:left w:w="108" w:type="dxa"/>
          <w:bottom w:w="0" w:type="dxa"/>
          <w:right w:w="108" w:type="dxa"/>
        </w:tblCellMar>
      </w:tblPr>
      <w:tblGrid>
        <w:gridCol w:w="2689"/>
        <w:gridCol w:w="6671"/>
      </w:tblGrid>
      <w:tr>
        <w:trPr/>
        <w:tc>
          <w:tcPr>
            <w:tcW w:w="2689" w:type="dxa"/>
            <w:tcBorders>
              <w:top w:val="single" w:sz="4" w:space="0" w:color="000000"/>
              <w:left w:val="single" w:sz="4" w:space="0" w:color="000000"/>
              <w:bottom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Values</w:t>
            </w:r>
          </w:p>
        </w:tc>
        <w:tc>
          <w:tcPr>
            <w:tcW w:w="6671" w:type="dxa"/>
            <w:tcBorders>
              <w:top w:val="single" w:sz="4" w:space="0" w:color="000000"/>
              <w:left w:val="single" w:sz="4" w:space="0" w:color="000000"/>
              <w:bottom w:val="single" w:sz="4" w:space="0" w:color="000000"/>
              <w:right w:val="single" w:sz="4" w:space="0" w:color="000000"/>
            </w:tcBorders>
            <w:shd w:fill="ECECEC"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 xml:space="preserve">Behaviours (I will…) </w:t>
            </w:r>
          </w:p>
        </w:tc>
      </w:tr>
      <w:tr>
        <w:trPr/>
        <w:tc>
          <w:tcPr>
            <w:tcW w:w="2689"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t>CARE</w:t>
            </w:r>
          </w:p>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We listen and treat each other with kindness.</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Provide the highest standard of care with compassion and kindness.</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 xml:space="preserve">Communicate clearly, actively listen and be person centred. </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Seek to understand and empathise.</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Collaborate to deliver services that are safe and give confidence in our care.</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APPRECIATE</w:t>
            </w:r>
          </w:p>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We value and respect each other’s contribution.</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Recognise and openly acknowledge how we all make a difference.</w:t>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i w:val="false"/>
                <w:i w:val="false"/>
                <w:iCs/>
                <w:color w:val="000000"/>
                <w:szCs w:val="24"/>
              </w:rPr>
            </w:pPr>
            <w:r>
              <w:rPr>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Value and respect others and share in celebrating our successes.</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Treat people fairly, notice, champion and positively appreciate diversity.</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Provide constructive feedback to support growth and development.</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t>INSPIRE</w:t>
            </w:r>
          </w:p>
          <w:p>
            <w:pPr>
              <w:pStyle w:val="Normal"/>
              <w:tabs>
                <w:tab w:val="clear" w:pos="720"/>
                <w:tab w:val="left" w:pos="3946" w:leader="none"/>
              </w:tabs>
              <w:spacing w:lineRule="auto" w:line="256" w:before="0" w:after="0"/>
              <w:ind w:left="0" w:right="0" w:hanging="0"/>
              <w:jc w:val="left"/>
              <w:rPr>
                <w:i w:val="false"/>
                <w:i w:val="false"/>
                <w:iCs/>
                <w:color w:val="000000"/>
                <w:szCs w:val="24"/>
              </w:rPr>
            </w:pPr>
            <w:r>
              <w:rPr>
                <w:i w:val="false"/>
                <w:iCs/>
                <w:color w:val="000000"/>
                <w:szCs w:val="24"/>
              </w:rPr>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We speak up and find ways to be even better.</w:t>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 xml:space="preserve">Have a voice and act with integrity and honesty. </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Make time to learn, share and find new ways of working.</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Be positive, be open to change and empower others.</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r>
        <w:trPr/>
        <w:tc>
          <w:tcPr>
            <w:tcW w:w="2689"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3946" w:leader="none"/>
              </w:tabs>
              <w:snapToGrid w:val="false"/>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t>Work with my team and other teams to agree and deliver best outcomes.</w:t>
            </w:r>
          </w:p>
          <w:p>
            <w:pPr>
              <w:pStyle w:val="Normal"/>
              <w:tabs>
                <w:tab w:val="clear" w:pos="720"/>
                <w:tab w:val="left" w:pos="3946" w:leader="none"/>
              </w:tabs>
              <w:spacing w:lineRule="auto" w:line="256" w:before="0" w:after="0"/>
              <w:ind w:left="0" w:right="0" w:hanging="0"/>
              <w:jc w:val="left"/>
              <w:rPr>
                <w:b w:val="false"/>
                <w:b w:val="false"/>
                <w:bCs/>
                <w:i w:val="false"/>
                <w:i w:val="false"/>
                <w:iCs/>
                <w:color w:val="000000"/>
                <w:szCs w:val="24"/>
              </w:rPr>
            </w:pPr>
            <w:r>
              <w:rPr>
                <w:b w:val="false"/>
                <w:bCs/>
                <w:i w:val="false"/>
                <w:iCs/>
                <w:color w:val="000000"/>
                <w:szCs w:val="24"/>
              </w:rPr>
            </w:r>
          </w:p>
        </w:tc>
      </w:tr>
    </w:tbl>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szCs w:val="24"/>
        </w:rPr>
      </w:pPr>
      <w:r>
        <w:rPr>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t>Appendix</w:t>
      </w:r>
    </w:p>
    <w:p>
      <w:pPr>
        <w:pStyle w:val="Normal"/>
        <w:tabs>
          <w:tab w:val="clear" w:pos="720"/>
          <w:tab w:val="left" w:pos="3946" w:leader="none"/>
        </w:tabs>
        <w:spacing w:lineRule="auto" w:line="256" w:before="0" w:after="0"/>
        <w:ind w:left="0" w:right="0" w:hanging="0"/>
        <w:jc w:val="left"/>
        <w:rPr/>
      </w:pPr>
      <w:r>
        <w:rPr>
          <w:i w:val="false"/>
          <w:iCs/>
          <w:color w:val="auto"/>
          <w:szCs w:val="24"/>
        </w:rPr>
        <w:br/>
      </w:r>
      <w:r>
        <w:rPr>
          <w:b w:val="false"/>
          <w:bCs/>
          <w:i w:val="false"/>
          <w:iCs/>
          <w:color w:val="auto"/>
          <w:szCs w:val="24"/>
        </w:rPr>
        <w:t>The below details all the standard Trust requirements which must be incorporated within the role.</w:t>
      </w:r>
    </w:p>
    <w:p>
      <w:pPr>
        <w:pStyle w:val="Normal"/>
        <w:tabs>
          <w:tab w:val="clear" w:pos="720"/>
          <w:tab w:val="left" w:pos="3946" w:leader="none"/>
        </w:tabs>
        <w:spacing w:lineRule="auto" w:line="256" w:before="0" w:after="0"/>
        <w:ind w:left="0" w:right="0" w:hanging="0"/>
        <w:jc w:val="left"/>
        <w:rPr>
          <w:i w:val="false"/>
          <w:i w:val="false"/>
          <w:iCs/>
          <w:color w:val="auto"/>
          <w:szCs w:val="24"/>
        </w:rPr>
      </w:pPr>
      <w:r>
        <w:rPr>
          <w:i w:val="false"/>
          <w:iCs/>
          <w:color w:val="auto"/>
          <w:szCs w:val="24"/>
        </w:rPr>
      </w:r>
    </w:p>
    <w:tbl>
      <w:tblPr>
        <w:tblW w:w="9508" w:type="dxa"/>
        <w:jc w:val="left"/>
        <w:tblInd w:w="-4" w:type="dxa"/>
        <w:tblCellMar>
          <w:top w:w="12" w:type="dxa"/>
          <w:left w:w="107" w:type="dxa"/>
          <w:bottom w:w="0" w:type="dxa"/>
          <w:right w:w="67" w:type="dxa"/>
        </w:tblCellMar>
      </w:tblPr>
      <w:tblGrid>
        <w:gridCol w:w="9508"/>
      </w:tblGrid>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Infection Prevention</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 xml:space="preserve">Employees will adhere to all Trust Infection Control policies and procedures which are relevant to the post and undertake any appropriate mandatory training. All colleagues will ensure that advice is sought from the infection control team as required and appropriate action is taken to minimise cross infection. </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Safeguarding </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The Trust is committed to safeguarding and promoting the welfare of children, young people and vulnerable adults and expects all employees and volunteers to share this commitment.  You will be expected to fulfil your mandatory safeguarding training at the level applicable to this role.</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p>
            <w:pPr>
              <w:pStyle w:val="Normal"/>
              <w:spacing w:lineRule="auto" w:line="256" w:before="0" w:after="0"/>
              <w:ind w:left="0" w:right="0" w:hanging="0"/>
              <w:jc w:val="left"/>
              <w:rPr>
                <w:rFonts w:eastAsia="Cambria"/>
                <w:bCs/>
                <w:iCs/>
                <w:color w:val="000000"/>
                <w:szCs w:val="24"/>
              </w:rPr>
            </w:pPr>
            <w:r>
              <w:rPr>
                <w:rFonts w:eastAsia="Cambria"/>
                <w:bCs/>
                <w:iCs/>
                <w:color w:val="000000"/>
                <w:szCs w:val="24"/>
              </w:rPr>
              <w:t>Mental Capacity Act (MCA)</w:t>
            </w:r>
          </w:p>
          <w:p>
            <w:pPr>
              <w:pStyle w:val="Normal"/>
              <w:spacing w:lineRule="auto" w:line="256" w:before="0" w:after="0"/>
              <w:ind w:left="0" w:right="0" w:hanging="0"/>
              <w:jc w:val="left"/>
              <w:rPr>
                <w:rFonts w:eastAsia="Cambria"/>
                <w:b w:val="false"/>
                <w:b w:val="false"/>
                <w:bCs/>
                <w:i w:val="false"/>
                <w:i w:val="false"/>
                <w:iCs/>
                <w:color w:val="000000"/>
                <w:szCs w:val="24"/>
              </w:rPr>
            </w:pPr>
            <w:r>
              <w:rPr>
                <w:rFonts w:eastAsia="Cambria"/>
                <w:b w:val="false"/>
                <w:bCs/>
                <w:i w:val="false"/>
                <w:iCs/>
                <w:color w:val="000000"/>
                <w:szCs w:val="24"/>
              </w:rPr>
            </w:r>
          </w:p>
          <w:p>
            <w:pPr>
              <w:pStyle w:val="Normal"/>
              <w:spacing w:lineRule="auto" w:line="256" w:before="0" w:after="0"/>
              <w:ind w:left="0" w:right="0" w:hanging="0"/>
              <w:jc w:val="left"/>
              <w:rPr>
                <w:rFonts w:eastAsia="Cambria"/>
                <w:b w:val="false"/>
                <w:b w:val="false"/>
                <w:bCs/>
                <w:i w:val="false"/>
                <w:i w:val="false"/>
                <w:iCs/>
                <w:color w:val="000000"/>
                <w:szCs w:val="24"/>
              </w:rPr>
            </w:pPr>
            <w:r>
              <w:rPr>
                <w:rFonts w:eastAsia="Cambria"/>
                <w:b w:val="false"/>
                <w:bCs/>
                <w:i w:val="false"/>
                <w:iCs/>
                <w:color w:val="000000"/>
                <w:szCs w:val="24"/>
              </w:rPr>
              <w:t>All colleagues should ensure they understand, and apply, the framework of the Mental Capacity Act to their areas of responsibility, ensuring the individuals rights in situations where someone needs additional support or safeguards to be put in place. You will be expected to fulfil the mandatory training applicable to your role.</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Health and Safety</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Employees must act in accordance with the Health &amp; Safety at Work Act 1974, and subsequent legislation, under which they must take reasonable care to avoid injury to themselves and to others who may be affected by their work activities. Employees are required to co-operate with the Trust in meeting statutory requirements. Employees must not intentionally or recklessly interfere with, or misuse anything that is provided in the interest of the health, safety and welfare of colleagues, patients, and the general public.</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Confidentiality and Data Protection</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 xml:space="preserve">Employees are required to uphold the confidentiality of all records held by the Trust, whether patient records or Trust information. Unauthorised disclosure of any confidential information, or that covered by the Data Protection Act may result in disciplinary action. </w:t>
            </w:r>
          </w:p>
          <w:p>
            <w:pPr>
              <w:pStyle w:val="Normal"/>
              <w:spacing w:lineRule="auto" w:line="256" w:before="0" w:after="0"/>
              <w:ind w:left="0" w:right="0" w:hanging="0"/>
              <w:jc w:val="left"/>
              <w:rPr>
                <w:i w:val="false"/>
                <w:i w:val="false"/>
                <w:color w:val="000000"/>
                <w:szCs w:val="24"/>
              </w:rPr>
            </w:pPr>
            <w:r>
              <w:rPr>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Equality and Diversity </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 xml:space="preserve">All colleagues are required to understand the equality and diversity commitments and statutory obligations under the Equality Act 2010. You must act in ways that support Equality, Diversity, and Inclusion (EDI) and recognise the importance of people’s rights in accordance with legislation, policies, frameworks, procedures, and good practice. </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Colleagues must recognise and report any behaviour that undermines equality under Trust policy and further EDI activity by:</w:t>
            </w:r>
          </w:p>
          <w:p>
            <w:pPr>
              <w:pStyle w:val="ListParagraph"/>
              <w:numPr>
                <w:ilvl w:val="0"/>
                <w:numId w:val="1"/>
              </w:numPr>
              <w:spacing w:lineRule="auto" w:line="256" w:before="0" w:after="0"/>
              <w:ind w:left="720" w:right="0" w:hanging="360"/>
              <w:contextualSpacing/>
              <w:jc w:val="left"/>
              <w:rPr>
                <w:b w:val="false"/>
                <w:b w:val="false"/>
                <w:bCs/>
                <w:i w:val="false"/>
                <w:i w:val="false"/>
                <w:color w:val="000000"/>
                <w:szCs w:val="24"/>
              </w:rPr>
            </w:pPr>
            <w:r>
              <w:rPr>
                <w:b w:val="false"/>
                <w:bCs/>
                <w:i w:val="false"/>
                <w:color w:val="000000"/>
                <w:szCs w:val="24"/>
              </w:rPr>
              <w:t>eliminating discrimination, harassment and victimisation</w:t>
            </w:r>
          </w:p>
          <w:p>
            <w:pPr>
              <w:pStyle w:val="ListParagraph"/>
              <w:numPr>
                <w:ilvl w:val="0"/>
                <w:numId w:val="1"/>
              </w:numPr>
              <w:spacing w:lineRule="auto" w:line="256" w:before="0" w:after="0"/>
              <w:ind w:left="720" w:right="0" w:hanging="360"/>
              <w:contextualSpacing/>
              <w:jc w:val="left"/>
              <w:rPr>
                <w:b w:val="false"/>
                <w:b w:val="false"/>
                <w:bCs/>
                <w:i w:val="false"/>
                <w:i w:val="false"/>
                <w:color w:val="000000"/>
                <w:szCs w:val="24"/>
              </w:rPr>
            </w:pPr>
            <w:r>
              <w:rPr>
                <w:b w:val="false"/>
                <w:bCs/>
                <w:i w:val="false"/>
                <w:color w:val="000000"/>
                <w:szCs w:val="24"/>
              </w:rPr>
              <w:t>advancing equality of opportunity between people who share a protected characteristic and those who don’t</w:t>
            </w:r>
          </w:p>
          <w:p>
            <w:pPr>
              <w:pStyle w:val="ListParagraph"/>
              <w:numPr>
                <w:ilvl w:val="0"/>
                <w:numId w:val="1"/>
              </w:numPr>
              <w:spacing w:lineRule="auto" w:line="256" w:before="0" w:after="0"/>
              <w:ind w:left="720" w:right="0" w:hanging="360"/>
              <w:contextualSpacing/>
              <w:jc w:val="left"/>
              <w:rPr>
                <w:b w:val="false"/>
                <w:b w:val="false"/>
                <w:bCs/>
                <w:i w:val="false"/>
                <w:i w:val="false"/>
                <w:color w:val="000000"/>
                <w:szCs w:val="24"/>
              </w:rPr>
            </w:pPr>
            <w:r>
              <w:rPr>
                <w:b w:val="false"/>
                <w:bCs/>
                <w:i w:val="false"/>
                <w:color w:val="000000"/>
                <w:szCs w:val="24"/>
              </w:rPr>
              <w:t>fostering good relations between people who share a relevant protected characteristic and those who don’t</w:t>
            </w:r>
          </w:p>
          <w:p>
            <w:pPr>
              <w:pStyle w:val="ListParagraph"/>
              <w:numPr>
                <w:ilvl w:val="0"/>
                <w:numId w:val="1"/>
              </w:numPr>
              <w:spacing w:lineRule="auto" w:line="256" w:before="0" w:after="0"/>
              <w:ind w:left="720" w:right="0" w:hanging="360"/>
              <w:contextualSpacing/>
              <w:jc w:val="left"/>
              <w:rPr>
                <w:b w:val="false"/>
                <w:b w:val="false"/>
                <w:bCs/>
                <w:i w:val="false"/>
                <w:i w:val="false"/>
                <w:color w:val="000000"/>
                <w:szCs w:val="24"/>
              </w:rPr>
            </w:pPr>
            <w:r>
              <w:rPr>
                <w:b w:val="false"/>
                <w:bCs/>
                <w:i w:val="false"/>
                <w:color w:val="000000"/>
                <w:szCs w:val="24"/>
              </w:rPr>
              <w:t>understanding the impact of policies, services and practice on people with different protected characteristics</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Code of Conduct</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 xml:space="preserve">Colleagues that have a national Code of Conduct are expected to adhere to that Code and failure to do so could result in disciplinary action being taken. Colleagues who do not have a regulatory body are expected to conduct themselves in a professional manner and in line with the Trust values and policies at all times. </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000000"/>
                <w:szCs w:val="24"/>
              </w:rPr>
            </w:pPr>
            <w:r>
              <w:rPr>
                <w:i w:val="false"/>
                <w:color w:val="000000"/>
                <w:szCs w:val="24"/>
              </w:rPr>
              <w:t xml:space="preserve">Leadership and Development </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We believe our colleagues play a vital role in delivering excellence, and that everyone has the ability to demonstrate leadership and make a difference. As a member of our team, we expect you to live the NCA values: Care, Appreciate and Inspire through your daily habits, to improve outcomes for patients, customers and service users across the system. In return we provide a range of development opportunities that help you to realise your potential and reach your professional best.</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As you join us, you are required to attend our Corporate Induction, complete the Trust’s mandatory training and participate in the NCA Accelerated Leader Development Programme if you are in a leadership or management role. Your annual My Time appraisal conversation helps to continually review your contribution and ongoing priorities through your Personal Development Plan, informed through a wide choice of development available to you.</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ECECEC" w:val="clear"/>
          </w:tcPr>
          <w:p>
            <w:pPr>
              <w:pStyle w:val="Normal"/>
              <w:spacing w:lineRule="auto" w:line="256" w:before="0" w:after="0"/>
              <w:ind w:left="0" w:right="0" w:hanging="0"/>
              <w:jc w:val="left"/>
              <w:rPr>
                <w:i w:val="false"/>
                <w:i w:val="false"/>
                <w:color w:val="auto"/>
                <w:szCs w:val="24"/>
              </w:rPr>
            </w:pPr>
            <w:r>
              <w:rPr>
                <w:i w:val="false"/>
                <w:color w:val="auto"/>
                <w:szCs w:val="24"/>
              </w:rPr>
              <w:t>Flexibility</w:t>
            </w:r>
          </w:p>
        </w:tc>
      </w:tr>
      <w:tr>
        <w:trPr>
          <w:trHeight w:val="463" w:hRule="atLeast"/>
        </w:trPr>
        <w:tc>
          <w:tcPr>
            <w:tcW w:w="950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t>This job description is not intended to be exhaustive, and it is likely that duties may be altered from time to time, in discussion with the post holder. This role profile is intended to provide a broad outline of the main responsibilities only. The post holder will need to be flexible in developing the role with initial and on-going discussions with the designated manager.</w:t>
            </w:r>
          </w:p>
          <w:p>
            <w:pPr>
              <w:pStyle w:val="Normal"/>
              <w:spacing w:lineRule="auto" w:line="256" w:before="0" w:after="0"/>
              <w:ind w:left="0" w:right="0" w:hanging="0"/>
              <w:jc w:val="left"/>
              <w:rPr>
                <w:b w:val="false"/>
                <w:b w:val="false"/>
                <w:bCs/>
                <w:i w:val="false"/>
                <w:i w:val="false"/>
                <w:color w:val="000000"/>
                <w:szCs w:val="24"/>
              </w:rPr>
            </w:pPr>
            <w:r>
              <w:rPr>
                <w:b w:val="false"/>
                <w:bCs/>
                <w:i w:val="false"/>
                <w:color w:val="000000"/>
                <w:szCs w:val="24"/>
              </w:rPr>
            </w:r>
          </w:p>
        </w:tc>
      </w:tr>
    </w:tbl>
    <w:p>
      <w:pPr>
        <w:pStyle w:val="Normal"/>
        <w:tabs>
          <w:tab w:val="clear" w:pos="720"/>
          <w:tab w:val="left" w:pos="3946" w:leader="none"/>
        </w:tabs>
        <w:spacing w:lineRule="auto" w:line="256" w:before="0" w:after="0"/>
        <w:ind w:left="0" w:right="0" w:hanging="0"/>
        <w:jc w:val="left"/>
        <w:rPr/>
      </w:pPr>
      <w:r>
        <w:rPr/>
      </w:r>
    </w:p>
    <w:sectPr>
      <w:headerReference w:type="default" r:id="rId3"/>
      <w:footerReference w:type="default" r:id="rId4"/>
      <w:type w:val="nextPage"/>
      <w:pgSz w:w="11906" w:h="16838"/>
      <w:pgMar w:left="1440" w:right="1396" w:header="720" w:top="1440" w:footer="706" w:bottom="177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 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i w:val="false"/>
        <w:i w:val="false"/>
        <w:iCs/>
        <w:color w:val="auto"/>
        <w:sz w:val="18"/>
        <w:szCs w:val="16"/>
      </w:rPr>
    </w:pPr>
    <w:r>
      <w:rPr>
        <w:i w:val="false"/>
        <w:iCs/>
        <w:color w:val="auto"/>
        <w:sz w:val="18"/>
        <w:szCs w:val="16"/>
      </w:rPr>
      <w:fldChar w:fldCharType="begin"/>
      <w:drawing>
        <wp:anchor behindDoc="0" distT="0" distB="0" distL="114300" distR="114300" simplePos="0" locked="0" layoutInCell="1" allowOverlap="1" relativeHeight="20">
          <wp:simplePos x="0" y="0"/>
          <wp:positionH relativeFrom="column">
            <wp:posOffset>-552450</wp:posOffset>
          </wp:positionH>
          <wp:positionV relativeFrom="paragraph">
            <wp:posOffset>-147320</wp:posOffset>
          </wp:positionV>
          <wp:extent cx="2656840" cy="486410"/>
          <wp:effectExtent l="0" t="0" r="0" b="0"/>
          <wp:wrapTight wrapText="bothSides">
            <wp:wrapPolygon edited="0">
              <wp:start x="-43" y="0"/>
              <wp:lineTo x="-43" y="21062"/>
              <wp:lineTo x="21515" y="21062"/>
              <wp:lineTo x="21515" y="0"/>
              <wp:lineTo x="-43" y="0"/>
            </wp:wrapPolygon>
          </wp:wrapTigh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15" t="-81" r="-15" b="-81"/>
                  <a:stretch>
                    <a:fillRect/>
                  </a:stretch>
                </pic:blipFill>
                <pic:spPr bwMode="auto">
                  <a:xfrm>
                    <a:off x="0" y="0"/>
                    <a:ext cx="2656840" cy="486410"/>
                  </a:xfrm>
                  <a:prstGeom prst="rect">
                    <a:avLst/>
                  </a:prstGeom>
                </pic:spPr>
              </pic:pic>
            </a:graphicData>
          </a:graphic>
        </wp:anchor>
      </w:drawing>
    </w:r>
    <w:r>
      <w:rPr>
        <w:sz w:val="18"/>
        <w:i w:val="false"/>
        <w:szCs w:val="16"/>
        <w:iCs/>
      </w:rPr>
      <w:instrText> PAGE </w:instrText>
    </w:r>
    <w:r>
      <w:rPr>
        <w:sz w:val="18"/>
        <w:i w:val="false"/>
        <w:szCs w:val="16"/>
        <w:iCs/>
      </w:rPr>
      <w:fldChar w:fldCharType="separate"/>
    </w:r>
    <w:r>
      <w:rPr>
        <w:sz w:val="18"/>
        <w:i w:val="false"/>
        <w:szCs w:val="16"/>
        <w:iCs/>
      </w:rPr>
      <w:t>9</w:t>
    </w:r>
    <w:r>
      <w:rPr>
        <w:sz w:val="18"/>
        <w:i w:val="false"/>
        <w:szCs w:val="16"/>
        <w:i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left" w:pos="3295" w:leader="none"/>
      </w:tabs>
      <w:rPr/>
    </w:pPr>
    <w:r>
      <w:rPr/>
      <w:drawing>
        <wp:anchor behindDoc="0" distT="0" distB="0" distL="114300" distR="114300" simplePos="0" locked="0" layoutInCell="1" allowOverlap="1" relativeHeight="11">
          <wp:simplePos x="0" y="0"/>
          <wp:positionH relativeFrom="column">
            <wp:posOffset>4292600</wp:posOffset>
          </wp:positionH>
          <wp:positionV relativeFrom="paragraph">
            <wp:posOffset>-247650</wp:posOffset>
          </wp:positionV>
          <wp:extent cx="1969135" cy="628015"/>
          <wp:effectExtent l="0" t="0" r="0" b="0"/>
          <wp:wrapTight wrapText="bothSides">
            <wp:wrapPolygon edited="0">
              <wp:start x="-17" y="0"/>
              <wp:lineTo x="-17" y="20926"/>
              <wp:lineTo x="21303" y="20926"/>
              <wp:lineTo x="21303" y="0"/>
              <wp:lineTo x="-17" y="0"/>
            </wp:wrapPolygon>
          </wp:wrapTigh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5" t="-15" r="-5" b="-15"/>
                  <a:stretch>
                    <a:fillRect/>
                  </a:stretch>
                </pic:blipFill>
                <pic:spPr bwMode="auto">
                  <a:xfrm>
                    <a:off x="0" y="0"/>
                    <a:ext cx="1969135" cy="628015"/>
                  </a:xfrm>
                  <a:prstGeom prst="rect">
                    <a:avLst/>
                  </a:prstGeom>
                </pic:spPr>
              </pic:pic>
            </a:graphicData>
          </a:graphic>
        </wp:anchor>
      </w:drawing>
    </w:r>
  </w:p>
  <w:p>
    <w:pPr>
      <w:pStyle w:val="Header"/>
      <w:tabs>
        <w:tab w:val="clear" w:pos="4513"/>
        <w:tab w:val="clear" w:pos="9026"/>
        <w:tab w:val="left" w:pos="3295"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7" w:before="0" w:after="5"/>
      <w:ind w:left="10" w:right="62" w:hanging="10"/>
      <w:jc w:val="both"/>
    </w:pPr>
    <w:rPr>
      <w:rFonts w:ascii="Arial" w:hAnsi="Arial" w:eastAsia="Arial" w:cs="Arial"/>
      <w:b/>
      <w:i/>
      <w:color w:val="808080"/>
      <w:kern w:val="0"/>
      <w:sz w:val="24"/>
      <w:szCs w:val="22"/>
      <w:lang w:val="en-GB" w:eastAsia="en-GB"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HeaderChar">
    <w:name w:val="Header Char"/>
    <w:basedOn w:val="DefaultParagraphFont"/>
    <w:qFormat/>
    <w:rPr>
      <w:rFonts w:ascii="Arial" w:hAnsi="Arial" w:eastAsia="Arial" w:cs="Arial"/>
      <w:b/>
      <w:i/>
      <w:color w:val="808080"/>
      <w:sz w:val="24"/>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Arial" w:hAnsi="Arial" w:eastAsia="Arial" w:cs="Arial"/>
      <w:b/>
      <w:i/>
      <w:color w:val="808080"/>
      <w:sz w:val="20"/>
      <w:szCs w:val="20"/>
    </w:rPr>
  </w:style>
  <w:style w:type="character" w:styleId="CommentSubjectChar">
    <w:name w:val="Comment Subject Char"/>
    <w:basedOn w:val="CommentTextChar"/>
    <w:qFormat/>
    <w:rPr>
      <w:rFonts w:ascii="Arial" w:hAnsi="Arial" w:eastAsia="Arial" w:cs="Arial"/>
      <w:b/>
      <w:bCs/>
      <w:i/>
      <w:color w:val="808080"/>
      <w:sz w:val="20"/>
      <w:szCs w:val="20"/>
    </w:rPr>
  </w:style>
  <w:style w:type="character" w:styleId="FooterChar">
    <w:name w:val="Footer Char"/>
    <w:basedOn w:val="DefaultParagraphFont"/>
    <w:qFormat/>
    <w:rPr>
      <w:rFonts w:ascii="Arial" w:hAnsi="Arial" w:eastAsia="Arial" w:cs="Arial"/>
      <w:b/>
      <w:i/>
      <w:color w:val="808080"/>
      <w:sz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ulletedText">
    <w:name w:val="Bulleted Text"/>
    <w:basedOn w:val="Normal"/>
    <w:qFormat/>
    <w:pPr>
      <w:spacing w:lineRule="auto" w:line="240" w:before="120" w:after="120"/>
      <w:ind w:left="10" w:right="0" w:hanging="10"/>
      <w:jc w:val="left"/>
    </w:pPr>
    <w:rPr>
      <w:rFonts w:ascii="M Arial" w:hAnsi="M Arial" w:eastAsia="MS Mincho" w:cs="Times New Roman"/>
      <w:b w:val="false"/>
      <w:i w:val="false"/>
      <w:color w:val="000000"/>
      <w:kern w:val="2"/>
      <w:sz w:val="20"/>
      <w:szCs w:val="20"/>
      <w:lang w:eastAsia="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5"/>
      <w:ind w:left="720" w:right="62" w:hanging="1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Cs/>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Default">
    <w:name w:val="Default"/>
    <w:qFormat/>
    <w:pPr>
      <w:widowControl/>
      <w:suppressAutoHyphens w:val="true"/>
      <w:bidi w:val="0"/>
      <w:spacing w:lineRule="auto" w:line="240" w:before="0" w:after="0"/>
      <w:jc w:val="left"/>
    </w:pPr>
    <w:rPr>
      <w:rFonts w:ascii="Arial" w:hAnsi="Arial" w:eastAsia="MS Mincho" w:cs="Arial"/>
      <w:color w:val="000000"/>
      <w:kern w:val="0"/>
      <w:sz w:val="24"/>
      <w:szCs w:val="24"/>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2026-07-13T10:30:00Z</dcterms:created>
  <dc:creator>Caroline Kenyon</dc:creator>
  <dc:description/>
  <dc:language>en-US</dc:language>
  <cp:lastModifiedBy>Elizabeth Cross</cp:lastModifiedBy>
  <cp:lastPrinted>1995-11-21T17:41:00Z</cp:lastPrinted>
  <dcterms:modified xsi:type="dcterms:W3CDTF">2026-07-13T10:30:00Z</dcterms:modified>
  <cp:revision>2</cp:revision>
  <dc:subject/>
  <dc:title>Job advert draft 17 October 2011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0x0101003352FF70A91BBD48B66867199F2FB948</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