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95F47" w14:textId="77777777" w:rsidR="00DA70C6" w:rsidRDefault="00000000">
      <w:pPr>
        <w:pBdr>
          <w:top w:val="nil"/>
          <w:left w:val="nil"/>
          <w:bottom w:val="nil"/>
          <w:right w:val="nil"/>
          <w:between w:val="nil"/>
        </w:pBdr>
        <w:spacing w:after="0" w:line="240" w:lineRule="auto"/>
        <w:jc w:val="center"/>
        <w:rPr>
          <w:rFonts w:ascii="Arial" w:eastAsia="Arial" w:hAnsi="Arial" w:cs="Arial"/>
          <w:b/>
          <w:color w:val="000000"/>
          <w:sz w:val="24"/>
          <w:szCs w:val="24"/>
        </w:rPr>
      </w:pPr>
      <w:r>
        <w:rPr>
          <w:noProof/>
        </w:rPr>
        <w:drawing>
          <wp:anchor distT="0" distB="0" distL="114300" distR="114300" simplePos="0" relativeHeight="251658240" behindDoc="0" locked="0" layoutInCell="1" hidden="0" allowOverlap="1" wp14:anchorId="6BF6F191" wp14:editId="7B9E36B7">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47750" cy="1017729"/>
                    </a:xfrm>
                    <a:prstGeom prst="rect">
                      <a:avLst/>
                    </a:prstGeom>
                    <a:ln/>
                  </pic:spPr>
                </pic:pic>
              </a:graphicData>
            </a:graphic>
          </wp:anchor>
        </w:drawing>
      </w:r>
    </w:p>
    <w:p w14:paraId="3A38FF36" w14:textId="77777777" w:rsidR="00DA70C6" w:rsidRDefault="00DA70C6">
      <w:pPr>
        <w:pBdr>
          <w:top w:val="nil"/>
          <w:left w:val="nil"/>
          <w:bottom w:val="nil"/>
          <w:right w:val="nil"/>
          <w:between w:val="nil"/>
        </w:pBdr>
        <w:spacing w:after="0" w:line="240" w:lineRule="auto"/>
        <w:rPr>
          <w:rFonts w:ascii="Arial" w:eastAsia="Arial" w:hAnsi="Arial" w:cs="Arial"/>
          <w:b/>
          <w:color w:val="000000"/>
          <w:sz w:val="24"/>
          <w:szCs w:val="24"/>
        </w:rPr>
      </w:pPr>
    </w:p>
    <w:p w14:paraId="37A37AFB" w14:textId="77777777" w:rsidR="00DA70C6" w:rsidRDefault="00DA70C6">
      <w:pPr>
        <w:pBdr>
          <w:top w:val="nil"/>
          <w:left w:val="nil"/>
          <w:bottom w:val="nil"/>
          <w:right w:val="nil"/>
          <w:between w:val="nil"/>
        </w:pBdr>
        <w:spacing w:after="0" w:line="240" w:lineRule="auto"/>
        <w:jc w:val="center"/>
        <w:rPr>
          <w:rFonts w:ascii="Arial" w:eastAsia="Arial" w:hAnsi="Arial" w:cs="Arial"/>
          <w:b/>
          <w:color w:val="000000"/>
          <w:sz w:val="24"/>
          <w:szCs w:val="24"/>
        </w:rPr>
      </w:pPr>
    </w:p>
    <w:p w14:paraId="15B1CA26" w14:textId="77777777" w:rsidR="00DA70C6" w:rsidRDefault="00000000">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Northern Education Trust – Job Description</w:t>
      </w:r>
    </w:p>
    <w:p w14:paraId="60A4DAE9" w14:textId="77777777" w:rsidR="00DA70C6" w:rsidRDefault="00DA70C6">
      <w:pPr>
        <w:pBdr>
          <w:top w:val="nil"/>
          <w:left w:val="nil"/>
          <w:bottom w:val="nil"/>
          <w:right w:val="nil"/>
          <w:between w:val="nil"/>
        </w:pBdr>
        <w:spacing w:after="0" w:line="240" w:lineRule="auto"/>
        <w:jc w:val="center"/>
        <w:rPr>
          <w:rFonts w:ascii="Arial" w:eastAsia="Arial" w:hAnsi="Arial" w:cs="Arial"/>
          <w:b/>
          <w:color w:val="000000"/>
          <w:sz w:val="24"/>
          <w:szCs w:val="24"/>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3"/>
        <w:gridCol w:w="2103"/>
        <w:gridCol w:w="505"/>
        <w:gridCol w:w="950"/>
        <w:gridCol w:w="672"/>
        <w:gridCol w:w="2103"/>
      </w:tblGrid>
      <w:tr w:rsidR="00DA70C6" w14:paraId="2BD9CC3A" w14:textId="77777777">
        <w:tc>
          <w:tcPr>
            <w:tcW w:w="2683" w:type="dxa"/>
            <w:shd w:val="clear" w:color="auto" w:fill="F2F2F2"/>
          </w:tcPr>
          <w:p w14:paraId="2F6F04F2" w14:textId="77777777" w:rsidR="00DA70C6"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Job Title:</w:t>
            </w:r>
          </w:p>
        </w:tc>
        <w:tc>
          <w:tcPr>
            <w:tcW w:w="2103" w:type="dxa"/>
            <w:shd w:val="clear" w:color="auto" w:fill="F2F2F2"/>
          </w:tcPr>
          <w:p w14:paraId="511D8BC2" w14:textId="77777777" w:rsidR="00DA70C6"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Assistant Cook</w:t>
            </w:r>
          </w:p>
        </w:tc>
        <w:tc>
          <w:tcPr>
            <w:tcW w:w="2127" w:type="dxa"/>
            <w:gridSpan w:val="3"/>
            <w:shd w:val="clear" w:color="auto" w:fill="F2F2F2"/>
          </w:tcPr>
          <w:p w14:paraId="75877521" w14:textId="77777777" w:rsidR="00DA70C6"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JE Reference </w:t>
            </w:r>
          </w:p>
        </w:tc>
        <w:tc>
          <w:tcPr>
            <w:tcW w:w="2103" w:type="dxa"/>
            <w:shd w:val="clear" w:color="auto" w:fill="F2F2F2"/>
          </w:tcPr>
          <w:p w14:paraId="68A56327" w14:textId="77777777" w:rsidR="00DA70C6"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JE206</w:t>
            </w:r>
          </w:p>
        </w:tc>
      </w:tr>
      <w:tr w:rsidR="00DA70C6" w14:paraId="303857F1" w14:textId="77777777">
        <w:tc>
          <w:tcPr>
            <w:tcW w:w="2683" w:type="dxa"/>
            <w:shd w:val="clear" w:color="auto" w:fill="F2F2F2"/>
          </w:tcPr>
          <w:p w14:paraId="5D7C869D" w14:textId="77777777" w:rsidR="00DA70C6"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Base:</w:t>
            </w:r>
          </w:p>
        </w:tc>
        <w:tc>
          <w:tcPr>
            <w:tcW w:w="6333" w:type="dxa"/>
            <w:gridSpan w:val="5"/>
            <w:shd w:val="clear" w:color="auto" w:fill="F2F2F2"/>
          </w:tcPr>
          <w:p w14:paraId="0D45220F" w14:textId="77777777" w:rsidR="00DA70C6"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Academy</w:t>
            </w:r>
          </w:p>
        </w:tc>
      </w:tr>
      <w:tr w:rsidR="00DA70C6" w14:paraId="1FDE7219" w14:textId="77777777">
        <w:tc>
          <w:tcPr>
            <w:tcW w:w="2683" w:type="dxa"/>
            <w:shd w:val="clear" w:color="auto" w:fill="F2F2F2"/>
          </w:tcPr>
          <w:p w14:paraId="7C927EC1" w14:textId="77777777" w:rsidR="00DA70C6"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Reports to:</w:t>
            </w:r>
          </w:p>
        </w:tc>
        <w:tc>
          <w:tcPr>
            <w:tcW w:w="2608" w:type="dxa"/>
            <w:gridSpan w:val="2"/>
            <w:shd w:val="clear" w:color="auto" w:fill="F2F2F2"/>
          </w:tcPr>
          <w:p w14:paraId="1B15B9E3" w14:textId="77777777" w:rsidR="00DA70C6"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Chef Manager </w:t>
            </w:r>
          </w:p>
        </w:tc>
        <w:tc>
          <w:tcPr>
            <w:tcW w:w="950" w:type="dxa"/>
            <w:shd w:val="clear" w:color="auto" w:fill="F2F2F2"/>
          </w:tcPr>
          <w:p w14:paraId="2B88F20A" w14:textId="77777777" w:rsidR="00DA70C6"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Grade:</w:t>
            </w:r>
          </w:p>
        </w:tc>
        <w:tc>
          <w:tcPr>
            <w:tcW w:w="2775" w:type="dxa"/>
            <w:gridSpan w:val="2"/>
            <w:shd w:val="clear" w:color="auto" w:fill="F2F2F2"/>
          </w:tcPr>
          <w:p w14:paraId="3FBA226E" w14:textId="77777777" w:rsidR="00DA70C6"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Grade 3</w:t>
            </w:r>
          </w:p>
          <w:p w14:paraId="62C7A3A9" w14:textId="77777777" w:rsidR="00DA70C6"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SCP 7 -SCP 8</w:t>
            </w:r>
          </w:p>
        </w:tc>
      </w:tr>
      <w:tr w:rsidR="00DA70C6" w14:paraId="1070E11B" w14:textId="77777777">
        <w:tc>
          <w:tcPr>
            <w:tcW w:w="2683" w:type="dxa"/>
            <w:shd w:val="clear" w:color="auto" w:fill="F2F2F2"/>
          </w:tcPr>
          <w:p w14:paraId="33CBEB8B" w14:textId="77777777" w:rsidR="00DA70C6"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Service responsibility:</w:t>
            </w:r>
          </w:p>
        </w:tc>
        <w:tc>
          <w:tcPr>
            <w:tcW w:w="2608" w:type="dxa"/>
            <w:gridSpan w:val="2"/>
            <w:shd w:val="clear" w:color="auto" w:fill="F2F2F2"/>
          </w:tcPr>
          <w:p w14:paraId="311811C2" w14:textId="77777777" w:rsidR="00DA70C6" w:rsidRDefault="00DA70C6">
            <w:pPr>
              <w:pBdr>
                <w:top w:val="nil"/>
                <w:left w:val="nil"/>
                <w:bottom w:val="nil"/>
                <w:right w:val="nil"/>
                <w:between w:val="nil"/>
              </w:pBdr>
              <w:rPr>
                <w:rFonts w:ascii="Arial" w:eastAsia="Arial" w:hAnsi="Arial" w:cs="Arial"/>
                <w:color w:val="000000"/>
              </w:rPr>
            </w:pPr>
          </w:p>
        </w:tc>
        <w:tc>
          <w:tcPr>
            <w:tcW w:w="950" w:type="dxa"/>
            <w:shd w:val="clear" w:color="auto" w:fill="F2F2F2"/>
          </w:tcPr>
          <w:p w14:paraId="036E064A" w14:textId="77777777" w:rsidR="00DA70C6"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Salary:</w:t>
            </w:r>
          </w:p>
        </w:tc>
        <w:tc>
          <w:tcPr>
            <w:tcW w:w="2775" w:type="dxa"/>
            <w:gridSpan w:val="2"/>
            <w:shd w:val="clear" w:color="auto" w:fill="F2F2F2"/>
          </w:tcPr>
          <w:p w14:paraId="2EF3EAF3" w14:textId="77777777" w:rsidR="00DA70C6"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£2</w:t>
            </w:r>
            <w:r>
              <w:rPr>
                <w:rFonts w:ascii="Arial" w:eastAsia="Arial" w:hAnsi="Arial" w:cs="Arial"/>
              </w:rPr>
              <w:t>6</w:t>
            </w:r>
            <w:r>
              <w:rPr>
                <w:rFonts w:ascii="Arial" w:eastAsia="Arial" w:hAnsi="Arial" w:cs="Arial"/>
                <w:color w:val="000000"/>
              </w:rPr>
              <w:t>,</w:t>
            </w:r>
            <w:r>
              <w:rPr>
                <w:rFonts w:ascii="Arial" w:eastAsia="Arial" w:hAnsi="Arial" w:cs="Arial"/>
              </w:rPr>
              <w:t>403</w:t>
            </w:r>
            <w:r>
              <w:rPr>
                <w:rFonts w:ascii="Arial" w:eastAsia="Arial" w:hAnsi="Arial" w:cs="Arial"/>
                <w:color w:val="000000"/>
              </w:rPr>
              <w:t>.00 - £2</w:t>
            </w:r>
            <w:r>
              <w:rPr>
                <w:rFonts w:ascii="Arial" w:eastAsia="Arial" w:hAnsi="Arial" w:cs="Arial"/>
              </w:rPr>
              <w:t>6</w:t>
            </w:r>
            <w:r>
              <w:rPr>
                <w:rFonts w:ascii="Arial" w:eastAsia="Arial" w:hAnsi="Arial" w:cs="Arial"/>
                <w:color w:val="000000"/>
              </w:rPr>
              <w:t>,</w:t>
            </w:r>
            <w:r>
              <w:rPr>
                <w:rFonts w:ascii="Arial" w:eastAsia="Arial" w:hAnsi="Arial" w:cs="Arial"/>
              </w:rPr>
              <w:t>824</w:t>
            </w:r>
            <w:r>
              <w:rPr>
                <w:rFonts w:ascii="Arial" w:eastAsia="Arial" w:hAnsi="Arial" w:cs="Arial"/>
                <w:color w:val="000000"/>
              </w:rPr>
              <w:t xml:space="preserve">.00 </w:t>
            </w:r>
          </w:p>
          <w:p w14:paraId="5E892A3E" w14:textId="77777777" w:rsidR="00DA70C6"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(FTE, Salary to be pro rata) </w:t>
            </w:r>
          </w:p>
          <w:p w14:paraId="4F266EAE" w14:textId="77777777" w:rsidR="00DA70C6" w:rsidRDefault="00000000">
            <w:pPr>
              <w:pBdr>
                <w:top w:val="nil"/>
                <w:left w:val="nil"/>
                <w:bottom w:val="nil"/>
                <w:right w:val="nil"/>
                <w:between w:val="nil"/>
              </w:pBdr>
              <w:rPr>
                <w:rFonts w:ascii="Arial" w:eastAsia="Arial" w:hAnsi="Arial" w:cs="Arial"/>
                <w:color w:val="000000"/>
              </w:rPr>
            </w:pPr>
            <w:bookmarkStart w:id="0" w:name="_heading=h.xpr8o66mqc4y" w:colFirst="0" w:colLast="0"/>
            <w:bookmarkEnd w:id="0"/>
            <w:r>
              <w:rPr>
                <w:rFonts w:ascii="Arial" w:eastAsia="Arial" w:hAnsi="Arial" w:cs="Arial"/>
                <w:color w:val="000000"/>
              </w:rPr>
              <w:t>[Delete as appropriate]</w:t>
            </w:r>
          </w:p>
        </w:tc>
      </w:tr>
      <w:tr w:rsidR="00DA70C6" w14:paraId="50F94080" w14:textId="77777777">
        <w:tc>
          <w:tcPr>
            <w:tcW w:w="2683" w:type="dxa"/>
            <w:shd w:val="clear" w:color="auto" w:fill="F2F2F2"/>
          </w:tcPr>
          <w:p w14:paraId="55787EC2" w14:textId="77777777" w:rsidR="00DA70C6"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Additional:</w:t>
            </w:r>
          </w:p>
        </w:tc>
        <w:tc>
          <w:tcPr>
            <w:tcW w:w="2608" w:type="dxa"/>
            <w:gridSpan w:val="2"/>
            <w:shd w:val="clear" w:color="auto" w:fill="F2F2F2"/>
          </w:tcPr>
          <w:p w14:paraId="0AA3A9ED" w14:textId="77777777" w:rsidR="00DA70C6" w:rsidRDefault="00DA70C6">
            <w:pPr>
              <w:pBdr>
                <w:top w:val="nil"/>
                <w:left w:val="nil"/>
                <w:bottom w:val="nil"/>
                <w:right w:val="nil"/>
                <w:between w:val="nil"/>
              </w:pBdr>
              <w:rPr>
                <w:rFonts w:ascii="Arial" w:eastAsia="Arial" w:hAnsi="Arial" w:cs="Arial"/>
                <w:color w:val="000000"/>
              </w:rPr>
            </w:pPr>
          </w:p>
        </w:tc>
        <w:tc>
          <w:tcPr>
            <w:tcW w:w="950" w:type="dxa"/>
            <w:shd w:val="clear" w:color="auto" w:fill="F2F2F2"/>
          </w:tcPr>
          <w:p w14:paraId="43BAAD95" w14:textId="77777777" w:rsidR="00DA70C6" w:rsidRDefault="00000000">
            <w:pPr>
              <w:pBdr>
                <w:top w:val="nil"/>
                <w:left w:val="nil"/>
                <w:bottom w:val="nil"/>
                <w:right w:val="nil"/>
                <w:between w:val="nil"/>
              </w:pBdr>
              <w:rPr>
                <w:rFonts w:ascii="Arial" w:eastAsia="Arial" w:hAnsi="Arial" w:cs="Arial"/>
                <w:b/>
                <w:color w:val="000000"/>
              </w:rPr>
            </w:pPr>
            <w:r>
              <w:rPr>
                <w:rFonts w:ascii="Arial" w:eastAsia="Arial" w:hAnsi="Arial" w:cs="Arial"/>
                <w:b/>
                <w:color w:val="000000"/>
              </w:rPr>
              <w:t>Term:</w:t>
            </w:r>
          </w:p>
        </w:tc>
        <w:tc>
          <w:tcPr>
            <w:tcW w:w="2775" w:type="dxa"/>
            <w:gridSpan w:val="2"/>
            <w:shd w:val="clear" w:color="auto" w:fill="F2F2F2"/>
          </w:tcPr>
          <w:p w14:paraId="6BA207B7" w14:textId="77777777" w:rsidR="00DA70C6"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XX hours / 39 weeks</w:t>
            </w:r>
          </w:p>
          <w:p w14:paraId="420EE879" w14:textId="77777777" w:rsidR="00DA70C6" w:rsidRDefault="00DA70C6">
            <w:pPr>
              <w:pBdr>
                <w:top w:val="nil"/>
                <w:left w:val="nil"/>
                <w:bottom w:val="nil"/>
                <w:right w:val="nil"/>
                <w:between w:val="nil"/>
              </w:pBdr>
              <w:rPr>
                <w:rFonts w:ascii="Arial" w:eastAsia="Arial" w:hAnsi="Arial" w:cs="Arial"/>
                <w:color w:val="000000"/>
              </w:rPr>
            </w:pPr>
          </w:p>
        </w:tc>
      </w:tr>
    </w:tbl>
    <w:p w14:paraId="052C407A" w14:textId="77777777" w:rsidR="00DA70C6" w:rsidRDefault="00DA70C6">
      <w:pPr>
        <w:pBdr>
          <w:top w:val="nil"/>
          <w:left w:val="nil"/>
          <w:bottom w:val="nil"/>
          <w:right w:val="nil"/>
          <w:between w:val="nil"/>
        </w:pBdr>
        <w:spacing w:after="0" w:line="240" w:lineRule="auto"/>
        <w:jc w:val="center"/>
        <w:rPr>
          <w:rFonts w:ascii="Arial" w:eastAsia="Arial" w:hAnsi="Arial" w:cs="Arial"/>
          <w:b/>
          <w:color w:val="000000"/>
        </w:rPr>
      </w:pPr>
    </w:p>
    <w:p w14:paraId="0DB230DC" w14:textId="77777777" w:rsidR="00DA70C6"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JOB PURPOSE</w:t>
      </w:r>
    </w:p>
    <w:p w14:paraId="080925AB" w14:textId="77777777" w:rsidR="00DA70C6" w:rsidRDefault="00DA70C6">
      <w:pPr>
        <w:pBdr>
          <w:top w:val="nil"/>
          <w:left w:val="nil"/>
          <w:bottom w:val="nil"/>
          <w:right w:val="nil"/>
          <w:between w:val="nil"/>
        </w:pBdr>
        <w:spacing w:after="0" w:line="240" w:lineRule="auto"/>
        <w:jc w:val="both"/>
        <w:rPr>
          <w:rFonts w:ascii="Arial" w:eastAsia="Arial" w:hAnsi="Arial" w:cs="Arial"/>
          <w:b/>
          <w:color w:val="000000"/>
        </w:rPr>
      </w:pPr>
    </w:p>
    <w:p w14:paraId="61F6B802" w14:textId="77777777" w:rsidR="00DA70C6" w:rsidRDefault="00000000">
      <w:pPr>
        <w:tabs>
          <w:tab w:val="left" w:pos="284"/>
          <w:tab w:val="left" w:pos="567"/>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rPr>
      </w:pPr>
      <w:r>
        <w:rPr>
          <w:rFonts w:ascii="Arial" w:eastAsia="Arial" w:hAnsi="Arial" w:cs="Arial"/>
        </w:rPr>
        <w:t>To support the Chef Manager with the preparation and production of breakfast, break, lunch &amp; hospitality services according to requirements.</w:t>
      </w:r>
    </w:p>
    <w:p w14:paraId="50FE08FB" w14:textId="77777777" w:rsidR="00DA70C6" w:rsidRDefault="00DA70C6">
      <w:pPr>
        <w:pBdr>
          <w:top w:val="nil"/>
          <w:left w:val="nil"/>
          <w:bottom w:val="nil"/>
          <w:right w:val="nil"/>
          <w:between w:val="nil"/>
        </w:pBdr>
        <w:spacing w:after="0" w:line="240" w:lineRule="auto"/>
        <w:jc w:val="both"/>
        <w:rPr>
          <w:rFonts w:ascii="Arial" w:eastAsia="Arial" w:hAnsi="Arial" w:cs="Arial"/>
          <w:b/>
          <w:color w:val="000000"/>
        </w:rPr>
      </w:pPr>
    </w:p>
    <w:p w14:paraId="3CAB605F" w14:textId="77777777" w:rsidR="00DA70C6" w:rsidRDefault="00000000">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JOB SUMMARY</w:t>
      </w:r>
    </w:p>
    <w:p w14:paraId="159CF887" w14:textId="77777777" w:rsidR="00DA70C6" w:rsidRDefault="00DA70C6">
      <w:pPr>
        <w:pBdr>
          <w:top w:val="nil"/>
          <w:left w:val="nil"/>
          <w:bottom w:val="nil"/>
          <w:right w:val="nil"/>
          <w:between w:val="nil"/>
        </w:pBdr>
        <w:spacing w:after="0" w:line="240" w:lineRule="auto"/>
        <w:jc w:val="both"/>
        <w:rPr>
          <w:rFonts w:ascii="Arial" w:eastAsia="Arial" w:hAnsi="Arial" w:cs="Arial"/>
          <w:b/>
          <w:color w:val="000000"/>
        </w:rPr>
      </w:pPr>
    </w:p>
    <w:p w14:paraId="41F7089E" w14:textId="77777777" w:rsidR="00DA70C6" w:rsidRDefault="00000000">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Preparation and cooking of breakfast, break, lunch &amp; hospitality events in accordance with the daily menu and following the government guidelines with assistance from the general catering team. Maintaining high standards of working practises within the trust.</w:t>
      </w:r>
    </w:p>
    <w:p w14:paraId="3D126A5E" w14:textId="77777777" w:rsidR="00DA70C6" w:rsidRDefault="00000000">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To be competent and skilled to work in all areas of preparation, cooking and counter service.</w:t>
      </w:r>
    </w:p>
    <w:p w14:paraId="0687713E" w14:textId="77777777" w:rsidR="00DA70C6" w:rsidRDefault="00000000">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To ensure that the counter presentation and service is to the Academy standards, ensuring quantities and proportions are sufficient to satisfy demand</w:t>
      </w:r>
    </w:p>
    <w:p w14:paraId="151009E1" w14:textId="77777777" w:rsidR="00DA70C6" w:rsidRDefault="00000000">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To serve on the food counters following all customer service standards.</w:t>
      </w:r>
    </w:p>
    <w:p w14:paraId="2357B29D" w14:textId="77777777" w:rsidR="00DA70C6" w:rsidRDefault="00000000">
      <w:pPr>
        <w:numPr>
          <w:ilvl w:val="0"/>
          <w:numId w:val="1"/>
        </w:numPr>
        <w:tabs>
          <w:tab w:val="left" w:pos="284"/>
          <w:tab w:val="left" w:pos="567"/>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rPr>
      </w:pPr>
      <w:r>
        <w:rPr>
          <w:rFonts w:ascii="Arial" w:eastAsia="Arial" w:hAnsi="Arial" w:cs="Arial"/>
        </w:rPr>
        <w:t xml:space="preserve">  To support the Chef Manager in maintaining all food stock levels, to include stock taking and stock rotation.</w:t>
      </w:r>
    </w:p>
    <w:p w14:paraId="766BFB83" w14:textId="77777777" w:rsidR="00DA70C6" w:rsidRDefault="00000000">
      <w:pPr>
        <w:numPr>
          <w:ilvl w:val="0"/>
          <w:numId w:val="1"/>
        </w:numPr>
        <w:tabs>
          <w:tab w:val="left" w:pos="284"/>
          <w:tab w:val="left" w:pos="567"/>
          <w:tab w:val="left" w:pos="851"/>
          <w:tab w:val="left" w:pos="1134"/>
          <w:tab w:val="left" w:pos="1418"/>
          <w:tab w:val="left" w:pos="1701"/>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Arial" w:hAnsi="Arial" w:cs="Arial"/>
        </w:rPr>
      </w:pPr>
      <w:r>
        <w:rPr>
          <w:rFonts w:ascii="Arial" w:eastAsia="Arial" w:hAnsi="Arial" w:cs="Arial"/>
        </w:rPr>
        <w:t xml:space="preserve">  To assist in the monitoring and maintaining of records of daily fridge and freezer and food temperature in accordance with Food Hygiene Regulations.</w:t>
      </w:r>
    </w:p>
    <w:p w14:paraId="279CBF8F" w14:textId="77777777" w:rsidR="00DA70C6" w:rsidRDefault="00000000">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Deputise in the absence of the Chef and manage this transition through to all staff ensuring they are aware of their duties.</w:t>
      </w:r>
    </w:p>
    <w:p w14:paraId="436DAB3D" w14:textId="77777777" w:rsidR="00DA70C6" w:rsidRDefault="00000000">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To ensure, at all times, the good running of the kitchen. To immediately report any concerns or queries to the Chef Manager if the running of the kitchen may in some way be compromised. </w:t>
      </w:r>
    </w:p>
    <w:p w14:paraId="614F1847" w14:textId="77777777" w:rsidR="00DA70C6" w:rsidRDefault="00000000">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To attend appropriate training sessions for the purposes of maintaining quality and safe practice in the kitchen environment. To appreciate that these training sessions may need to take place on rare occasion out of term time or duty time.</w:t>
      </w:r>
    </w:p>
    <w:p w14:paraId="326342D2" w14:textId="77777777" w:rsidR="00DA70C6" w:rsidRDefault="00000000">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To comply with all Health and Safety legislation. </w:t>
      </w:r>
    </w:p>
    <w:p w14:paraId="250742C4" w14:textId="77777777" w:rsidR="00DA70C6" w:rsidRDefault="00DA70C6">
      <w:pPr>
        <w:pBdr>
          <w:top w:val="nil"/>
          <w:left w:val="nil"/>
          <w:bottom w:val="nil"/>
          <w:right w:val="nil"/>
          <w:between w:val="nil"/>
        </w:pBdr>
        <w:spacing w:after="0" w:line="240" w:lineRule="auto"/>
        <w:rPr>
          <w:rFonts w:ascii="Arial" w:eastAsia="Arial" w:hAnsi="Arial" w:cs="Arial"/>
          <w:color w:val="000000"/>
        </w:rPr>
      </w:pPr>
    </w:p>
    <w:p w14:paraId="22990FD4" w14:textId="77777777" w:rsidR="00DA70C6" w:rsidRDefault="00000000">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GDPR</w:t>
      </w:r>
    </w:p>
    <w:p w14:paraId="6500FB73" w14:textId="77777777" w:rsidR="00DA70C6" w:rsidRDefault="00000000">
      <w:pPr>
        <w:numPr>
          <w:ilvl w:val="0"/>
          <w:numId w:val="2"/>
        </w:numPr>
        <w:pBdr>
          <w:top w:val="nil"/>
          <w:left w:val="nil"/>
          <w:bottom w:val="nil"/>
          <w:right w:val="nil"/>
          <w:between w:val="nil"/>
        </w:pBdr>
        <w:spacing w:after="0" w:line="256" w:lineRule="auto"/>
        <w:rPr>
          <w:rFonts w:ascii="Arial" w:eastAsia="Arial" w:hAnsi="Arial" w:cs="Arial"/>
          <w:color w:val="000000"/>
        </w:rPr>
      </w:pPr>
      <w:r>
        <w:rPr>
          <w:rFonts w:ascii="Arial" w:eastAsia="Arial" w:hAnsi="Arial" w:cs="Arial"/>
          <w:color w:val="000000"/>
        </w:rPr>
        <w:t xml:space="preserve">To adhere to GDPR and Data Protection Regulations, whilst maintaining confidentiality </w:t>
      </w:r>
    </w:p>
    <w:p w14:paraId="71BB56E5" w14:textId="77777777" w:rsidR="00DA70C6" w:rsidRDefault="00DA70C6">
      <w:pPr>
        <w:pBdr>
          <w:top w:val="nil"/>
          <w:left w:val="nil"/>
          <w:bottom w:val="nil"/>
          <w:right w:val="nil"/>
          <w:between w:val="nil"/>
        </w:pBdr>
        <w:spacing w:after="0"/>
        <w:ind w:left="720"/>
        <w:rPr>
          <w:rFonts w:ascii="Arial" w:eastAsia="Arial" w:hAnsi="Arial" w:cs="Arial"/>
          <w:color w:val="000000"/>
        </w:rPr>
      </w:pPr>
    </w:p>
    <w:p w14:paraId="3B019384" w14:textId="77777777" w:rsidR="00DA70C6" w:rsidRDefault="00000000">
      <w:pPr>
        <w:pBdr>
          <w:top w:val="nil"/>
          <w:left w:val="nil"/>
          <w:bottom w:val="nil"/>
          <w:right w:val="nil"/>
          <w:between w:val="nil"/>
        </w:pBdr>
        <w:spacing w:after="0"/>
        <w:rPr>
          <w:rFonts w:ascii="Arial" w:eastAsia="Arial" w:hAnsi="Arial" w:cs="Arial"/>
          <w:color w:val="000000"/>
        </w:rPr>
      </w:pPr>
      <w:bookmarkStart w:id="1" w:name="_heading=h.pzvgr2a3ghkt" w:colFirst="0" w:colLast="0"/>
      <w:bookmarkEnd w:id="1"/>
      <w:r>
        <w:rPr>
          <w:rFonts w:ascii="Arial" w:eastAsia="Arial" w:hAnsi="Arial" w:cs="Arial"/>
          <w:b/>
          <w:color w:val="000000"/>
        </w:rPr>
        <w:t>Safeguarding</w:t>
      </w:r>
    </w:p>
    <w:p w14:paraId="46850066" w14:textId="77777777" w:rsidR="00DA70C6" w:rsidRDefault="00000000">
      <w:pPr>
        <w:numPr>
          <w:ilvl w:val="0"/>
          <w:numId w:val="3"/>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14:paraId="776D33E6" w14:textId="77777777" w:rsidR="00DA70C6" w:rsidRDefault="00000000">
      <w:pPr>
        <w:numPr>
          <w:ilvl w:val="0"/>
          <w:numId w:val="3"/>
        </w:num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This role wholly or mainly involves working with children</w:t>
      </w:r>
    </w:p>
    <w:p w14:paraId="336CFF82" w14:textId="77777777" w:rsidR="00DA70C6" w:rsidRDefault="00000000">
      <w:pPr>
        <w:pBdr>
          <w:top w:val="nil"/>
          <w:left w:val="nil"/>
          <w:bottom w:val="nil"/>
          <w:right w:val="nil"/>
          <w:between w:val="nil"/>
        </w:pBdr>
        <w:spacing w:after="0" w:line="240" w:lineRule="auto"/>
        <w:ind w:left="284" w:hanging="284"/>
        <w:jc w:val="both"/>
        <w:rPr>
          <w:rFonts w:ascii="Arial" w:eastAsia="Arial" w:hAnsi="Arial" w:cs="Arial"/>
          <w:b/>
          <w:color w:val="000000"/>
        </w:rPr>
      </w:pPr>
      <w:r>
        <w:rPr>
          <w:rFonts w:ascii="Arial" w:eastAsia="Arial" w:hAnsi="Arial" w:cs="Arial"/>
          <w:b/>
          <w:color w:val="000000"/>
        </w:rPr>
        <w:lastRenderedPageBreak/>
        <w:t>General</w:t>
      </w:r>
    </w:p>
    <w:p w14:paraId="7792E8ED" w14:textId="77777777" w:rsidR="00DA70C6" w:rsidRDefault="00DA70C6">
      <w:pPr>
        <w:pBdr>
          <w:top w:val="nil"/>
          <w:left w:val="nil"/>
          <w:bottom w:val="nil"/>
          <w:right w:val="nil"/>
          <w:between w:val="nil"/>
        </w:pBdr>
        <w:spacing w:after="0" w:line="240" w:lineRule="auto"/>
        <w:jc w:val="both"/>
        <w:rPr>
          <w:rFonts w:ascii="Arial" w:eastAsia="Arial" w:hAnsi="Arial" w:cs="Arial"/>
          <w:b/>
          <w:color w:val="000000"/>
        </w:rPr>
      </w:pPr>
    </w:p>
    <w:p w14:paraId="59FECFF8" w14:textId="77777777" w:rsidR="00DA70C6" w:rsidRDefault="00000000">
      <w:pPr>
        <w:widowControl w:val="0"/>
        <w:numPr>
          <w:ilvl w:val="0"/>
          <w:numId w:val="3"/>
        </w:numPr>
        <w:pBdr>
          <w:top w:val="nil"/>
          <w:left w:val="nil"/>
          <w:bottom w:val="nil"/>
          <w:right w:val="nil"/>
          <w:between w:val="nil"/>
        </w:pBdr>
        <w:tabs>
          <w:tab w:val="left" w:pos="220"/>
          <w:tab w:val="left" w:pos="360"/>
        </w:tabs>
        <w:spacing w:after="0" w:line="240" w:lineRule="auto"/>
        <w:rPr>
          <w:rFonts w:ascii="Arial" w:eastAsia="Arial" w:hAnsi="Arial" w:cs="Arial"/>
          <w:color w:val="000000"/>
        </w:rPr>
      </w:pPr>
      <w:r>
        <w:rPr>
          <w:rFonts w:ascii="Arial" w:eastAsia="Arial" w:hAnsi="Arial" w:cs="Arial"/>
          <w:color w:val="000000"/>
        </w:rPr>
        <w:t>To participate in wider Trust meetings and working groups as required</w:t>
      </w:r>
    </w:p>
    <w:p w14:paraId="1F7D514F" w14:textId="77777777" w:rsidR="00DA70C6" w:rsidRDefault="00DA70C6">
      <w:pPr>
        <w:pBdr>
          <w:top w:val="nil"/>
          <w:left w:val="nil"/>
          <w:bottom w:val="nil"/>
          <w:right w:val="nil"/>
          <w:between w:val="nil"/>
        </w:pBdr>
        <w:spacing w:after="0" w:line="240" w:lineRule="auto"/>
        <w:jc w:val="both"/>
        <w:rPr>
          <w:rFonts w:ascii="Arial" w:eastAsia="Arial" w:hAnsi="Arial" w:cs="Arial"/>
          <w:color w:val="000000"/>
        </w:rPr>
      </w:pPr>
    </w:p>
    <w:p w14:paraId="25A512FA" w14:textId="77777777" w:rsidR="00DA70C6" w:rsidRDefault="00000000">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48D5BB0A" w14:textId="77777777" w:rsidR="00DA70C6" w:rsidRDefault="00DA70C6">
      <w:pPr>
        <w:pBdr>
          <w:top w:val="nil"/>
          <w:left w:val="nil"/>
          <w:bottom w:val="nil"/>
          <w:right w:val="nil"/>
          <w:between w:val="nil"/>
        </w:pBdr>
        <w:spacing w:after="0" w:line="240" w:lineRule="auto"/>
        <w:jc w:val="both"/>
        <w:rPr>
          <w:rFonts w:ascii="Arial" w:eastAsia="Arial" w:hAnsi="Arial" w:cs="Arial"/>
          <w:color w:val="000000"/>
        </w:rPr>
      </w:pPr>
    </w:p>
    <w:p w14:paraId="4A754DA4" w14:textId="77777777" w:rsidR="00DA70C6" w:rsidRDefault="00000000">
      <w:r>
        <w:rPr>
          <w:rFonts w:ascii="Arial" w:eastAsia="Arial" w:hAnsi="Arial" w:cs="Arial"/>
        </w:rPr>
        <w:t>NET is committed to safeguarding and promoting the welfare of children and young people. We expect all staff to share this commitment and to undergo appropriate checks, including an enhanced DBS check.</w:t>
      </w:r>
    </w:p>
    <w:p w14:paraId="113072B5" w14:textId="77777777" w:rsidR="00DA70C6" w:rsidRDefault="00DA70C6">
      <w:pPr>
        <w:pBdr>
          <w:top w:val="nil"/>
          <w:left w:val="nil"/>
          <w:bottom w:val="nil"/>
          <w:right w:val="nil"/>
          <w:between w:val="nil"/>
        </w:pBdr>
        <w:spacing w:after="0" w:line="240" w:lineRule="auto"/>
        <w:rPr>
          <w:rFonts w:ascii="Arial" w:eastAsia="Arial" w:hAnsi="Arial" w:cs="Arial"/>
          <w:color w:val="000000"/>
        </w:rPr>
      </w:pPr>
    </w:p>
    <w:p w14:paraId="0AAD5356" w14:textId="77777777" w:rsidR="00DA70C6" w:rsidRDefault="0000000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Signed: ……………………………………</w:t>
      </w:r>
      <w:r>
        <w:rPr>
          <w:rFonts w:ascii="Arial" w:eastAsia="Arial" w:hAnsi="Arial" w:cs="Arial"/>
          <w:color w:val="000000"/>
        </w:rPr>
        <w:tab/>
      </w:r>
      <w:r>
        <w:rPr>
          <w:rFonts w:ascii="Arial" w:eastAsia="Arial" w:hAnsi="Arial" w:cs="Arial"/>
          <w:color w:val="000000"/>
        </w:rPr>
        <w:tab/>
        <w:t>Date: ……………………………….</w:t>
      </w:r>
    </w:p>
    <w:p w14:paraId="3662CBF5" w14:textId="77777777" w:rsidR="00DA70C6" w:rsidRDefault="00DA70C6">
      <w:pPr>
        <w:pBdr>
          <w:top w:val="nil"/>
          <w:left w:val="nil"/>
          <w:bottom w:val="nil"/>
          <w:right w:val="nil"/>
          <w:between w:val="nil"/>
        </w:pBdr>
        <w:spacing w:after="0" w:line="240" w:lineRule="auto"/>
        <w:rPr>
          <w:rFonts w:ascii="Arial" w:eastAsia="Arial" w:hAnsi="Arial" w:cs="Arial"/>
          <w:b/>
          <w:color w:val="000000"/>
        </w:rPr>
      </w:pPr>
    </w:p>
    <w:p w14:paraId="073734F3" w14:textId="77777777" w:rsidR="00DA70C6" w:rsidRDefault="00DA70C6">
      <w:pPr>
        <w:pBdr>
          <w:top w:val="nil"/>
          <w:left w:val="nil"/>
          <w:bottom w:val="nil"/>
          <w:right w:val="nil"/>
          <w:between w:val="nil"/>
        </w:pBdr>
        <w:spacing w:after="0" w:line="240" w:lineRule="auto"/>
        <w:rPr>
          <w:rFonts w:ascii="Arial" w:eastAsia="Arial" w:hAnsi="Arial" w:cs="Arial"/>
          <w:b/>
          <w:color w:val="000000"/>
        </w:rPr>
      </w:pPr>
    </w:p>
    <w:sectPr w:rsidR="00DA70C6">
      <w:pgSz w:w="11906" w:h="16838"/>
      <w:pgMar w:top="1026" w:right="1440" w:bottom="836"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0B4F"/>
    <w:multiLevelType w:val="multilevel"/>
    <w:tmpl w:val="1A1E59CA"/>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AA2D6A"/>
    <w:multiLevelType w:val="multilevel"/>
    <w:tmpl w:val="E9FC2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B83462"/>
    <w:multiLevelType w:val="multilevel"/>
    <w:tmpl w:val="A740C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0525024">
    <w:abstractNumId w:val="0"/>
  </w:num>
  <w:num w:numId="2" w16cid:durableId="752435841">
    <w:abstractNumId w:val="2"/>
  </w:num>
  <w:num w:numId="3" w16cid:durableId="986130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0C6"/>
    <w:rsid w:val="00853106"/>
    <w:rsid w:val="00DA70C6"/>
    <w:rsid w:val="00DF0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604A"/>
  <w15:docId w15:val="{413C3FA2-F087-4D47-8B20-C1A6770D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character" w:styleId="CommentReference">
    <w:name w:val="annotation reference"/>
    <w:basedOn w:val="DefaultParagraphFont"/>
    <w:uiPriority w:val="99"/>
    <w:semiHidden/>
    <w:unhideWhenUsed/>
    <w:rsid w:val="005941CE"/>
    <w:rPr>
      <w:sz w:val="18"/>
      <w:szCs w:val="18"/>
    </w:rPr>
  </w:style>
  <w:style w:type="paragraph" w:styleId="CommentText">
    <w:name w:val="annotation text"/>
    <w:basedOn w:val="Normal"/>
    <w:link w:val="CommentTextChar"/>
    <w:uiPriority w:val="99"/>
    <w:semiHidden/>
    <w:unhideWhenUsed/>
    <w:rsid w:val="005941CE"/>
    <w:pPr>
      <w:spacing w:line="240" w:lineRule="auto"/>
    </w:pPr>
    <w:rPr>
      <w:sz w:val="24"/>
      <w:szCs w:val="24"/>
    </w:rPr>
  </w:style>
  <w:style w:type="character" w:customStyle="1" w:styleId="CommentTextChar">
    <w:name w:val="Comment Text Char"/>
    <w:basedOn w:val="DefaultParagraphFont"/>
    <w:link w:val="CommentText"/>
    <w:uiPriority w:val="99"/>
    <w:semiHidden/>
    <w:rsid w:val="005941CE"/>
    <w:rPr>
      <w:sz w:val="24"/>
      <w:szCs w:val="24"/>
    </w:rPr>
  </w:style>
  <w:style w:type="paragraph" w:styleId="CommentSubject">
    <w:name w:val="annotation subject"/>
    <w:basedOn w:val="CommentText"/>
    <w:next w:val="CommentText"/>
    <w:link w:val="CommentSubjectChar"/>
    <w:uiPriority w:val="99"/>
    <w:semiHidden/>
    <w:unhideWhenUsed/>
    <w:rsid w:val="005941CE"/>
    <w:rPr>
      <w:b/>
      <w:bCs/>
      <w:sz w:val="20"/>
      <w:szCs w:val="20"/>
    </w:rPr>
  </w:style>
  <w:style w:type="character" w:customStyle="1" w:styleId="CommentSubjectChar">
    <w:name w:val="Comment Subject Char"/>
    <w:basedOn w:val="CommentTextChar"/>
    <w:link w:val="CommentSubject"/>
    <w:uiPriority w:val="99"/>
    <w:semiHidden/>
    <w:rsid w:val="005941CE"/>
    <w:rPr>
      <w:b/>
      <w:bCs/>
      <w:sz w:val="20"/>
      <w:szCs w:val="20"/>
    </w:rPr>
  </w:style>
  <w:style w:type="paragraph" w:styleId="BalloonText">
    <w:name w:val="Balloon Text"/>
    <w:basedOn w:val="Normal"/>
    <w:link w:val="BalloonTextChar"/>
    <w:uiPriority w:val="99"/>
    <w:semiHidden/>
    <w:unhideWhenUsed/>
    <w:rsid w:val="005941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1CE"/>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2389</Characters>
  <Application>Microsoft Office Word</Application>
  <DocSecurity>0</DocSecurity>
  <Lines>19</Lines>
  <Paragraphs>5</Paragraphs>
  <ScaleCrop>false</ScaleCrop>
  <Company>Northern Education Trust</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 Luke</dc:creator>
  <cp:lastModifiedBy>Alison Dale</cp:lastModifiedBy>
  <cp:revision>2</cp:revision>
  <dcterms:created xsi:type="dcterms:W3CDTF">2025-11-13T07:37:00Z</dcterms:created>
  <dcterms:modified xsi:type="dcterms:W3CDTF">2025-11-13T07:37:00Z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