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LO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drawing>
          <wp:anchor behindDoc="0" distT="0" distB="0" distL="0" distR="0" simplePos="0" locked="0" layoutInCell="1" allowOverlap="1" relativeHeight="2">
            <wp:simplePos x="0" y="0"/>
            <wp:positionH relativeFrom="column">
              <wp:posOffset>4683760</wp:posOffset>
            </wp:positionH>
            <wp:positionV relativeFrom="paragraph">
              <wp:posOffset>-276225</wp:posOffset>
            </wp:positionV>
            <wp:extent cx="1047115" cy="101727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1" t="-11" r="-11" b="-11"/>
                    <a:stretch>
                      <a:fillRect/>
                    </a:stretch>
                  </pic:blipFill>
                  <pic:spPr bwMode="auto">
                    <a:xfrm>
                      <a:off x="0" y="0"/>
                      <a:ext cx="1047115" cy="1017270"/>
                    </a:xfrm>
                    <a:prstGeom prst="rect">
                      <a:avLst/>
                    </a:prstGeom>
                  </pic:spPr>
                </pic:pic>
              </a:graphicData>
            </a:graphic>
          </wp:anchor>
        </w:drawing>
      </w:r>
    </w:p>
    <w:p>
      <w:pPr>
        <w:pStyle w:val="LOnormal"/>
        <w:pBdr/>
        <w:spacing w:lineRule="auto" w:line="240" w:before="0" w:after="0"/>
        <w:rPr>
          <w:rFonts w:ascii="Arial" w:hAnsi="Arial" w:eastAsia="Arial" w:cs="Arial"/>
          <w:b/>
          <w:b/>
          <w:color w:val="000000"/>
          <w:sz w:val="24"/>
          <w:szCs w:val="24"/>
        </w:rPr>
      </w:pPr>
      <w:r>
        <w:rPr>
          <w:rFonts w:eastAsia="Arial" w:cs="Arial" w:ascii="Arial" w:hAnsi="Arial"/>
          <w:b/>
          <w:color w:val="000000"/>
          <w:sz w:val="24"/>
          <w:szCs w:val="24"/>
        </w:rPr>
      </w:r>
    </w:p>
    <w:p>
      <w:pPr>
        <w:pStyle w:val="LO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r>
    </w:p>
    <w:p>
      <w:pPr>
        <w:pStyle w:val="LO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t>Northern Education Trust – Job Description</w:t>
      </w:r>
    </w:p>
    <w:p>
      <w:pPr>
        <w:pStyle w:val="LOnormal"/>
        <w:pBdr/>
        <w:spacing w:lineRule="auto" w:line="240" w:before="0" w:after="0"/>
        <w:rPr>
          <w:rFonts w:ascii="Arial" w:hAnsi="Arial" w:eastAsia="Arial" w:cs="Arial"/>
          <w:b/>
          <w:b/>
          <w:color w:val="000000"/>
        </w:rPr>
      </w:pPr>
      <w:r>
        <w:rPr>
          <w:rFonts w:eastAsia="Arial" w:cs="Arial" w:ascii="Arial" w:hAnsi="Arial"/>
          <w:b/>
          <w:color w:val="000000"/>
        </w:rPr>
      </w:r>
    </w:p>
    <w:tbl>
      <w:tblPr>
        <w:tblW w:w="9025" w:type="dxa"/>
        <w:jc w:val="left"/>
        <w:tblInd w:w="0" w:type="dxa"/>
        <w:tblCellMar>
          <w:top w:w="0" w:type="dxa"/>
          <w:left w:w="108" w:type="dxa"/>
          <w:bottom w:w="0" w:type="dxa"/>
          <w:right w:w="108" w:type="dxa"/>
        </w:tblCellMar>
      </w:tblPr>
      <w:tblGrid>
        <w:gridCol w:w="2688"/>
        <w:gridCol w:w="2110"/>
        <w:gridCol w:w="299"/>
        <w:gridCol w:w="1134"/>
        <w:gridCol w:w="676"/>
        <w:gridCol w:w="2118"/>
      </w:tblGrid>
      <w:tr>
        <w:trPr/>
        <w:tc>
          <w:tcPr>
            <w:tcW w:w="2688" w:type="dxa"/>
            <w:tcBorders>
              <w:top w:val="single" w:sz="4" w:space="0" w:color="000000"/>
              <w:left w:val="single" w:sz="4" w:space="0" w:color="000000"/>
              <w:bottom w:val="single" w:sz="4" w:space="0" w:color="000000"/>
            </w:tcBorders>
            <w:shd w:fill="F2F2F2" w:val="clear"/>
          </w:tcPr>
          <w:p>
            <w:pPr>
              <w:pStyle w:val="LOnormal"/>
              <w:pBdr/>
              <w:spacing w:lineRule="auto" w:line="240" w:before="0" w:after="0"/>
              <w:rPr>
                <w:rFonts w:ascii="Arial" w:hAnsi="Arial" w:eastAsia="Arial" w:cs="Arial"/>
                <w:b/>
                <w:b/>
                <w:color w:val="000000"/>
              </w:rPr>
            </w:pPr>
            <w:r>
              <w:rPr>
                <w:rFonts w:eastAsia="Arial" w:cs="Arial" w:ascii="Arial" w:hAnsi="Arial"/>
                <w:b/>
                <w:color w:val="000000"/>
              </w:rPr>
              <w:t>Job Title:</w:t>
            </w:r>
          </w:p>
        </w:tc>
        <w:tc>
          <w:tcPr>
            <w:tcW w:w="2110" w:type="dxa"/>
            <w:tcBorders>
              <w:top w:val="single" w:sz="4" w:space="0" w:color="000000"/>
              <w:left w:val="single" w:sz="4" w:space="0" w:color="000000"/>
              <w:bottom w:val="single" w:sz="4" w:space="0" w:color="000000"/>
            </w:tcBorders>
            <w:shd w:fill="F2F2F2" w:val="clear"/>
          </w:tcPr>
          <w:p>
            <w:pPr>
              <w:pStyle w:val="LOnormal"/>
              <w:pBdr/>
              <w:spacing w:lineRule="auto" w:line="240" w:before="0" w:after="0"/>
              <w:rPr>
                <w:rFonts w:ascii="Arial" w:hAnsi="Arial" w:eastAsia="Arial" w:cs="Arial"/>
                <w:color w:val="000000"/>
              </w:rPr>
            </w:pPr>
            <w:r>
              <w:rPr>
                <w:rFonts w:eastAsia="Arial" w:cs="Arial" w:ascii="Arial" w:hAnsi="Arial"/>
                <w:color w:val="000000"/>
              </w:rPr>
              <w:t>Teaching Assistant (Secondary)</w:t>
            </w:r>
          </w:p>
        </w:tc>
        <w:tc>
          <w:tcPr>
            <w:tcW w:w="2109" w:type="dxa"/>
            <w:gridSpan w:val="3"/>
            <w:tcBorders>
              <w:top w:val="single" w:sz="4" w:space="0" w:color="000000"/>
              <w:left w:val="single" w:sz="4" w:space="0" w:color="000000"/>
              <w:bottom w:val="single" w:sz="4" w:space="0" w:color="000000"/>
            </w:tcBorders>
            <w:shd w:fill="F2F2F2" w:val="clear"/>
          </w:tcPr>
          <w:p>
            <w:pPr>
              <w:pStyle w:val="LOnormal"/>
              <w:pBdr/>
              <w:spacing w:lineRule="auto" w:line="240" w:before="0" w:after="0"/>
              <w:rPr>
                <w:rFonts w:ascii="Arial" w:hAnsi="Arial" w:eastAsia="Arial" w:cs="Arial"/>
                <w:b/>
                <w:b/>
                <w:color w:val="000000"/>
              </w:rPr>
            </w:pPr>
            <w:r>
              <w:rPr>
                <w:rFonts w:eastAsia="Arial" w:cs="Arial" w:ascii="Arial" w:hAnsi="Arial"/>
                <w:b/>
                <w:color w:val="000000"/>
              </w:rPr>
              <w:t xml:space="preserve">JE Reference </w:t>
            </w:r>
          </w:p>
        </w:tc>
        <w:tc>
          <w:tcPr>
            <w:tcW w:w="2118" w:type="dxa"/>
            <w:tcBorders>
              <w:top w:val="single" w:sz="4" w:space="0" w:color="000000"/>
              <w:left w:val="single" w:sz="4" w:space="0" w:color="000000"/>
              <w:bottom w:val="single" w:sz="4" w:space="0" w:color="000000"/>
              <w:right w:val="single" w:sz="4" w:space="0" w:color="000000"/>
            </w:tcBorders>
            <w:shd w:fill="F2F2F2" w:val="clear"/>
          </w:tcPr>
          <w:p>
            <w:pPr>
              <w:pStyle w:val="LOnormal"/>
              <w:pBdr/>
              <w:spacing w:lineRule="auto" w:line="240" w:before="0" w:after="0"/>
              <w:rPr>
                <w:rFonts w:ascii="Arial" w:hAnsi="Arial" w:eastAsia="Arial" w:cs="Arial"/>
                <w:color w:val="000000"/>
              </w:rPr>
            </w:pPr>
            <w:r>
              <w:rPr>
                <w:rFonts w:eastAsia="Arial" w:cs="Arial" w:ascii="Arial" w:hAnsi="Arial"/>
                <w:color w:val="000000"/>
              </w:rPr>
              <w:t>JE234</w:t>
            </w:r>
          </w:p>
        </w:tc>
      </w:tr>
      <w:tr>
        <w:trPr/>
        <w:tc>
          <w:tcPr>
            <w:tcW w:w="2688" w:type="dxa"/>
            <w:tcBorders>
              <w:top w:val="single" w:sz="4" w:space="0" w:color="000000"/>
              <w:left w:val="single" w:sz="4" w:space="0" w:color="000000"/>
              <w:bottom w:val="single" w:sz="4" w:space="0" w:color="000000"/>
            </w:tcBorders>
            <w:shd w:fill="F2F2F2" w:val="clear"/>
          </w:tcPr>
          <w:p>
            <w:pPr>
              <w:pStyle w:val="LOnormal"/>
              <w:pBdr/>
              <w:spacing w:lineRule="auto" w:line="240" w:before="0" w:after="0"/>
              <w:rPr>
                <w:rFonts w:ascii="Arial" w:hAnsi="Arial" w:eastAsia="Arial" w:cs="Arial"/>
                <w:b/>
                <w:b/>
                <w:color w:val="000000"/>
              </w:rPr>
            </w:pPr>
            <w:r>
              <w:rPr>
                <w:rFonts w:eastAsia="Arial" w:cs="Arial" w:ascii="Arial" w:hAnsi="Arial"/>
                <w:b/>
                <w:color w:val="000000"/>
              </w:rPr>
              <w:t>Base:</w:t>
            </w:r>
          </w:p>
        </w:tc>
        <w:tc>
          <w:tcPr>
            <w:tcW w:w="6337" w:type="dxa"/>
            <w:gridSpan w:val="5"/>
            <w:tcBorders>
              <w:top w:val="single" w:sz="4" w:space="0" w:color="000000"/>
              <w:left w:val="single" w:sz="4" w:space="0" w:color="000000"/>
              <w:bottom w:val="single" w:sz="4" w:space="0" w:color="000000"/>
              <w:right w:val="single" w:sz="4" w:space="0" w:color="000000"/>
            </w:tcBorders>
            <w:shd w:fill="F2F2F2" w:val="clear"/>
          </w:tcPr>
          <w:p>
            <w:pPr>
              <w:pStyle w:val="LOnormal"/>
              <w:pBdr/>
              <w:spacing w:lineRule="auto" w:line="240" w:before="0" w:after="0"/>
              <w:rPr>
                <w:rFonts w:ascii="Arial" w:hAnsi="Arial" w:eastAsia="Arial" w:cs="Arial"/>
                <w:color w:val="000000"/>
              </w:rPr>
            </w:pPr>
            <w:r>
              <w:rPr>
                <w:rFonts w:eastAsia="Arial" w:cs="Arial" w:ascii="Arial" w:hAnsi="Arial"/>
                <w:color w:val="000000"/>
              </w:rPr>
              <w:t xml:space="preserve">Academy </w:t>
            </w:r>
          </w:p>
        </w:tc>
      </w:tr>
      <w:tr>
        <w:trPr>
          <w:trHeight w:val="220" w:hRule="atLeast"/>
        </w:trPr>
        <w:tc>
          <w:tcPr>
            <w:tcW w:w="2688" w:type="dxa"/>
            <w:tcBorders>
              <w:top w:val="single" w:sz="4" w:space="0" w:color="000000"/>
              <w:left w:val="single" w:sz="4" w:space="0" w:color="000000"/>
              <w:bottom w:val="single" w:sz="4" w:space="0" w:color="000000"/>
            </w:tcBorders>
            <w:shd w:fill="F2F2F2" w:val="clear"/>
          </w:tcPr>
          <w:p>
            <w:pPr>
              <w:pStyle w:val="LOnormal"/>
              <w:pBdr/>
              <w:spacing w:lineRule="auto" w:line="240" w:before="0" w:after="0"/>
              <w:rPr>
                <w:rFonts w:ascii="Arial" w:hAnsi="Arial" w:eastAsia="Arial" w:cs="Arial"/>
                <w:b/>
                <w:b/>
                <w:color w:val="000000"/>
              </w:rPr>
            </w:pPr>
            <w:r>
              <w:rPr>
                <w:rFonts w:eastAsia="Arial" w:cs="Arial" w:ascii="Arial" w:hAnsi="Arial"/>
                <w:b/>
                <w:color w:val="000000"/>
              </w:rPr>
              <w:t>Reports to:</w:t>
            </w:r>
          </w:p>
        </w:tc>
        <w:tc>
          <w:tcPr>
            <w:tcW w:w="2409" w:type="dxa"/>
            <w:gridSpan w:val="2"/>
            <w:tcBorders>
              <w:top w:val="single" w:sz="4" w:space="0" w:color="000000"/>
              <w:left w:val="single" w:sz="4" w:space="0" w:color="000000"/>
              <w:bottom w:val="single" w:sz="4" w:space="0" w:color="000000"/>
            </w:tcBorders>
            <w:shd w:fill="F2F2F2" w:val="clear"/>
          </w:tcPr>
          <w:p>
            <w:pPr>
              <w:pStyle w:val="LOnormal"/>
              <w:pBdr/>
              <w:snapToGrid w:val="false"/>
              <w:spacing w:lineRule="auto" w:line="240" w:before="0" w:after="0"/>
              <w:rPr>
                <w:rFonts w:ascii="Arial" w:hAnsi="Arial" w:eastAsia="Arial" w:cs="Arial"/>
                <w:color w:val="000000"/>
              </w:rPr>
            </w:pPr>
            <w:r>
              <w:rPr>
                <w:rFonts w:eastAsia="Arial" w:cs="Arial" w:ascii="Arial" w:hAnsi="Arial"/>
                <w:color w:val="000000"/>
              </w:rPr>
            </w:r>
          </w:p>
        </w:tc>
        <w:tc>
          <w:tcPr>
            <w:tcW w:w="1134" w:type="dxa"/>
            <w:tcBorders>
              <w:top w:val="single" w:sz="4" w:space="0" w:color="000000"/>
              <w:left w:val="single" w:sz="4" w:space="0" w:color="000000"/>
              <w:bottom w:val="single" w:sz="4" w:space="0" w:color="000000"/>
            </w:tcBorders>
            <w:shd w:fill="F2F2F2" w:val="clear"/>
          </w:tcPr>
          <w:p>
            <w:pPr>
              <w:pStyle w:val="LOnormal"/>
              <w:pBdr/>
              <w:spacing w:lineRule="auto" w:line="240" w:before="0" w:after="0"/>
              <w:rPr>
                <w:rFonts w:ascii="Arial" w:hAnsi="Arial" w:eastAsia="Arial" w:cs="Arial"/>
                <w:b/>
                <w:b/>
                <w:color w:val="000000"/>
              </w:rPr>
            </w:pPr>
            <w:r>
              <w:rPr>
                <w:rFonts w:eastAsia="Arial" w:cs="Arial" w:ascii="Arial" w:hAnsi="Arial"/>
                <w:b/>
                <w:color w:val="000000"/>
              </w:rPr>
              <w:t>Grade:</w:t>
            </w:r>
          </w:p>
        </w:tc>
        <w:tc>
          <w:tcPr>
            <w:tcW w:w="2794"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pBdr/>
              <w:spacing w:lineRule="auto" w:line="240" w:before="0" w:after="0"/>
              <w:rPr>
                <w:rFonts w:ascii="Arial" w:hAnsi="Arial" w:eastAsia="Arial" w:cs="Arial"/>
                <w:color w:val="000000"/>
              </w:rPr>
            </w:pPr>
            <w:r>
              <w:rPr>
                <w:rFonts w:eastAsia="Arial" w:cs="Arial" w:ascii="Arial" w:hAnsi="Arial"/>
                <w:color w:val="000000"/>
              </w:rPr>
              <w:t>Grade 4</w:t>
            </w:r>
          </w:p>
          <w:p>
            <w:pPr>
              <w:pStyle w:val="LOnormal"/>
              <w:pBdr/>
              <w:spacing w:lineRule="auto" w:line="240" w:before="0" w:after="0"/>
              <w:rPr>
                <w:rFonts w:ascii="Arial" w:hAnsi="Arial" w:eastAsia="Arial" w:cs="Arial"/>
                <w:color w:val="000000"/>
              </w:rPr>
            </w:pPr>
            <w:r>
              <w:rPr>
                <w:rFonts w:eastAsia="Arial" w:cs="Arial" w:ascii="Arial" w:hAnsi="Arial"/>
                <w:color w:val="000000"/>
              </w:rPr>
              <w:t>SCP 10 – 12</w:t>
            </w:r>
          </w:p>
        </w:tc>
      </w:tr>
      <w:tr>
        <w:trPr/>
        <w:tc>
          <w:tcPr>
            <w:tcW w:w="2688" w:type="dxa"/>
            <w:tcBorders>
              <w:top w:val="single" w:sz="4" w:space="0" w:color="000000"/>
              <w:left w:val="single" w:sz="4" w:space="0" w:color="000000"/>
              <w:bottom w:val="single" w:sz="4" w:space="0" w:color="000000"/>
            </w:tcBorders>
            <w:shd w:fill="F2F2F2" w:val="clear"/>
          </w:tcPr>
          <w:p>
            <w:pPr>
              <w:pStyle w:val="LOnormal"/>
              <w:pBdr/>
              <w:spacing w:lineRule="auto" w:line="240" w:before="0" w:after="0"/>
              <w:rPr>
                <w:rFonts w:ascii="Arial" w:hAnsi="Arial" w:eastAsia="Arial" w:cs="Arial"/>
                <w:b/>
                <w:b/>
                <w:color w:val="000000"/>
              </w:rPr>
            </w:pPr>
            <w:r>
              <w:rPr>
                <w:rFonts w:eastAsia="Arial" w:cs="Arial" w:ascii="Arial" w:hAnsi="Arial"/>
                <w:b/>
                <w:color w:val="000000"/>
              </w:rPr>
              <w:t>Service responsibility:</w:t>
            </w:r>
          </w:p>
        </w:tc>
        <w:tc>
          <w:tcPr>
            <w:tcW w:w="2409" w:type="dxa"/>
            <w:gridSpan w:val="2"/>
            <w:tcBorders>
              <w:top w:val="single" w:sz="4" w:space="0" w:color="000000"/>
              <w:left w:val="single" w:sz="4" w:space="0" w:color="000000"/>
              <w:bottom w:val="single" w:sz="4" w:space="0" w:color="000000"/>
            </w:tcBorders>
            <w:shd w:fill="F2F2F2" w:val="clear"/>
          </w:tcPr>
          <w:p>
            <w:pPr>
              <w:pStyle w:val="LOnormal"/>
              <w:pBdr/>
              <w:snapToGrid w:val="false"/>
              <w:spacing w:lineRule="auto" w:line="240" w:before="0" w:after="0"/>
              <w:rPr>
                <w:rFonts w:ascii="Arial" w:hAnsi="Arial" w:eastAsia="Arial" w:cs="Arial"/>
                <w:color w:val="000000"/>
              </w:rPr>
            </w:pPr>
            <w:r>
              <w:rPr>
                <w:rFonts w:eastAsia="Arial" w:cs="Arial" w:ascii="Arial" w:hAnsi="Arial"/>
                <w:color w:val="000000"/>
              </w:rPr>
            </w:r>
          </w:p>
        </w:tc>
        <w:tc>
          <w:tcPr>
            <w:tcW w:w="1134" w:type="dxa"/>
            <w:tcBorders>
              <w:top w:val="single" w:sz="4" w:space="0" w:color="000000"/>
              <w:left w:val="single" w:sz="4" w:space="0" w:color="000000"/>
              <w:bottom w:val="single" w:sz="4" w:space="0" w:color="000000"/>
            </w:tcBorders>
            <w:shd w:fill="F2F2F2" w:val="clear"/>
          </w:tcPr>
          <w:p>
            <w:pPr>
              <w:pStyle w:val="LOnormal"/>
              <w:pBdr/>
              <w:spacing w:lineRule="auto" w:line="240" w:before="0" w:after="0"/>
              <w:rPr>
                <w:rFonts w:ascii="Arial" w:hAnsi="Arial" w:eastAsia="Arial" w:cs="Arial"/>
                <w:b/>
                <w:b/>
                <w:color w:val="000000"/>
              </w:rPr>
            </w:pPr>
            <w:r>
              <w:rPr>
                <w:rFonts w:eastAsia="Arial" w:cs="Arial" w:ascii="Arial" w:hAnsi="Arial"/>
                <w:b/>
                <w:color w:val="000000"/>
              </w:rPr>
              <w:t>Salary:</w:t>
            </w:r>
          </w:p>
        </w:tc>
        <w:tc>
          <w:tcPr>
            <w:tcW w:w="2794"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spacing w:lineRule="auto" w:line="240" w:before="0" w:after="0"/>
              <w:rPr/>
            </w:pPr>
            <w:bookmarkStart w:id="0" w:name="_heading=h.gjdgxs"/>
            <w:bookmarkEnd w:id="0"/>
            <w:r>
              <w:rPr>
                <w:rFonts w:eastAsia="Arial" w:cs="Arial" w:ascii="Arial" w:hAnsi="Arial"/>
                <w:color w:val="000000"/>
              </w:rPr>
              <w:t>£2</w:t>
            </w:r>
            <w:r>
              <w:rPr>
                <w:rFonts w:eastAsia="Arial" w:cs="Arial" w:ascii="Arial" w:hAnsi="Arial"/>
              </w:rPr>
              <w:t>7</w:t>
            </w:r>
            <w:r>
              <w:rPr>
                <w:rFonts w:eastAsia="Arial" w:cs="Arial" w:ascii="Arial" w:hAnsi="Arial"/>
                <w:color w:val="000000"/>
              </w:rPr>
              <w:t>,</w:t>
            </w:r>
            <w:r>
              <w:rPr>
                <w:rFonts w:eastAsia="Arial" w:cs="Arial" w:ascii="Arial" w:hAnsi="Arial"/>
              </w:rPr>
              <w:t>694</w:t>
            </w:r>
            <w:r>
              <w:rPr>
                <w:rFonts w:eastAsia="Arial" w:cs="Arial" w:ascii="Arial" w:hAnsi="Arial"/>
                <w:color w:val="000000"/>
              </w:rPr>
              <w:t>.00 - £2</w:t>
            </w:r>
            <w:r>
              <w:rPr>
                <w:rFonts w:eastAsia="Arial" w:cs="Arial" w:ascii="Arial" w:hAnsi="Arial"/>
              </w:rPr>
              <w:t>8</w:t>
            </w:r>
            <w:r>
              <w:rPr>
                <w:rFonts w:eastAsia="Arial" w:cs="Arial" w:ascii="Arial" w:hAnsi="Arial"/>
                <w:color w:val="000000"/>
              </w:rPr>
              <w:t>,</w:t>
            </w:r>
            <w:r>
              <w:rPr>
                <w:rFonts w:eastAsia="Arial" w:cs="Arial" w:ascii="Arial" w:hAnsi="Arial"/>
              </w:rPr>
              <w:t>598</w:t>
            </w:r>
            <w:r>
              <w:rPr>
                <w:rFonts w:eastAsia="Arial" w:cs="Arial" w:ascii="Arial" w:hAnsi="Arial"/>
                <w:color w:val="000000"/>
              </w:rPr>
              <w:t xml:space="preserve">.00 (FTE, Salary to be pro rata) </w:t>
            </w:r>
          </w:p>
          <w:p>
            <w:pPr>
              <w:pStyle w:val="LOnormal"/>
              <w:spacing w:lineRule="auto" w:line="240" w:before="0" w:after="0"/>
              <w:rPr>
                <w:rFonts w:ascii="Arial" w:hAnsi="Arial" w:eastAsia="Arial" w:cs="Arial"/>
                <w:color w:val="000000"/>
              </w:rPr>
            </w:pPr>
            <w:bookmarkStart w:id="1" w:name="_heading=h.jyscdbas3405"/>
            <w:bookmarkEnd w:id="1"/>
            <w:r>
              <w:rPr>
                <w:rFonts w:eastAsia="Arial" w:cs="Arial" w:ascii="Arial" w:hAnsi="Arial"/>
                <w:color w:val="000000"/>
              </w:rPr>
              <w:t>[Delete as appropriate]</w:t>
            </w:r>
          </w:p>
        </w:tc>
      </w:tr>
      <w:tr>
        <w:trPr/>
        <w:tc>
          <w:tcPr>
            <w:tcW w:w="2688" w:type="dxa"/>
            <w:tcBorders>
              <w:top w:val="single" w:sz="4" w:space="0" w:color="000000"/>
              <w:left w:val="single" w:sz="4" w:space="0" w:color="000000"/>
              <w:bottom w:val="single" w:sz="4" w:space="0" w:color="000000"/>
            </w:tcBorders>
            <w:shd w:fill="F2F2F2" w:val="clear"/>
          </w:tcPr>
          <w:p>
            <w:pPr>
              <w:pStyle w:val="LOnormal"/>
              <w:pBdr/>
              <w:spacing w:lineRule="auto" w:line="240" w:before="0" w:after="0"/>
              <w:rPr>
                <w:rFonts w:ascii="Arial" w:hAnsi="Arial" w:eastAsia="Arial" w:cs="Arial"/>
                <w:b/>
                <w:b/>
                <w:color w:val="000000"/>
              </w:rPr>
            </w:pPr>
            <w:r>
              <w:rPr>
                <w:rFonts w:eastAsia="Arial" w:cs="Arial" w:ascii="Arial" w:hAnsi="Arial"/>
                <w:b/>
                <w:color w:val="000000"/>
              </w:rPr>
              <w:t>Additional:</w:t>
            </w:r>
          </w:p>
        </w:tc>
        <w:tc>
          <w:tcPr>
            <w:tcW w:w="2409" w:type="dxa"/>
            <w:gridSpan w:val="2"/>
            <w:tcBorders>
              <w:top w:val="single" w:sz="4" w:space="0" w:color="000000"/>
              <w:left w:val="single" w:sz="4" w:space="0" w:color="000000"/>
              <w:bottom w:val="single" w:sz="4" w:space="0" w:color="000000"/>
            </w:tcBorders>
            <w:shd w:fill="F2F2F2" w:val="clear"/>
          </w:tcPr>
          <w:p>
            <w:pPr>
              <w:pStyle w:val="LOnormal"/>
              <w:pBdr/>
              <w:snapToGrid w:val="false"/>
              <w:spacing w:lineRule="auto" w:line="240" w:before="0" w:after="0"/>
              <w:rPr>
                <w:rFonts w:ascii="Arial" w:hAnsi="Arial" w:eastAsia="Arial" w:cs="Arial"/>
                <w:color w:val="000000"/>
              </w:rPr>
            </w:pPr>
            <w:r>
              <w:rPr>
                <w:rFonts w:eastAsia="Arial" w:cs="Arial" w:ascii="Arial" w:hAnsi="Arial"/>
                <w:color w:val="000000"/>
              </w:rPr>
            </w:r>
          </w:p>
        </w:tc>
        <w:tc>
          <w:tcPr>
            <w:tcW w:w="1134" w:type="dxa"/>
            <w:tcBorders>
              <w:top w:val="single" w:sz="4" w:space="0" w:color="000000"/>
              <w:left w:val="single" w:sz="4" w:space="0" w:color="000000"/>
              <w:bottom w:val="single" w:sz="4" w:space="0" w:color="000000"/>
            </w:tcBorders>
            <w:shd w:fill="F2F2F2" w:val="clear"/>
          </w:tcPr>
          <w:p>
            <w:pPr>
              <w:pStyle w:val="LOnormal"/>
              <w:pBdr/>
              <w:spacing w:lineRule="auto" w:line="240" w:before="0" w:after="0"/>
              <w:rPr>
                <w:rFonts w:ascii="Arial" w:hAnsi="Arial" w:eastAsia="Arial" w:cs="Arial"/>
                <w:b/>
                <w:b/>
                <w:color w:val="000000"/>
              </w:rPr>
            </w:pPr>
            <w:r>
              <w:rPr>
                <w:rFonts w:eastAsia="Arial" w:cs="Arial" w:ascii="Arial" w:hAnsi="Arial"/>
                <w:b/>
                <w:color w:val="000000"/>
              </w:rPr>
              <w:t>Term:</w:t>
            </w:r>
          </w:p>
        </w:tc>
        <w:tc>
          <w:tcPr>
            <w:tcW w:w="2794" w:type="dxa"/>
            <w:gridSpan w:val="2"/>
            <w:tcBorders>
              <w:top w:val="single" w:sz="4" w:space="0" w:color="000000"/>
              <w:left w:val="single" w:sz="4" w:space="0" w:color="000000"/>
              <w:bottom w:val="single" w:sz="4" w:space="0" w:color="000000"/>
              <w:right w:val="single" w:sz="4" w:space="0" w:color="000000"/>
            </w:tcBorders>
            <w:shd w:fill="F2F2F2" w:val="clear"/>
          </w:tcPr>
          <w:p>
            <w:pPr>
              <w:pStyle w:val="LOnormal"/>
              <w:pBdr/>
              <w:spacing w:lineRule="auto" w:line="240" w:before="0" w:after="0"/>
              <w:rPr>
                <w:rFonts w:ascii="Arial" w:hAnsi="Arial" w:eastAsia="Arial" w:cs="Arial"/>
                <w:color w:val="000000"/>
              </w:rPr>
            </w:pPr>
            <w:r>
              <w:rPr>
                <w:rFonts w:eastAsia="Arial" w:cs="Arial" w:ascii="Arial" w:hAnsi="Arial"/>
                <w:color w:val="000000"/>
              </w:rPr>
              <w:t>35 hours, 39 weeks</w:t>
            </w:r>
          </w:p>
        </w:tc>
      </w:tr>
    </w:tbl>
    <w:p>
      <w:pPr>
        <w:pStyle w:val="LOnormal"/>
        <w:pBdr/>
        <w:spacing w:lineRule="auto" w:line="240" w:before="0" w:after="0"/>
        <w:jc w:val="center"/>
        <w:rPr>
          <w:rFonts w:ascii="Arial" w:hAnsi="Arial" w:eastAsia="Arial" w:cs="Arial"/>
          <w:b/>
          <w:b/>
          <w:color w:val="000000"/>
        </w:rPr>
      </w:pPr>
      <w:r>
        <w:rPr>
          <w:rFonts w:eastAsia="Arial" w:cs="Arial" w:ascii="Arial" w:hAnsi="Arial"/>
          <w:b/>
          <w:color w:val="000000"/>
        </w:rPr>
      </w:r>
    </w:p>
    <w:p>
      <w:pPr>
        <w:pStyle w:val="LOnormal"/>
        <w:pBdr/>
        <w:spacing w:lineRule="auto" w:line="240" w:before="0" w:after="0"/>
        <w:rPr>
          <w:rFonts w:ascii="Arial" w:hAnsi="Arial" w:eastAsia="Arial" w:cs="Arial"/>
          <w:b/>
          <w:b/>
          <w:color w:val="000000"/>
        </w:rPr>
      </w:pPr>
      <w:r>
        <w:rPr>
          <w:rFonts w:eastAsia="Arial" w:cs="Arial" w:ascii="Arial" w:hAnsi="Arial"/>
          <w:b/>
          <w:color w:val="000000"/>
        </w:rPr>
        <w:t>JOB PURPOSE</w:t>
      </w:r>
    </w:p>
    <w:p>
      <w:pPr>
        <w:pStyle w:val="LOnormal"/>
        <w:numPr>
          <w:ilvl w:val="0"/>
          <w:numId w:val="4"/>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work as part of the academy/department to support interventions with students who require additional mentoring to achieve GCSE</w:t>
      </w:r>
    </w:p>
    <w:p>
      <w:pPr>
        <w:pStyle w:val="LOnormal"/>
        <w:numPr>
          <w:ilvl w:val="0"/>
          <w:numId w:val="4"/>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work with other small groups and individual students across Key Stage 3 and 4 as required</w:t>
      </w:r>
    </w:p>
    <w:p>
      <w:pPr>
        <w:pStyle w:val="LOnormal"/>
        <w:numPr>
          <w:ilvl w:val="0"/>
          <w:numId w:val="4"/>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promote the learning and welfare of students by providing practical and learning support to students, including those with special needs under the direction of a class teacher/Inclusion Manager</w:t>
      </w:r>
    </w:p>
    <w:p>
      <w:pPr>
        <w:pStyle w:val="LOnormal"/>
        <w:pBdr/>
        <w:spacing w:lineRule="auto" w:line="240" w:before="0" w:after="0"/>
        <w:jc w:val="both"/>
        <w:rPr>
          <w:rFonts w:ascii="Arial" w:hAnsi="Arial" w:eastAsia="Arial" w:cs="Arial"/>
          <w:b/>
          <w:b/>
          <w:color w:val="000000"/>
        </w:rPr>
      </w:pPr>
      <w:r>
        <w:rPr>
          <w:rFonts w:eastAsia="Arial" w:cs="Arial" w:ascii="Arial" w:hAnsi="Arial"/>
          <w:b/>
          <w:color w:val="000000"/>
        </w:rPr>
      </w:r>
    </w:p>
    <w:p>
      <w:pPr>
        <w:pStyle w:val="LOnormal"/>
        <w:pBdr/>
        <w:spacing w:lineRule="auto" w:line="240" w:before="0" w:after="0"/>
        <w:jc w:val="both"/>
        <w:rPr>
          <w:rFonts w:ascii="Arial" w:hAnsi="Arial" w:eastAsia="Arial" w:cs="Arial"/>
          <w:b/>
          <w:b/>
          <w:color w:val="000000"/>
        </w:rPr>
      </w:pPr>
      <w:r>
        <w:rPr>
          <w:rFonts w:eastAsia="Arial" w:cs="Arial" w:ascii="Arial" w:hAnsi="Arial"/>
          <w:b/>
          <w:color w:val="000000"/>
        </w:rPr>
        <w:t>JOB SUMMARY</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Deliver intervention programs to individuals and small groups, preparing relevant and appropriate learning experiences in conjunction with the academy/department staff, enabling them to achieve maximum access and participation in the National Curriculum</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Discuss reasons for underperformance with students, through interview</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Assist in the development of suitable intervention material and keep a log on students who undertake intervention, providing assistance on the recording and reporting procedures</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work under the direction of the class teacher and to assist in the planning, monitoring and evaluation of the student’s learning ensuring that progress is clearly recorded and related to the learning objectives for that student</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Liaise regularly with the head of department and teachers, informing them of progress and providing relevant feedback.</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Help students to further develop literacy skills. To help students develop their language and reasoning skills and to assist students in the organisation, preparation and display of set assignment tasks</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establish productive working relationships with students, acting as a role model and setting high expectations</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Support the expectations for learning system to ensure high standards of student behaviour</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Under the direction of the teacher, to assist in maximising the use of ICT in the learning process</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Contribute to the formulation of measures that are directly connected to student achievement, in partnership with parents and under the direction of the relevant professionals</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aid the student to learn as effectively as possible both in-group situations and individually by:</w:t>
      </w:r>
    </w:p>
    <w:p>
      <w:pPr>
        <w:pStyle w:val="LOnormal"/>
        <w:numPr>
          <w:ilvl w:val="0"/>
          <w:numId w:val="5"/>
        </w:numPr>
        <w:pBdr/>
        <w:spacing w:lineRule="auto" w:line="240" w:before="0" w:after="0"/>
        <w:ind w:left="1080" w:right="0" w:hanging="360"/>
        <w:jc w:val="both"/>
        <w:rPr>
          <w:rFonts w:ascii="Arial" w:hAnsi="Arial" w:eastAsia="Arial" w:cs="Arial"/>
          <w:color w:val="000000"/>
        </w:rPr>
      </w:pPr>
      <w:r>
        <w:rPr>
          <w:rFonts w:eastAsia="Arial" w:cs="Arial" w:ascii="Arial" w:hAnsi="Arial"/>
          <w:color w:val="000000"/>
        </w:rPr>
        <w:t>Clarifying and explaining instructions</w:t>
      </w:r>
    </w:p>
    <w:p>
      <w:pPr>
        <w:pStyle w:val="LOnormal"/>
        <w:numPr>
          <w:ilvl w:val="0"/>
          <w:numId w:val="5"/>
        </w:numPr>
        <w:pBdr/>
        <w:spacing w:lineRule="auto" w:line="240" w:before="0" w:after="0"/>
        <w:ind w:left="1080" w:right="0" w:hanging="360"/>
        <w:jc w:val="both"/>
        <w:rPr>
          <w:rFonts w:ascii="Arial" w:hAnsi="Arial" w:eastAsia="Arial" w:cs="Arial"/>
          <w:color w:val="000000"/>
        </w:rPr>
      </w:pPr>
      <w:r>
        <w:rPr>
          <w:rFonts w:eastAsia="Arial" w:cs="Arial" w:ascii="Arial" w:hAnsi="Arial"/>
          <w:color w:val="000000"/>
        </w:rPr>
        <w:t>Ensuring the child is able to use equipment and materials provided</w:t>
      </w:r>
    </w:p>
    <w:p>
      <w:pPr>
        <w:pStyle w:val="LOnormal"/>
        <w:numPr>
          <w:ilvl w:val="0"/>
          <w:numId w:val="5"/>
        </w:numPr>
        <w:pBdr/>
        <w:spacing w:lineRule="auto" w:line="240" w:before="0" w:after="0"/>
        <w:ind w:left="1080" w:right="0" w:hanging="360"/>
        <w:jc w:val="both"/>
        <w:rPr>
          <w:rFonts w:ascii="Arial" w:hAnsi="Arial" w:eastAsia="Arial" w:cs="Arial"/>
          <w:color w:val="000000"/>
        </w:rPr>
      </w:pPr>
      <w:r>
        <w:rPr>
          <w:rFonts w:eastAsia="Arial" w:cs="Arial" w:ascii="Arial" w:hAnsi="Arial"/>
          <w:color w:val="000000"/>
        </w:rPr>
        <w:t>Motivating and encouraging the student as required</w:t>
      </w:r>
    </w:p>
    <w:p>
      <w:pPr>
        <w:pStyle w:val="LOnormal"/>
        <w:numPr>
          <w:ilvl w:val="0"/>
          <w:numId w:val="5"/>
        </w:numPr>
        <w:pBdr/>
        <w:spacing w:lineRule="auto" w:line="240" w:before="0" w:after="0"/>
        <w:ind w:left="1080" w:right="0" w:hanging="360"/>
        <w:jc w:val="both"/>
        <w:rPr>
          <w:rFonts w:ascii="Arial" w:hAnsi="Arial" w:eastAsia="Arial" w:cs="Arial"/>
          <w:color w:val="000000"/>
        </w:rPr>
      </w:pPr>
      <w:r>
        <w:rPr>
          <w:rFonts w:eastAsia="Arial" w:cs="Arial" w:ascii="Arial" w:hAnsi="Arial"/>
          <w:color w:val="000000"/>
        </w:rPr>
        <w:t>Helping students to concentrate on and finish work</w:t>
      </w:r>
    </w:p>
    <w:p>
      <w:pPr>
        <w:pStyle w:val="LOnormal"/>
        <w:numPr>
          <w:ilvl w:val="0"/>
          <w:numId w:val="5"/>
        </w:numPr>
        <w:pBdr/>
        <w:spacing w:lineRule="auto" w:line="240" w:before="0" w:after="0"/>
        <w:ind w:left="1080" w:right="0" w:hanging="360"/>
        <w:jc w:val="both"/>
        <w:rPr>
          <w:rFonts w:ascii="Arial" w:hAnsi="Arial" w:eastAsia="Arial" w:cs="Arial"/>
          <w:color w:val="000000"/>
        </w:rPr>
      </w:pPr>
      <w:r>
        <w:rPr>
          <w:rFonts w:eastAsia="Arial" w:cs="Arial" w:ascii="Arial" w:hAnsi="Arial"/>
          <w:color w:val="000000"/>
        </w:rPr>
        <w:t>Liaising with subject teachers about individual learning plans (ILP)</w:t>
      </w:r>
    </w:p>
    <w:p>
      <w:pPr>
        <w:pStyle w:val="LOnormal"/>
        <w:numPr>
          <w:ilvl w:val="0"/>
          <w:numId w:val="5"/>
        </w:numPr>
        <w:pBdr/>
        <w:spacing w:lineRule="auto" w:line="240" w:before="0" w:after="0"/>
        <w:ind w:left="1080" w:right="0" w:hanging="360"/>
        <w:jc w:val="both"/>
        <w:rPr>
          <w:rFonts w:ascii="Arial" w:hAnsi="Arial" w:eastAsia="Arial" w:cs="Arial"/>
          <w:color w:val="000000"/>
        </w:rPr>
      </w:pPr>
      <w:r>
        <w:rPr>
          <w:rFonts w:eastAsia="Arial" w:cs="Arial" w:ascii="Arial" w:hAnsi="Arial"/>
          <w:color w:val="000000"/>
        </w:rPr>
        <w:t>Developing appropriate resources to support the children if required</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encourage acceptance and inclusion of the student with special needs</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develop methods of promoting/reinforcing the child’s self-esteem</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assist in the development of a suitable programme of support (ILP) for students who need learning support</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supervise whole classes occasionally during short-term absences of teachers</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Liaise sensitively and effectively with parents/carers as agreed with the teacher within your role/responsibility and participate in feedback sessions/meetings with parents or as directed</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Play an appropriate part in child protection procedures, such as relating relevant factual information and recording/reporting disclosures to the designated teacher/relevant professional</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comply with academy/trust policies and procedures at all times</w:t>
      </w:r>
    </w:p>
    <w:p>
      <w:pPr>
        <w:pStyle w:val="LOnormal"/>
        <w:numPr>
          <w:ilvl w:val="0"/>
          <w:numId w:val="3"/>
        </w:numPr>
        <w:pBdr/>
        <w:spacing w:lineRule="auto" w:line="240" w:before="0" w:after="0"/>
        <w:ind w:left="720" w:right="0" w:hanging="360"/>
        <w:jc w:val="both"/>
        <w:rPr>
          <w:rFonts w:ascii="Arial" w:hAnsi="Arial" w:eastAsia="Arial" w:cs="Arial"/>
          <w:color w:val="000000"/>
        </w:rPr>
      </w:pPr>
      <w:r>
        <w:rPr>
          <w:rFonts w:eastAsia="Arial" w:cs="Arial" w:ascii="Arial" w:hAnsi="Arial"/>
          <w:color w:val="000000"/>
        </w:rPr>
        <w:t>To participate in wider academy meetings and working groups as required.</w:t>
      </w:r>
    </w:p>
    <w:p>
      <w:pPr>
        <w:pStyle w:val="LOnormal"/>
        <w:pBdr/>
        <w:spacing w:lineRule="auto" w:line="240" w:before="0" w:after="0"/>
        <w:ind w:left="720" w:right="0" w:hanging="0"/>
        <w:jc w:val="both"/>
        <w:rPr>
          <w:rFonts w:ascii="Arial" w:hAnsi="Arial" w:eastAsia="Arial" w:cs="Arial"/>
          <w:color w:val="000000"/>
        </w:rPr>
      </w:pPr>
      <w:r>
        <w:rPr>
          <w:rFonts w:eastAsia="Arial" w:cs="Arial" w:ascii="Arial" w:hAnsi="Arial"/>
          <w:color w:val="000000"/>
        </w:rPr>
      </w:r>
    </w:p>
    <w:p>
      <w:pPr>
        <w:pStyle w:val="LOnormal"/>
        <w:pBdr/>
        <w:spacing w:lineRule="auto" w:line="240" w:before="0" w:after="0"/>
        <w:rPr>
          <w:rFonts w:ascii="Arial" w:hAnsi="Arial" w:eastAsia="Arial" w:cs="Arial"/>
          <w:b/>
          <w:b/>
          <w:color w:val="000000"/>
        </w:rPr>
      </w:pPr>
      <w:r>
        <w:rPr>
          <w:rFonts w:eastAsia="Arial" w:cs="Arial" w:ascii="Arial" w:hAnsi="Arial"/>
          <w:b/>
          <w:color w:val="000000"/>
        </w:rPr>
        <w:t>GDPR</w:t>
      </w:r>
    </w:p>
    <w:p>
      <w:pPr>
        <w:pStyle w:val="LOnormal"/>
        <w:numPr>
          <w:ilvl w:val="0"/>
          <w:numId w:val="2"/>
        </w:numPr>
        <w:pBdr/>
        <w:spacing w:lineRule="auto" w:line="276" w:before="0" w:after="0"/>
        <w:ind w:left="720" w:right="0" w:hanging="360"/>
        <w:rPr>
          <w:rFonts w:ascii="Arial" w:hAnsi="Arial" w:eastAsia="Arial" w:cs="Arial"/>
          <w:color w:val="000000"/>
        </w:rPr>
      </w:pPr>
      <w:r>
        <w:rPr>
          <w:rFonts w:eastAsia="Arial" w:cs="Arial" w:ascii="Arial" w:hAnsi="Arial"/>
          <w:color w:val="000000"/>
        </w:rPr>
        <w:t>To adhere to GDPR and Data Protection Regulations, whilst maintaining confidentiality</w:t>
      </w:r>
    </w:p>
    <w:p>
      <w:pPr>
        <w:pStyle w:val="LOnormal"/>
        <w:widowControl w:val="false"/>
        <w:numPr>
          <w:ilvl w:val="0"/>
          <w:numId w:val="2"/>
        </w:numPr>
        <w:pBdr/>
        <w:tabs>
          <w:tab w:val="clear" w:pos="720"/>
          <w:tab w:val="left" w:pos="220" w:leader="none"/>
          <w:tab w:val="left" w:pos="360" w:leader="none"/>
        </w:tabs>
        <w:spacing w:lineRule="auto" w:line="240" w:before="0" w:after="0"/>
        <w:ind w:left="720" w:right="0" w:hanging="360"/>
        <w:rPr>
          <w:rFonts w:ascii="Arial" w:hAnsi="Arial" w:eastAsia="Arial" w:cs="Arial"/>
          <w:color w:val="000000"/>
        </w:rPr>
      </w:pPr>
      <w:r>
        <w:rPr>
          <w:rFonts w:eastAsia="Arial" w:cs="Arial" w:ascii="Arial" w:hAnsi="Arial"/>
          <w:color w:val="000000"/>
        </w:rPr>
        <w:t>This role wholly or mainly involves working with children</w:t>
      </w:r>
    </w:p>
    <w:p>
      <w:pPr>
        <w:pStyle w:val="LOnormal"/>
        <w:pBdr/>
        <w:shd w:fill="FFFFFF" w:val="clear"/>
        <w:spacing w:lineRule="auto" w:line="240" w:before="0" w:after="0"/>
        <w:ind w:left="644" w:right="0" w:hanging="0"/>
        <w:rPr>
          <w:rFonts w:ascii="Arial" w:hAnsi="Arial" w:eastAsia="Arial" w:cs="Arial"/>
          <w:color w:val="222222"/>
        </w:rPr>
      </w:pPr>
      <w:r>
        <w:rPr>
          <w:rFonts w:eastAsia="Arial" w:cs="Arial" w:ascii="Arial" w:hAnsi="Arial"/>
          <w:color w:val="222222"/>
        </w:rPr>
      </w:r>
    </w:p>
    <w:p>
      <w:pPr>
        <w:pStyle w:val="LOnormal"/>
        <w:pBdr/>
        <w:spacing w:lineRule="auto" w:line="240" w:before="0" w:after="0"/>
        <w:rPr>
          <w:rFonts w:ascii="Arial" w:hAnsi="Arial" w:eastAsia="Arial" w:cs="Arial"/>
          <w:b/>
          <w:b/>
          <w:color w:val="000000"/>
        </w:rPr>
      </w:pPr>
      <w:bookmarkStart w:id="2" w:name="_heading=h.30j0zll"/>
      <w:bookmarkEnd w:id="2"/>
      <w:r>
        <w:rPr>
          <w:rFonts w:eastAsia="Arial" w:cs="Arial" w:ascii="Arial" w:hAnsi="Arial"/>
          <w:b/>
          <w:color w:val="000000"/>
        </w:rPr>
        <w:t>Safeguarding</w:t>
      </w:r>
    </w:p>
    <w:p>
      <w:pPr>
        <w:pStyle w:val="LOnormal"/>
        <w:numPr>
          <w:ilvl w:val="0"/>
          <w:numId w:val="6"/>
        </w:numPr>
        <w:pBdr/>
        <w:ind w:left="720" w:right="0" w:hanging="360"/>
        <w:rPr>
          <w:rFonts w:ascii="Arial" w:hAnsi="Arial" w:eastAsia="Arial" w:cs="Arial"/>
          <w:color w:val="000000"/>
        </w:rPr>
      </w:pPr>
      <w:r>
        <w:rPr>
          <w:rFonts w:eastAsia="Arial" w:cs="Arial" w:ascii="Arial" w:hAnsi="Arial"/>
          <w:color w:val="000000"/>
        </w:rPr>
        <w:t xml:space="preserve">To follow all safeguarding and child protection policies and procedures. </w:t>
      </w:r>
    </w:p>
    <w:p>
      <w:pPr>
        <w:pStyle w:val="LOnormal"/>
        <w:spacing w:lineRule="auto" w:line="240" w:before="0" w:after="0"/>
        <w:rPr>
          <w:rFonts w:ascii="Arial" w:hAnsi="Arial" w:eastAsia="Arial" w:cs="Arial"/>
        </w:rPr>
      </w:pPr>
      <w:r>
        <w:rPr>
          <w:rFonts w:eastAsia="Arial" w:cs="Arial" w:ascii="Arial" w:hAnsi="Arial"/>
        </w:rPr>
      </w:r>
    </w:p>
    <w:p>
      <w:pPr>
        <w:pStyle w:val="LOnormal"/>
        <w:pBdr/>
        <w:spacing w:lineRule="auto" w:line="240" w:before="0" w:after="0"/>
        <w:jc w:val="both"/>
        <w:rPr>
          <w:rFonts w:ascii="Arial" w:hAnsi="Arial" w:eastAsia="Arial" w:cs="Arial"/>
          <w:color w:val="000000"/>
        </w:rPr>
      </w:pPr>
      <w:r>
        <w:rPr>
          <w:rFonts w:eastAsia="Arial" w:cs="Arial" w:ascii="Arial" w:hAnsi="Arial"/>
          <w:color w:val="00000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pPr>
        <w:pStyle w:val="LOnormal"/>
        <w:pBdr/>
        <w:spacing w:lineRule="auto" w:line="240" w:before="0" w:after="0"/>
        <w:jc w:val="both"/>
        <w:rPr>
          <w:rFonts w:ascii="Arial" w:hAnsi="Arial" w:eastAsia="Arial" w:cs="Arial"/>
          <w:color w:val="000000"/>
        </w:rPr>
      </w:pPr>
      <w:r>
        <w:rPr>
          <w:rFonts w:eastAsia="Arial" w:cs="Arial" w:ascii="Arial" w:hAnsi="Arial"/>
          <w:color w:val="000000"/>
        </w:rPr>
      </w:r>
    </w:p>
    <w:p>
      <w:pPr>
        <w:pStyle w:val="LOnormal"/>
        <w:rPr>
          <w:rFonts w:ascii="Arial" w:hAnsi="Arial" w:eastAsia="Arial" w:cs="Arial"/>
        </w:rPr>
      </w:pPr>
      <w:r>
        <w:rPr>
          <w:rFonts w:eastAsia="Arial" w:cs="Arial" w:ascii="Arial" w:hAnsi="Arial"/>
        </w:rPr>
        <w:t>NET is committed to safeguarding and promoting the welfare of children and young people. We expect all staff to share this commitment and to undergo appropriate checks, including an enhanced DBS check.</w:t>
      </w:r>
    </w:p>
    <w:p>
      <w:pPr>
        <w:pStyle w:val="LOnormal"/>
        <w:pBdr/>
        <w:spacing w:lineRule="auto" w:line="240" w:before="0" w:after="0"/>
        <w:rPr>
          <w:rFonts w:ascii="Arial" w:hAnsi="Arial" w:eastAsia="Arial" w:cs="Arial"/>
          <w:color w:val="000000"/>
        </w:rPr>
      </w:pPr>
      <w:r>
        <w:rPr>
          <w:rFonts w:eastAsia="Arial" w:cs="Arial" w:ascii="Arial" w:hAnsi="Arial"/>
          <w:color w:val="000000"/>
        </w:rPr>
      </w:r>
    </w:p>
    <w:p>
      <w:pPr>
        <w:pStyle w:val="LOnormal"/>
        <w:pBdr/>
        <w:spacing w:lineRule="auto" w:line="240" w:before="0" w:after="0"/>
        <w:rPr>
          <w:rFonts w:ascii="Arial" w:hAnsi="Arial" w:eastAsia="Arial" w:cs="Arial"/>
          <w:color w:val="000000"/>
        </w:rPr>
      </w:pPr>
      <w:r>
        <w:rPr>
          <w:rFonts w:eastAsia="Arial" w:cs="Arial" w:ascii="Arial" w:hAnsi="Arial"/>
          <w:color w:val="000000"/>
        </w:rPr>
        <w:t>Signed: ……………………………………</w:t>
        <w:tab/>
        <w:tab/>
        <w:t>Date: ……………………………….</w:t>
      </w:r>
    </w:p>
    <w:p>
      <w:pPr>
        <w:pStyle w:val="LOnormal"/>
        <w:rPr/>
      </w:pPr>
      <w:r>
        <w:rPr/>
      </w:r>
    </w:p>
    <w:p>
      <w:pPr>
        <w:pStyle w:val="LOnormal"/>
        <w:widowControl/>
        <w:bidi w:val="0"/>
        <w:spacing w:lineRule="auto" w:line="256" w:before="0" w:after="160"/>
        <w:jc w:val="left"/>
        <w:rPr/>
      </w:pPr>
      <w:r>
        <w:rPr/>
      </w:r>
    </w:p>
    <w:sectPr>
      <w:footerReference w:type="default" r:id="rId3"/>
      <w:type w:val="nextPage"/>
      <w:pgSz w:w="11906" w:h="16838"/>
      <w:pgMar w:left="1440" w:right="1440" w:header="0" w:top="1026" w:footer="708" w:bottom="1196" w:gutter="0"/>
      <w:pgNumType w:start="32"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oto Sans Symbols">
    <w:charset w:val="01"/>
    <w:family w:val="auto"/>
    <w:pitch w:val="default"/>
  </w:font>
  <w:font w:name="Courier New">
    <w:charset w:val="01"/>
    <w:family w:val="modern"/>
    <w:pitch w:val="default"/>
  </w:font>
  <w:font w:name="Segoe UI">
    <w:charset w:val="00"/>
    <w:family w:val="roman"/>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pBdr/>
      <w:tabs>
        <w:tab w:val="clear" w:pos="720"/>
        <w:tab w:val="center" w:pos="4513" w:leader="none"/>
        <w:tab w:val="right" w:pos="9026" w:leader="none"/>
      </w:tabs>
      <w:spacing w:lineRule="auto" w:line="240" w:before="0" w:after="0"/>
      <w:jc w:val="right"/>
      <w:rPr>
        <w:color w:val="000000"/>
      </w:rPr>
    </w:pPr>
    <w:r>
      <w:rPr/>
      <w:fldChar w:fldCharType="begin"/>
    </w:r>
    <w:r>
      <w:rPr/>
      <w:instrText> PAGE </w:instrText>
    </w:r>
    <w:r>
      <w:rPr/>
      <w:fldChar w:fldCharType="separate"/>
    </w:r>
    <w:r>
      <w:rPr/>
      <w:t>33</w:t>
    </w:r>
    <w:r>
      <w:rPr/>
      <w:fldChar w:fldCharType="end"/>
    </w:r>
  </w:p>
  <w:p>
    <w:pPr>
      <w:pStyle w:val="LOnormal"/>
      <w:pBdr/>
      <w:tabs>
        <w:tab w:val="clear" w:pos="720"/>
        <w:tab w:val="center" w:pos="4513" w:leader="none"/>
        <w:tab w:val="right" w:pos="9026" w:leader="none"/>
      </w:tabs>
      <w:spacing w:lineRule="auto" w:line="240" w:before="0" w:after="0"/>
      <w:ind w:left="0" w:right="360" w:hanging="0"/>
      <w:rPr>
        <w:color w:val="000000"/>
      </w:rPr>
    </w:pPr>
    <w:r>
      <w:rPr>
        <w:color w:val="00000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hAnsi="Noto Sans Symbols" w:cs="Noto Sans Symbols" w:hint="default"/>
        <w:rFonts w:cs="Noto Sans Symbol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Noto Sans Symbols" w:hAnsi="Noto Sans Symbols" w:cs="Noto Sans Symbols" w:hint="default"/>
        <w:rFonts w:cs="Noto Sans Symbols"/>
      </w:rPr>
    </w:lvl>
    <w:lvl w:ilvl="3">
      <w:start w:val="1"/>
      <w:numFmt w:val="bullet"/>
      <w:lvlText w:val="●"/>
      <w:lvlJc w:val="left"/>
      <w:pPr>
        <w:ind w:left="2880" w:hanging="360"/>
      </w:pPr>
      <w:rPr>
        <w:rFonts w:ascii="Noto Sans Symbols" w:hAnsi="Noto Sans Symbols" w:cs="Noto Sans Symbols" w:hint="default"/>
        <w:rFonts w:cs="Noto Sans Symbol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Noto Sans Symbols" w:hAnsi="Noto Sans Symbols" w:cs="Noto Sans Symbols" w:hint="default"/>
        <w:rFonts w:cs="Noto Sans Symbols"/>
      </w:rPr>
    </w:lvl>
    <w:lvl w:ilvl="6">
      <w:start w:val="1"/>
      <w:numFmt w:val="bullet"/>
      <w:lvlText w:val="●"/>
      <w:lvlJc w:val="left"/>
      <w:pPr>
        <w:ind w:left="5040" w:hanging="360"/>
      </w:pPr>
      <w:rPr>
        <w:rFonts w:ascii="Noto Sans Symbols" w:hAnsi="Noto Sans Symbols" w:cs="Noto Sans Symbols" w:hint="default"/>
        <w:rFonts w:cs="Noto Sans Symbol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Noto Sans Symbols" w:hAnsi="Noto Sans Symbols" w:cs="Noto Sans Symbols" w:hint="default"/>
        <w:rFonts w:cs="Noto Sans Symbols"/>
      </w:rPr>
    </w:lvl>
  </w:abstractNum>
  <w:abstractNum w:abstractNumId="5">
    <w:lvl w:ilvl="0">
      <w:start w:val="1"/>
      <w:numFmt w:val="bullet"/>
      <w:lvlText w:val="●"/>
      <w:lvlJc w:val="left"/>
      <w:pPr>
        <w:ind w:left="1080" w:hanging="360"/>
      </w:pPr>
      <w:rPr>
        <w:rFonts w:ascii="Noto Sans Symbols" w:hAnsi="Noto Sans Symbols" w:cs="Noto Sans Symbols" w:hint="default"/>
        <w:rFonts w:cs="Noto Sans Symbols"/>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Noto Sans Symbols" w:hAnsi="Noto Sans Symbols" w:cs="Noto Sans Symbols" w:hint="default"/>
        <w:rFonts w:cs="Noto Sans Symbols"/>
      </w:rPr>
    </w:lvl>
    <w:lvl w:ilvl="3">
      <w:start w:val="1"/>
      <w:numFmt w:val="bullet"/>
      <w:lvlText w:val="●"/>
      <w:lvlJc w:val="left"/>
      <w:pPr>
        <w:ind w:left="3240" w:hanging="360"/>
      </w:pPr>
      <w:rPr>
        <w:rFonts w:ascii="Noto Sans Symbols" w:hAnsi="Noto Sans Symbols" w:cs="Noto Sans Symbols" w:hint="default"/>
        <w:rFonts w:cs="Noto Sans Symbols"/>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Noto Sans Symbols" w:hAnsi="Noto Sans Symbols" w:cs="Noto Sans Symbols" w:hint="default"/>
        <w:rFonts w:cs="Noto Sans Symbols"/>
      </w:rPr>
    </w:lvl>
    <w:lvl w:ilvl="6">
      <w:start w:val="1"/>
      <w:numFmt w:val="bullet"/>
      <w:lvlText w:val="●"/>
      <w:lvlJc w:val="left"/>
      <w:pPr>
        <w:ind w:left="5400" w:hanging="360"/>
      </w:pPr>
      <w:rPr>
        <w:rFonts w:ascii="Noto Sans Symbols" w:hAnsi="Noto Sans Symbols" w:cs="Noto Sans Symbols" w:hint="default"/>
        <w:rFonts w:cs="Noto Sans Symbols"/>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Noto Sans Symbols" w:hAnsi="Noto Sans Symbols" w:cs="Noto Sans Symbols" w:hint="default"/>
        <w:rFonts w:cs="Noto Sans Symbols"/>
      </w:rPr>
    </w:lvl>
  </w:abstractNum>
  <w:abstractNum w:abstractNumId="6">
    <w:lvl w:ilvl="0">
      <w:start w:val="1"/>
      <w:numFmt w:val="decimal"/>
      <w:lvlText w:val="%1."/>
      <w:lvlJc w:val="left"/>
      <w:pPr>
        <w:ind w:left="720" w:hanging="360"/>
      </w:pPr>
      <w:rPr>
        <w:b w:val="false"/>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zh-CN" w:bidi="hi-IN"/>
    </w:rPr>
  </w:style>
  <w:style w:type="paragraph" w:styleId="Heading1">
    <w:name w:val="Heading 1"/>
    <w:basedOn w:val="LOnormal"/>
    <w:next w:val="LOnormal"/>
    <w:qFormat/>
    <w:pPr>
      <w:keepNext w:val="true"/>
      <w:keepLines/>
      <w:numPr>
        <w:ilvl w:val="0"/>
        <w:numId w:val="1"/>
      </w:numPr>
      <w:spacing w:before="480" w:after="120"/>
      <w:outlineLvl w:val="0"/>
    </w:pPr>
    <w:rPr>
      <w:b/>
      <w:sz w:val="48"/>
      <w:szCs w:val="48"/>
    </w:rPr>
  </w:style>
  <w:style w:type="paragraph" w:styleId="Heading2">
    <w:name w:val="Heading 2"/>
    <w:basedOn w:val="LOnormal"/>
    <w:next w:val="LOnormal"/>
    <w:qFormat/>
    <w:pPr>
      <w:keepNext w:val="true"/>
      <w:keepLines/>
      <w:numPr>
        <w:ilvl w:val="1"/>
        <w:numId w:val="1"/>
      </w:numPr>
      <w:spacing w:before="360" w:after="80"/>
      <w:outlineLvl w:val="1"/>
    </w:pPr>
    <w:rPr>
      <w:b/>
      <w:sz w:val="36"/>
      <w:szCs w:val="36"/>
    </w:rPr>
  </w:style>
  <w:style w:type="paragraph" w:styleId="Heading3">
    <w:name w:val="Heading 3"/>
    <w:basedOn w:val="LOnormal"/>
    <w:next w:val="LOnormal"/>
    <w:qFormat/>
    <w:pPr>
      <w:keepNext w:val="true"/>
      <w:keepLines/>
      <w:numPr>
        <w:ilvl w:val="2"/>
        <w:numId w:val="1"/>
      </w:numPr>
      <w:spacing w:before="280" w:after="80"/>
      <w:outlineLvl w:val="2"/>
    </w:pPr>
    <w:rPr>
      <w:b/>
      <w:sz w:val="28"/>
      <w:szCs w:val="28"/>
    </w:rPr>
  </w:style>
  <w:style w:type="paragraph" w:styleId="Heading4">
    <w:name w:val="Heading 4"/>
    <w:basedOn w:val="LOnormal"/>
    <w:next w:val="LOnormal"/>
    <w:qFormat/>
    <w:pPr>
      <w:keepNext w:val="true"/>
      <w:keepLines/>
      <w:numPr>
        <w:ilvl w:val="3"/>
        <w:numId w:val="1"/>
      </w:numPr>
      <w:spacing w:before="240" w:after="40"/>
      <w:outlineLvl w:val="3"/>
    </w:pPr>
    <w:rPr>
      <w:b/>
      <w:sz w:val="24"/>
      <w:szCs w:val="24"/>
    </w:rPr>
  </w:style>
  <w:style w:type="paragraph" w:styleId="Heading5">
    <w:name w:val="Heading 5"/>
    <w:basedOn w:val="LOnormal"/>
    <w:next w:val="LOnormal"/>
    <w:qFormat/>
    <w:pPr>
      <w:keepNext w:val="true"/>
      <w:keepLines/>
      <w:numPr>
        <w:ilvl w:val="4"/>
        <w:numId w:val="1"/>
      </w:numPr>
      <w:spacing w:before="220" w:after="40"/>
      <w:outlineLvl w:val="4"/>
    </w:pPr>
    <w:rPr>
      <w:b/>
    </w:rPr>
  </w:style>
  <w:style w:type="paragraph" w:styleId="Heading6">
    <w:name w:val="Heading 6"/>
    <w:basedOn w:val="LOnormal"/>
    <w:next w:val="LOnormal"/>
    <w:qFormat/>
    <w:pPr>
      <w:keepNext w:val="true"/>
      <w:keepLines/>
      <w:numPr>
        <w:ilvl w:val="5"/>
        <w:numId w:val="1"/>
      </w:numPr>
      <w:spacing w:before="200" w:after="40"/>
      <w:outlineLvl w:val="5"/>
    </w:pPr>
    <w:rPr>
      <w:b/>
      <w:sz w:val="20"/>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Noto Sans Symbols" w:hAnsi="Noto Sans Symbols" w:cs="Noto Sans Symbols"/>
    </w:rPr>
  </w:style>
  <w:style w:type="character" w:styleId="WW8Num3z1">
    <w:name w:val="WW8Num3z1"/>
    <w:qFormat/>
    <w:rPr>
      <w:rFonts w:ascii="Courier New" w:hAnsi="Courier New" w:cs="Courier New"/>
    </w:rPr>
  </w:style>
  <w:style w:type="character" w:styleId="WW8Num4z0">
    <w:name w:val="WW8Num4z0"/>
    <w:qFormat/>
    <w:rPr>
      <w:rFonts w:ascii="Noto Sans Symbols" w:hAnsi="Noto Sans Symbols" w:cs="Noto Sans Symbols"/>
    </w:rPr>
  </w:style>
  <w:style w:type="character" w:styleId="WW8Num4z1">
    <w:name w:val="WW8Num4z1"/>
    <w:qFormat/>
    <w:rPr>
      <w:rFonts w:ascii="Courier New" w:hAnsi="Courier New" w:cs="Courier New"/>
    </w:rPr>
  </w:style>
  <w:style w:type="character" w:styleId="WW8Num5z0">
    <w:name w:val="WW8Num5z0"/>
    <w:qFormat/>
    <w:rPr>
      <w:rFonts w:ascii="Arial" w:hAnsi="Arial" w:cs="Arial"/>
      <w:b w:val="false"/>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FooterChar">
    <w:name w:val="Footer Char"/>
    <w:basedOn w:val="DefaultParagraphFont"/>
    <w:qFormat/>
    <w:rPr>
      <w:sz w:val="22"/>
      <w:szCs w:val="22"/>
      <w:lang w:val="en-GB"/>
    </w:rPr>
  </w:style>
  <w:style w:type="character" w:styleId="Pagenumber">
    <w:name w:val="page number"/>
    <w:basedOn w:val="DefaultParagraphFont"/>
    <w:qFormat/>
    <w:rPr/>
  </w:style>
  <w:style w:type="character" w:styleId="BalloonTextChar">
    <w:name w:val="Balloon Text Char"/>
    <w:basedOn w:val="DefaultParagraphFont"/>
    <w:qFormat/>
    <w:rPr>
      <w:rFonts w:ascii="Segoe UI" w:hAnsi="Segoe UI" w:cs="Segoe UI"/>
      <w:sz w:val="18"/>
      <w:szCs w:val="18"/>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Onormal">
    <w:name w:val="LO-normal"/>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zh-CN" w:bidi="hi-IN"/>
    </w:rPr>
  </w:style>
  <w:style w:type="paragraph" w:styleId="Title">
    <w:name w:val="Title"/>
    <w:basedOn w:val="LOnormal"/>
    <w:next w:val="LOnormal"/>
    <w:qFormat/>
    <w:pPr>
      <w:keepNext w:val="true"/>
      <w:keepLines/>
      <w:spacing w:before="480" w:after="120"/>
    </w:pPr>
    <w:rPr>
      <w:b/>
      <w:sz w:val="72"/>
      <w:szCs w:val="72"/>
    </w:rPr>
  </w:style>
  <w:style w:type="paragraph" w:styleId="NoSpacing">
    <w:name w:val="No Spacing"/>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zh-CN" w:bidi="hi-IN"/>
    </w:rPr>
  </w:style>
  <w:style w:type="paragraph" w:styleId="ListParagraph">
    <w:name w:val="List Paragraph"/>
    <w:basedOn w:val="LOnormal"/>
    <w:qFormat/>
    <w:pPr>
      <w:spacing w:before="0" w:after="160"/>
      <w:ind w:left="720" w:right="0" w:hanging="0"/>
      <w:contextualSpacing/>
    </w:pPr>
    <w:rPr/>
  </w:style>
  <w:style w:type="paragraph" w:styleId="HeaderandFooter">
    <w:name w:val="Header and Footer"/>
    <w:basedOn w:val="Normal"/>
    <w:qFormat/>
    <w:pPr/>
    <w:rPr/>
  </w:style>
  <w:style w:type="paragraph" w:styleId="Footer">
    <w:name w:val="Footer"/>
    <w:basedOn w:val="LOnormal"/>
    <w:pPr>
      <w:tabs>
        <w:tab w:val="clear" w:pos="720"/>
        <w:tab w:val="center" w:pos="4513" w:leader="none"/>
        <w:tab w:val="right" w:pos="9026" w:leader="none"/>
      </w:tabs>
      <w:spacing w:lineRule="auto" w:line="240" w:before="0" w:after="0"/>
    </w:pPr>
    <w:rPr/>
  </w:style>
  <w:style w:type="paragraph" w:styleId="BalloonText">
    <w:name w:val="Balloon Text"/>
    <w:basedOn w:val="LOnormal"/>
    <w:qFormat/>
    <w:pPr>
      <w:spacing w:lineRule="auto" w:line="240" w:before="0" w:after="0"/>
    </w:pPr>
    <w:rPr>
      <w:rFonts w:ascii="Segoe UI" w:hAnsi="Segoe UI" w:cs="Segoe UI"/>
      <w:sz w:val="18"/>
      <w:szCs w:val="18"/>
    </w:rPr>
  </w:style>
  <w:style w:type="paragraph" w:styleId="Subtitle">
    <w:name w:val="Subtitle"/>
    <w:basedOn w:val="LOnormal"/>
    <w:next w:val="LOnormal"/>
    <w:qFormat/>
    <w:pPr>
      <w:keepNext w:val="true"/>
      <w:keepLines/>
      <w:spacing w:lineRule="auto" w:line="240" w:before="360" w:after="80"/>
    </w:pPr>
    <w:rPr>
      <w:rFonts w:ascii="Georgia" w:hAnsi="Georgia" w:eastAsia="Georgia" w:cs="Georgia"/>
      <w:i/>
      <w:color w:val="666666"/>
      <w:sz w:val="48"/>
      <w:szCs w:val="48"/>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2024-10-29T13:34:00Z</dcterms:created>
  <dc:creator>Rose, Katie</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