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360" w:type="dxa"/>
        <w:jc w:val="left"/>
        <w:tblInd w:w="0"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4"/>
                <w:szCs w:val="24"/>
              </w:rPr>
            </w:pPr>
            <w:r>
              <w:rPr>
                <w:b/>
                <w:sz w:val="24"/>
                <w:szCs w:val="24"/>
              </w:rPr>
              <w:t xml:space="preserve">Job Title: Secondary Cover Supervisor  (SEND Schools) </w:t>
            </w:r>
          </w:p>
          <w:p>
            <w:pPr>
              <w:pStyle w:val="Normal"/>
              <w:spacing w:lineRule="auto" w:line="240" w:before="0" w:after="0"/>
              <w:rPr>
                <w:sz w:val="24"/>
                <w:szCs w:val="24"/>
              </w:rPr>
            </w:pPr>
            <w:r>
              <w:rPr>
                <w:sz w:val="24"/>
                <w:szCs w:val="24"/>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sz w:val="24"/>
                <w:szCs w:val="24"/>
              </w:rPr>
              <w:t xml:space="preserve">Directly responsible to: </w:t>
            </w:r>
            <w:r>
              <w:rPr>
                <w:sz w:val="24"/>
                <w:szCs w:val="24"/>
              </w:rPr>
              <w:t>CEO / Executive Headteachers / Headteachers</w:t>
            </w:r>
          </w:p>
          <w:p>
            <w:pPr>
              <w:pStyle w:val="Normal"/>
              <w:spacing w:lineRule="auto" w:line="240" w:before="0" w:after="0"/>
              <w:rPr>
                <w:b/>
                <w:b/>
                <w:sz w:val="24"/>
                <w:szCs w:val="24"/>
              </w:rPr>
            </w:pPr>
            <w:r>
              <w:rPr>
                <w:b/>
                <w:sz w:val="24"/>
                <w:szCs w:val="24"/>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alibri"/>
                <w:b/>
                <w:sz w:val="24"/>
                <w:szCs w:val="24"/>
              </w:rPr>
              <w:t>Directly responsible for:</w:t>
            </w:r>
            <w:r>
              <w:rPr>
                <w:rFonts w:cs="Comic Sans MS" w:ascii="Comic Sans MS" w:hAnsi="Comic Sans MS"/>
                <w:sz w:val="18"/>
                <w:szCs w:val="18"/>
              </w:rPr>
              <w:t xml:space="preserve"> </w:t>
            </w:r>
            <w:r>
              <w:rPr/>
              <w:t xml:space="preserve">Supervising whole classes during the short-term absence of the class teacher across any of the Trust schools. This involves delivering pre-prepared lessons, maintaining a purposeful learning environment, and ensuring that pupils continue to make progress. On occasion, some small elements of planning or preparation may be required. Cover to be provided at our SEND schools, Oakwood Academy, Acer Academy or Arbour Academy. </w:t>
            </w:r>
            <w:bookmarkStart w:id="0" w:name="_GoBack"/>
            <w:bookmarkEnd w:id="0"/>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sz w:val="24"/>
                <w:szCs w:val="24"/>
              </w:rPr>
              <w:t xml:space="preserve">Hours of Duty: </w:t>
            </w:r>
            <w:r>
              <w:rPr>
                <w:b/>
                <w:bCs/>
                <w:sz w:val="24"/>
                <w:szCs w:val="24"/>
              </w:rPr>
              <w:t>Salary</w:t>
            </w:r>
            <w:r>
              <w:rPr>
                <w:sz w:val="24"/>
                <w:szCs w:val="24"/>
              </w:rPr>
              <w:t>: Range 29-32 £35,081 - £37,644 actual salary 36 hours - term time only</w:t>
            </w:r>
          </w:p>
        </w:tc>
      </w:tr>
    </w:tbl>
    <w:p>
      <w:pPr>
        <w:pStyle w:val="Normal"/>
        <w:rPr>
          <w:b/>
          <w:b/>
          <w:color w:val="FF0000"/>
          <w:sz w:val="24"/>
          <w:szCs w:val="24"/>
        </w:rPr>
      </w:pPr>
      <w:r>
        <w:rPr>
          <w:b/>
          <w:color w:val="FF0000"/>
          <w:sz w:val="24"/>
          <w:szCs w:val="24"/>
        </w:rPr>
      </w:r>
    </w:p>
    <w:p>
      <w:pPr>
        <w:pStyle w:val="Normal"/>
        <w:jc w:val="center"/>
        <w:rPr>
          <w:b/>
          <w:b/>
          <w:color w:val="FF0000"/>
          <w:sz w:val="24"/>
          <w:szCs w:val="24"/>
        </w:rPr>
      </w:pPr>
      <w:r>
        <w:rPr>
          <w:b/>
          <w:color w:val="FF0000"/>
          <w:sz w:val="24"/>
          <w:szCs w:val="24"/>
        </w:rPr>
      </w:r>
    </w:p>
    <w:p>
      <w:pPr>
        <w:pStyle w:val="Normal"/>
        <w:spacing w:lineRule="auto" w:line="240" w:before="280" w:after="280"/>
        <w:rPr>
          <w:rFonts w:eastAsia="Times New Roman" w:cs="Calibri"/>
          <w:b/>
          <w:b/>
          <w:lang w:val="en-GB" w:eastAsia="en-GB"/>
        </w:rPr>
      </w:pPr>
      <w:r>
        <w:rPr>
          <w:rFonts w:eastAsia="Times New Roman" w:cs="Calibri"/>
          <w:b/>
          <w:lang w:val="en-GB" w:eastAsia="en-GB"/>
        </w:rPr>
      </w:r>
    </w:p>
    <w:p>
      <w:pPr>
        <w:pStyle w:val="Normal"/>
        <w:spacing w:lineRule="auto" w:line="240" w:before="280" w:after="280"/>
        <w:rPr>
          <w:rFonts w:eastAsia="Times New Roman" w:cs="Calibri"/>
          <w:lang w:val="en-GB" w:eastAsia="en-GB"/>
        </w:rPr>
      </w:pPr>
      <w:r>
        <w:rPr>
          <w:rFonts w:eastAsia="Times New Roman" w:cs="Calibri"/>
          <w:lang w:val="en-GB" w:eastAsia="en-GB"/>
        </w:rPr>
        <w:t>Support for Pupils</w:t>
      </w:r>
    </w:p>
    <w:p>
      <w:pPr>
        <w:pStyle w:val="Normal"/>
        <w:numPr>
          <w:ilvl w:val="0"/>
          <w:numId w:val="1"/>
        </w:numPr>
        <w:spacing w:lineRule="auto" w:line="240" w:before="280" w:after="0"/>
        <w:rPr>
          <w:rFonts w:eastAsia="Times New Roman" w:cs="Calibri"/>
          <w:lang w:val="en-GB" w:eastAsia="en-GB"/>
        </w:rPr>
      </w:pPr>
      <w:r>
        <w:rPr>
          <w:rFonts w:eastAsia="Times New Roman" w:cs="Calibri"/>
          <w:lang w:val="en-GB" w:eastAsia="en-GB"/>
        </w:rPr>
        <w:t>Establish productive working relationships with pupils, acting as a positive role model.</w:t>
      </w:r>
    </w:p>
    <w:p>
      <w:pPr>
        <w:pStyle w:val="Normal"/>
        <w:numPr>
          <w:ilvl w:val="0"/>
          <w:numId w:val="1"/>
        </w:numPr>
        <w:spacing w:lineRule="auto" w:line="240" w:before="0" w:after="0"/>
        <w:rPr>
          <w:rFonts w:eastAsia="Times New Roman" w:cs="Calibri"/>
          <w:lang w:val="en-GB" w:eastAsia="en-GB"/>
        </w:rPr>
      </w:pPr>
      <w:r>
        <w:rPr>
          <w:rFonts w:eastAsia="Times New Roman" w:cs="Calibri"/>
          <w:lang w:val="en-GB" w:eastAsia="en-GB"/>
        </w:rPr>
        <w:t>Promote the inclusion and acceptance of all pupils across the Trust.</w:t>
      </w:r>
    </w:p>
    <w:p>
      <w:pPr>
        <w:pStyle w:val="Normal"/>
        <w:numPr>
          <w:ilvl w:val="0"/>
          <w:numId w:val="1"/>
        </w:numPr>
        <w:spacing w:lineRule="auto" w:line="240" w:before="0" w:after="0"/>
        <w:rPr>
          <w:rFonts w:eastAsia="Times New Roman" w:cs="Calibri"/>
          <w:lang w:val="en-GB" w:eastAsia="en-GB"/>
        </w:rPr>
      </w:pPr>
      <w:r>
        <w:rPr>
          <w:rFonts w:eastAsia="Times New Roman" w:cs="Calibri"/>
          <w:lang w:val="en-GB" w:eastAsia="en-GB"/>
        </w:rPr>
        <w:t>Manage behaviour constructively, promoting self-control and positive attitudes to learning.</w:t>
      </w:r>
    </w:p>
    <w:p>
      <w:pPr>
        <w:pStyle w:val="Normal"/>
        <w:numPr>
          <w:ilvl w:val="0"/>
          <w:numId w:val="1"/>
        </w:numPr>
        <w:spacing w:lineRule="auto" w:line="240" w:before="0" w:after="280"/>
        <w:rPr>
          <w:rFonts w:eastAsia="Times New Roman" w:cs="Calibri"/>
          <w:lang w:val="en-GB" w:eastAsia="en-GB"/>
        </w:rPr>
      </w:pPr>
      <w:r>
        <w:rPr>
          <w:rFonts w:eastAsia="Times New Roman" w:cs="Calibri"/>
          <w:lang w:val="en-GB" w:eastAsia="en-GB"/>
        </w:rPr>
        <w:t>Provide feedback to pupils on progress and encourage them to take responsibility for their learning.</w:t>
      </w:r>
    </w:p>
    <w:p>
      <w:pPr>
        <w:pStyle w:val="Normal"/>
        <w:spacing w:lineRule="auto" w:line="240" w:before="280" w:after="280"/>
        <w:rPr>
          <w:rFonts w:eastAsia="Times New Roman" w:cs="Calibri"/>
          <w:lang w:val="en-GB" w:eastAsia="en-GB"/>
        </w:rPr>
      </w:pPr>
      <w:r>
        <w:rPr>
          <w:rFonts w:eastAsia="Times New Roman" w:cs="Calibri"/>
          <w:lang w:val="en-GB" w:eastAsia="en-GB"/>
        </w:rPr>
        <w:t>Support for Learning</w:t>
      </w:r>
    </w:p>
    <w:p>
      <w:pPr>
        <w:pStyle w:val="Normal"/>
        <w:numPr>
          <w:ilvl w:val="0"/>
          <w:numId w:val="2"/>
        </w:numPr>
        <w:spacing w:lineRule="auto" w:line="240" w:before="280" w:after="0"/>
        <w:rPr>
          <w:rFonts w:eastAsia="Times New Roman" w:cs="Calibri"/>
          <w:lang w:val="en-GB" w:eastAsia="en-GB"/>
        </w:rPr>
      </w:pPr>
      <w:r>
        <w:rPr>
          <w:rFonts w:eastAsia="Times New Roman" w:cs="Calibri"/>
          <w:lang w:val="en-GB" w:eastAsia="en-GB"/>
        </w:rPr>
        <w:t>Supervise and deliver lessons as set by the class teacher or department lead.</w:t>
      </w:r>
    </w:p>
    <w:p>
      <w:pPr>
        <w:pStyle w:val="Normal"/>
        <w:numPr>
          <w:ilvl w:val="0"/>
          <w:numId w:val="2"/>
        </w:numPr>
        <w:spacing w:lineRule="auto" w:line="240" w:before="0" w:after="0"/>
        <w:rPr>
          <w:rFonts w:eastAsia="Times New Roman" w:cs="Calibri"/>
          <w:lang w:val="en-GB" w:eastAsia="en-GB"/>
        </w:rPr>
      </w:pPr>
      <w:r>
        <w:rPr>
          <w:rFonts w:eastAsia="Times New Roman" w:cs="Calibri"/>
          <w:lang w:val="en-GB" w:eastAsia="en-GB"/>
        </w:rPr>
        <w:t>Ensure that pupils remain on task with their learning and follow the agreed lesson plan.</w:t>
      </w:r>
    </w:p>
    <w:p>
      <w:pPr>
        <w:pStyle w:val="Normal"/>
        <w:numPr>
          <w:ilvl w:val="0"/>
          <w:numId w:val="2"/>
        </w:numPr>
        <w:spacing w:lineRule="auto" w:line="240" w:before="0" w:after="0"/>
        <w:rPr>
          <w:rFonts w:eastAsia="Times New Roman" w:cs="Calibri"/>
          <w:lang w:val="en-GB" w:eastAsia="en-GB"/>
        </w:rPr>
      </w:pPr>
      <w:r>
        <w:rPr>
          <w:rFonts w:eastAsia="Times New Roman" w:cs="Calibri"/>
          <w:lang w:val="en-GB" w:eastAsia="en-GB"/>
        </w:rPr>
        <w:t>Where required, adapt or make small planning adjustments to meet pupil needs.</w:t>
      </w:r>
    </w:p>
    <w:p>
      <w:pPr>
        <w:pStyle w:val="Normal"/>
        <w:numPr>
          <w:ilvl w:val="0"/>
          <w:numId w:val="2"/>
        </w:numPr>
        <w:spacing w:lineRule="auto" w:line="240" w:before="0" w:after="0"/>
        <w:rPr>
          <w:rFonts w:eastAsia="Times New Roman" w:cs="Calibri"/>
          <w:lang w:val="en-GB" w:eastAsia="en-GB"/>
        </w:rPr>
      </w:pPr>
      <w:r>
        <w:rPr>
          <w:rFonts w:eastAsia="Times New Roman" w:cs="Calibri"/>
          <w:lang w:val="en-GB" w:eastAsia="en-GB"/>
        </w:rPr>
        <w:t>Use ICT and other resources effectively to support learning.</w:t>
      </w:r>
    </w:p>
    <w:p>
      <w:pPr>
        <w:pStyle w:val="Normal"/>
        <w:numPr>
          <w:ilvl w:val="0"/>
          <w:numId w:val="2"/>
        </w:numPr>
        <w:spacing w:lineRule="auto" w:line="240" w:before="0" w:after="280"/>
        <w:rPr>
          <w:rFonts w:eastAsia="Times New Roman" w:cs="Calibri"/>
          <w:lang w:val="en-GB" w:eastAsia="en-GB"/>
        </w:rPr>
      </w:pPr>
      <w:r>
        <w:rPr>
          <w:rFonts w:eastAsia="Times New Roman" w:cs="Calibri"/>
          <w:lang w:val="en-GB" w:eastAsia="en-GB"/>
        </w:rPr>
        <w:t>Monitor and report on pupil engagement and progress to the relevant teacher or curriculum lead.</w:t>
      </w:r>
    </w:p>
    <w:p>
      <w:pPr>
        <w:pStyle w:val="Normal"/>
        <w:spacing w:lineRule="auto" w:line="240" w:before="280" w:after="280"/>
        <w:rPr>
          <w:rFonts w:eastAsia="Times New Roman" w:cs="Calibri"/>
          <w:lang w:val="en-GB" w:eastAsia="en-GB"/>
        </w:rPr>
      </w:pPr>
      <w:r>
        <w:rPr>
          <w:rFonts w:eastAsia="Times New Roman" w:cs="Calibri"/>
          <w:lang w:val="en-GB" w:eastAsia="en-GB"/>
        </w:rPr>
        <w:t>Support for the School</w:t>
      </w:r>
    </w:p>
    <w:p>
      <w:pPr>
        <w:pStyle w:val="Normal"/>
        <w:numPr>
          <w:ilvl w:val="0"/>
          <w:numId w:val="3"/>
        </w:numPr>
        <w:spacing w:lineRule="auto" w:line="240" w:before="280" w:after="0"/>
        <w:rPr>
          <w:rFonts w:eastAsia="Times New Roman" w:cs="Calibri"/>
          <w:lang w:val="en-GB" w:eastAsia="en-GB"/>
        </w:rPr>
      </w:pPr>
      <w:r>
        <w:rPr>
          <w:rFonts w:eastAsia="Times New Roman" w:cs="Calibri"/>
          <w:lang w:val="en-GB" w:eastAsia="en-GB"/>
        </w:rPr>
        <w:t>Work flexibly across all Trust schools as directed, providing cover when and where required.</w:t>
      </w:r>
    </w:p>
    <w:p>
      <w:pPr>
        <w:pStyle w:val="Normal"/>
        <w:numPr>
          <w:ilvl w:val="0"/>
          <w:numId w:val="3"/>
        </w:numPr>
        <w:spacing w:lineRule="auto" w:line="240" w:before="0" w:after="0"/>
        <w:rPr>
          <w:rFonts w:eastAsia="Times New Roman" w:cs="Calibri"/>
          <w:lang w:val="en-GB" w:eastAsia="en-GB"/>
        </w:rPr>
      </w:pPr>
      <w:r>
        <w:rPr>
          <w:rFonts w:eastAsia="Times New Roman" w:cs="Calibri"/>
          <w:lang w:val="en-GB" w:eastAsia="en-GB"/>
        </w:rPr>
        <w:t>Contribute to the overall ethos, aims, and values of the Trust.</w:t>
      </w:r>
    </w:p>
    <w:p>
      <w:pPr>
        <w:pStyle w:val="Normal"/>
        <w:numPr>
          <w:ilvl w:val="0"/>
          <w:numId w:val="3"/>
        </w:numPr>
        <w:spacing w:lineRule="auto" w:line="240" w:before="0" w:after="0"/>
        <w:rPr>
          <w:rFonts w:eastAsia="Times New Roman" w:cs="Calibri"/>
          <w:lang w:val="en-GB" w:eastAsia="en-GB"/>
        </w:rPr>
      </w:pPr>
      <w:r>
        <w:rPr>
          <w:rFonts w:eastAsia="Times New Roman" w:cs="Calibri"/>
          <w:lang w:val="en-GB" w:eastAsia="en-GB"/>
        </w:rPr>
        <w:t>Be aware of and comply with policies relating to child protection, safeguarding, health and safety, behaviour, and confidentiality.</w:t>
      </w:r>
    </w:p>
    <w:p>
      <w:pPr>
        <w:pStyle w:val="Normal"/>
        <w:numPr>
          <w:ilvl w:val="0"/>
          <w:numId w:val="3"/>
        </w:numPr>
        <w:spacing w:lineRule="auto" w:line="240" w:before="0" w:after="0"/>
        <w:rPr>
          <w:rFonts w:eastAsia="Times New Roman" w:cs="Calibri"/>
          <w:lang w:val="en-GB" w:eastAsia="en-GB"/>
        </w:rPr>
      </w:pPr>
      <w:r>
        <w:rPr>
          <w:rFonts w:eastAsia="Times New Roman" w:cs="Calibri"/>
          <w:lang w:val="en-GB" w:eastAsia="en-GB"/>
        </w:rPr>
        <w:t>Build constructive relationships with staff, pupils, and parents/carers.</w:t>
      </w:r>
    </w:p>
    <w:p>
      <w:pPr>
        <w:pStyle w:val="Normal"/>
        <w:numPr>
          <w:ilvl w:val="0"/>
          <w:numId w:val="3"/>
        </w:numPr>
        <w:spacing w:lineRule="auto" w:line="240" w:before="0" w:after="280"/>
        <w:rPr>
          <w:rFonts w:eastAsia="Times New Roman" w:cs="Calibri"/>
          <w:lang w:val="en-GB" w:eastAsia="en-GB"/>
        </w:rPr>
      </w:pPr>
      <w:r>
        <w:rPr>
          <w:rFonts w:eastAsia="Times New Roman" w:cs="Calibri"/>
          <w:lang w:val="en-GB" w:eastAsia="en-GB"/>
        </w:rPr>
        <w:t>Supervise pupils on visits, trips, or out-of-school activities where required.</w:t>
      </w:r>
    </w:p>
    <w:p>
      <w:pPr>
        <w:pStyle w:val="Normal"/>
        <w:spacing w:lineRule="auto" w:line="240" w:before="280" w:after="280"/>
        <w:rPr>
          <w:rFonts w:eastAsia="Times New Roman" w:cs="Calibri"/>
          <w:lang w:val="en-GB" w:eastAsia="en-GB"/>
        </w:rPr>
      </w:pPr>
      <w:r>
        <w:rPr>
          <w:rFonts w:eastAsia="Times New Roman" w:cs="Calibri"/>
          <w:lang w:val="en-GB" w:eastAsia="en-GB"/>
        </w:rPr>
        <w:t>Knowledge and Skills</w:t>
      </w:r>
    </w:p>
    <w:p>
      <w:pPr>
        <w:pStyle w:val="Normal"/>
        <w:numPr>
          <w:ilvl w:val="0"/>
          <w:numId w:val="4"/>
        </w:numPr>
        <w:spacing w:lineRule="auto" w:line="240" w:before="280" w:after="0"/>
        <w:rPr>
          <w:rFonts w:eastAsia="Times New Roman" w:cs="Calibri"/>
          <w:lang w:val="en-GB" w:eastAsia="en-GB"/>
        </w:rPr>
      </w:pPr>
      <w:r>
        <w:rPr>
          <w:rFonts w:eastAsia="Times New Roman" w:cs="Calibri"/>
          <w:lang w:val="en-GB" w:eastAsia="en-GB"/>
        </w:rPr>
        <w:t>Ability to supervise and manage whole classes effectively.</w:t>
      </w:r>
    </w:p>
    <w:p>
      <w:pPr>
        <w:pStyle w:val="Normal"/>
        <w:numPr>
          <w:ilvl w:val="0"/>
          <w:numId w:val="4"/>
        </w:numPr>
        <w:spacing w:lineRule="auto" w:line="240" w:before="0" w:after="0"/>
        <w:rPr>
          <w:rFonts w:eastAsia="Times New Roman" w:cs="Calibri"/>
          <w:lang w:val="en-GB" w:eastAsia="en-GB"/>
        </w:rPr>
      </w:pPr>
      <w:r>
        <w:rPr>
          <w:rFonts w:eastAsia="Times New Roman" w:cs="Calibri"/>
          <w:lang w:val="en-GB" w:eastAsia="en-GB"/>
        </w:rPr>
        <w:t>Good understanding of behaviour management strategies.</w:t>
      </w:r>
    </w:p>
    <w:p>
      <w:pPr>
        <w:pStyle w:val="Normal"/>
        <w:numPr>
          <w:ilvl w:val="0"/>
          <w:numId w:val="4"/>
        </w:numPr>
        <w:spacing w:lineRule="auto" w:line="240" w:before="0" w:after="0"/>
        <w:rPr>
          <w:rFonts w:eastAsia="Times New Roman" w:cs="Calibri"/>
          <w:lang w:val="en-GB" w:eastAsia="en-GB"/>
        </w:rPr>
      </w:pPr>
      <w:r>
        <w:rPr>
          <w:rFonts w:eastAsia="Times New Roman" w:cs="Calibri"/>
          <w:lang w:val="en-GB" w:eastAsia="en-GB"/>
        </w:rPr>
        <w:t>Ability to engage pupils positively in learning activities.</w:t>
      </w:r>
    </w:p>
    <w:p>
      <w:pPr>
        <w:pStyle w:val="Normal"/>
        <w:numPr>
          <w:ilvl w:val="0"/>
          <w:numId w:val="4"/>
        </w:numPr>
        <w:spacing w:lineRule="auto" w:line="240" w:before="0" w:after="0"/>
        <w:rPr>
          <w:rFonts w:eastAsia="Times New Roman" w:cs="Calibri"/>
          <w:lang w:val="en-GB" w:eastAsia="en-GB"/>
        </w:rPr>
      </w:pPr>
      <w:r>
        <w:rPr>
          <w:rFonts w:eastAsia="Times New Roman" w:cs="Calibri"/>
          <w:lang w:val="en-GB" w:eastAsia="en-GB"/>
        </w:rPr>
        <w:t>Good literacy, numeracy, and ICT skills.</w:t>
      </w:r>
    </w:p>
    <w:p>
      <w:pPr>
        <w:pStyle w:val="Normal"/>
        <w:numPr>
          <w:ilvl w:val="0"/>
          <w:numId w:val="4"/>
        </w:numPr>
        <w:spacing w:lineRule="auto" w:line="240" w:before="0" w:after="0"/>
        <w:rPr>
          <w:rFonts w:eastAsia="Times New Roman" w:cs="Calibri"/>
          <w:lang w:val="en-GB" w:eastAsia="en-GB"/>
        </w:rPr>
      </w:pPr>
      <w:r>
        <w:rPr>
          <w:rFonts w:eastAsia="Times New Roman" w:cs="Calibri"/>
          <w:lang w:val="en-GB" w:eastAsia="en-GB"/>
        </w:rPr>
        <w:t>Ability to work independently and as part of a team across multiple schools.</w:t>
      </w:r>
    </w:p>
    <w:p>
      <w:pPr>
        <w:pStyle w:val="Normal"/>
        <w:numPr>
          <w:ilvl w:val="0"/>
          <w:numId w:val="4"/>
        </w:numPr>
        <w:spacing w:lineRule="auto" w:line="240" w:before="0" w:after="280"/>
        <w:rPr>
          <w:rFonts w:eastAsia="Times New Roman" w:cs="Calibri"/>
          <w:lang w:val="en-GB" w:eastAsia="en-GB"/>
        </w:rPr>
      </w:pPr>
      <w:r>
        <w:rPr>
          <w:rFonts w:eastAsia="Times New Roman" w:cs="Calibri"/>
          <w:lang w:val="en-GB" w:eastAsia="en-GB"/>
        </w:rPr>
        <w:t>Commitment to safeguarding and promoting the welfare of children.</w:t>
      </w:r>
    </w:p>
    <w:p>
      <w:pPr>
        <w:pStyle w:val="Normal"/>
        <w:rPr>
          <w:b/>
          <w:b/>
        </w:rPr>
      </w:pPr>
      <w:r>
        <w:rPr>
          <w:b/>
        </w:rPr>
        <mc:AlternateContent>
          <mc:Choice Requires="wps">
            <w:drawing>
              <wp:anchor behindDoc="0" distT="0" distB="0" distL="114935" distR="114935" simplePos="0" locked="0" layoutInCell="1" allowOverlap="1" relativeHeight="2">
                <wp:simplePos x="0" y="0"/>
                <wp:positionH relativeFrom="column">
                  <wp:posOffset>-220980</wp:posOffset>
                </wp:positionH>
                <wp:positionV relativeFrom="paragraph">
                  <wp:posOffset>292735</wp:posOffset>
                </wp:positionV>
                <wp:extent cx="6382385" cy="2496185"/>
                <wp:effectExtent l="0" t="0" r="0" b="0"/>
                <wp:wrapNone/>
                <wp:docPr id="1" name=""/>
                <a:graphic xmlns:a="http://schemas.openxmlformats.org/drawingml/2006/main">
                  <a:graphicData uri="http://schemas.microsoft.com/office/word/2010/wordprocessingShape">
                    <wps:wsp>
                      <wps:cNvSpPr txBox="1"/>
                      <wps:spPr>
                        <a:xfrm>
                          <a:off x="0" y="0"/>
                          <a:ext cx="6381720" cy="2495520"/>
                        </a:xfrm>
                        <a:prstGeom prst="rect">
                          <a:avLst/>
                        </a:prstGeom>
                        <a:solidFill>
                          <a:srgbClr val="ffffff"/>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17.4pt;margin-top:23.05pt;width:502.45pt;height:196.45pt" type="shapetype_202">
                <v:textbox>
                  <w:txbxContent>
                    <w:p>
                      <w:pPr>
                        <w:overflowPunct w:val="false"/>
                        <w:spacing w:before="0" w:after="0" w:lineRule="auto" w:line="240"/>
                        <w:rPr/>
                      </w:pPr>
                      <w:r>
                        <w:rPr>
                          <w:sz w:val="24"/>
                          <w:kern w:val="2"/>
                          <w:szCs w:val="24"/>
                          <w:rFonts w:ascii="Liberation Serif" w:hAnsi="Liberation Serif" w:eastAsia="NSimSun" w:cs="Lucida Sans"/>
                          <w:lang w:eastAsia="zh-CN" w:bidi="hi-IN"/>
                        </w:rPr>
                      </w:r>
                    </w:p>
                  </w:txbxContent>
                </v:textbox>
                <w10:wrap type="none"/>
                <v:fill o:detectmouseclick="t" type="solid" color2="black"/>
                <v:stroke color="black" weight="9360" joinstyle="miter" endcap="flat"/>
              </v:shape>
            </w:pict>
          </mc:Fallback>
        </mc:AlternateContent>
      </w:r>
      <w:r>
        <mc:AlternateContent>
          <mc:Choice Requires="wps">
            <w:drawing>
              <wp:anchor behindDoc="0" distT="72390" distB="72390" distL="9525" distR="9525" simplePos="0" locked="0" layoutInCell="1" allowOverlap="1" relativeHeight="3">
                <wp:simplePos x="0" y="0"/>
                <wp:positionH relativeFrom="column">
                  <wp:posOffset>-220980</wp:posOffset>
                </wp:positionH>
                <wp:positionV relativeFrom="paragraph">
                  <wp:posOffset>292735</wp:posOffset>
                </wp:positionV>
                <wp:extent cx="6381750" cy="2495550"/>
                <wp:effectExtent l="0" t="0" r="0" b="0"/>
                <wp:wrapNone/>
                <wp:docPr id="2" name="Frame1"/>
                <a:graphic xmlns:a="http://schemas.openxmlformats.org/drawingml/2006/main">
                  <a:graphicData uri="http://schemas.microsoft.com/office/word/2010/wordprocessingShape">
                    <wps:wsp>
                      <wps:cNvSpPr txBox="1"/>
                      <wps:spPr>
                        <a:xfrm>
                          <a:off x="0" y="0"/>
                          <a:ext cx="6381750" cy="2495550"/>
                        </a:xfrm>
                        <a:prstGeom prst="rect"/>
                        <a:solidFill>
                          <a:srgbClr val="FFFFFF"/>
                        </a:solidFill>
                      </wps:spPr>
                      <wps:txbx>
                        <w:txbxContent>
                          <w:p>
                            <w:pPr>
                              <w:pStyle w:val="FrameContents"/>
                              <w:spacing w:before="240" w:after="120"/>
                              <w:rPr/>
                            </w:pPr>
                            <w:r>
                              <w:rPr>
                                <w:b/>
                                <w:sz w:val="20"/>
                                <w:u w:val="single"/>
                              </w:rPr>
                              <w:t>Review Arrangements:</w:t>
                            </w:r>
                            <w:r>
                              <w:rPr>
                                <w:sz w:val="20"/>
                                <w:u w:val="single"/>
                              </w:rPr>
                              <w:br/>
                            </w:r>
                            <w:r>
                              <w:rPr>
                                <w: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pPr>
                              <w:pStyle w:val="FrameContents"/>
                              <w:rPr/>
                            </w:pPr>
                            <w:r>
                              <w:rPr/>
                              <w:t>Received and accepted by    …………………………………………………</w:t>
                            </w:r>
                          </w:p>
                          <w:p>
                            <w:pPr>
                              <w:pStyle w:val="FrameContents"/>
                              <w:rPr/>
                            </w:pPr>
                            <w:r>
                              <w:rPr/>
                              <w:t>Executive Principal   ……………………………………………………………</w:t>
                            </w:r>
                          </w:p>
                          <w:p>
                            <w:pPr>
                              <w:pStyle w:val="FrameContents"/>
                              <w:rPr/>
                            </w:pPr>
                            <w:r>
                              <w:rPr/>
                              <w:t>Date………………………………………..</w:t>
                            </w:r>
                          </w:p>
                          <w:p>
                            <w:pPr>
                              <w:pStyle w:val="FrameContents"/>
                              <w:rPr/>
                            </w:pPr>
                            <w:r>
                              <w:rPr/>
                              <w:t>Date ……………………………………………………….</w:t>
                            </w:r>
                          </w:p>
                          <w:p>
                            <w:pPr>
                              <w:pStyle w:val="FrameContents"/>
                              <w:rPr/>
                            </w:pPr>
                            <w:r>
                              <w:rPr/>
                            </w:r>
                          </w:p>
                          <w:p>
                            <w:pPr>
                              <w:pStyle w:val="FrameContents"/>
                              <w:rPr/>
                            </w:pPr>
                            <w:r>
                              <w:rPr/>
                            </w:r>
                          </w:p>
                          <w:p>
                            <w:pPr>
                              <w:pStyle w:val="FrameContents"/>
                              <w:rPr/>
                            </w:pPr>
                            <w:r>
                              <w:rPr/>
                            </w:r>
                          </w:p>
                          <w:p>
                            <w:pPr>
                              <w:pStyle w:val="FrameContents"/>
                              <w:rPr/>
                            </w:pPr>
                            <w:r>
                              <w:rPr/>
                            </w:r>
                          </w:p>
                          <w:p>
                            <w:pPr>
                              <w:pStyle w:val="FrameContents"/>
                              <w:rPr/>
                            </w:pPr>
                            <w:r>
                              <w:rPr/>
                            </w:r>
                          </w:p>
                          <w:p>
                            <w:pPr>
                              <w:pStyle w:val="FrameContents"/>
                              <w:rPr/>
                            </w:pPr>
                            <w:r>
                              <w:rPr/>
                            </w:r>
                          </w:p>
                          <w:p>
                            <w:pPr>
                              <w:pStyle w:val="FrameContents"/>
                              <w:rPr/>
                            </w:pPr>
                            <w:r>
                              <w:rPr/>
                            </w:r>
                          </w:p>
                          <w:p>
                            <w:pPr>
                              <w:pStyle w:val="FrameContents"/>
                              <w:rPr/>
                            </w:pPr>
                            <w:r>
                              <w:rPr/>
                            </w:r>
                          </w:p>
                          <w:p>
                            <w:pPr>
                              <w:pStyle w:val="FrameContents"/>
                              <w:spacing w:before="0" w:after="200"/>
                              <w:rPr/>
                            </w:pPr>
                            <w:r>
                              <w:rPr/>
                            </w:r>
                          </w:p>
                        </w:txbxContent>
                      </wps:txbx>
                      <wps:bodyPr anchor="t" lIns="92075" tIns="46355" rIns="92075" bIns="46355">
                        <a:noAutofit/>
                      </wps:bodyPr>
                    </wps:wsp>
                  </a:graphicData>
                </a:graphic>
              </wp:anchor>
            </w:drawing>
          </mc:Choice>
          <mc:Fallback>
            <w:pict>
              <v:rect fillcolor="#FFFFFF" style="position:absolute;rotation:0;width:502.5pt;height:196.5pt;mso-wrap-distance-left:0.75pt;mso-wrap-distance-right:0.75pt;mso-wrap-distance-top:5.7pt;mso-wrap-distance-bottom:5.7pt;margin-top:23.05pt;mso-position-vertical-relative:text;margin-left:-17.4pt;mso-position-horizontal-relative:text">
                <v:textbox inset="0.100694444444444in,0.0506944444444444in,0.100694444444444in,0.0506944444444444in">
                  <w:txbxContent>
                    <w:p>
                      <w:pPr>
                        <w:pStyle w:val="FrameContents"/>
                        <w:spacing w:before="240" w:after="120"/>
                        <w:rPr/>
                      </w:pPr>
                      <w:r>
                        <w:rPr>
                          <w:b/>
                          <w:sz w:val="20"/>
                          <w:u w:val="single"/>
                        </w:rPr>
                        <w:t>Review Arrangements:</w:t>
                      </w:r>
                      <w:r>
                        <w:rPr>
                          <w:sz w:val="20"/>
                          <w:u w:val="single"/>
                        </w:rPr>
                        <w:br/>
                      </w:r>
                      <w:r>
                        <w:rPr>
                          <w: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pPr>
                        <w:pStyle w:val="FrameContents"/>
                        <w:rPr/>
                      </w:pPr>
                      <w:r>
                        <w:rPr/>
                        <w:t>Received and accepted by    …………………………………………………</w:t>
                      </w:r>
                    </w:p>
                    <w:p>
                      <w:pPr>
                        <w:pStyle w:val="FrameContents"/>
                        <w:rPr/>
                      </w:pPr>
                      <w:r>
                        <w:rPr/>
                        <w:t>Executive Principal   ……………………………………………………………</w:t>
                      </w:r>
                    </w:p>
                    <w:p>
                      <w:pPr>
                        <w:pStyle w:val="FrameContents"/>
                        <w:rPr/>
                      </w:pPr>
                      <w:r>
                        <w:rPr/>
                        <w:t>Date………………………………………..</w:t>
                      </w:r>
                    </w:p>
                    <w:p>
                      <w:pPr>
                        <w:pStyle w:val="FrameContents"/>
                        <w:rPr/>
                      </w:pPr>
                      <w:r>
                        <w:rPr/>
                        <w:t>Date ……………………………………………………….</w:t>
                      </w:r>
                    </w:p>
                    <w:p>
                      <w:pPr>
                        <w:pStyle w:val="FrameContents"/>
                        <w:rPr/>
                      </w:pPr>
                      <w:r>
                        <w:rPr/>
                      </w:r>
                    </w:p>
                    <w:p>
                      <w:pPr>
                        <w:pStyle w:val="FrameContents"/>
                        <w:rPr/>
                      </w:pPr>
                      <w:r>
                        <w:rPr/>
                      </w:r>
                    </w:p>
                    <w:p>
                      <w:pPr>
                        <w:pStyle w:val="FrameContents"/>
                        <w:rPr/>
                      </w:pPr>
                      <w:r>
                        <w:rPr/>
                      </w:r>
                    </w:p>
                    <w:p>
                      <w:pPr>
                        <w:pStyle w:val="FrameContents"/>
                        <w:rPr/>
                      </w:pPr>
                      <w:r>
                        <w:rPr/>
                      </w:r>
                    </w:p>
                    <w:p>
                      <w:pPr>
                        <w:pStyle w:val="FrameContents"/>
                        <w:rPr/>
                      </w:pPr>
                      <w:r>
                        <w:rPr/>
                      </w:r>
                    </w:p>
                    <w:p>
                      <w:pPr>
                        <w:pStyle w:val="FrameContents"/>
                        <w:rPr/>
                      </w:pPr>
                      <w:r>
                        <w:rPr/>
                      </w:r>
                    </w:p>
                    <w:p>
                      <w:pPr>
                        <w:pStyle w:val="FrameContents"/>
                        <w:rPr/>
                      </w:pPr>
                      <w:r>
                        <w:rPr/>
                      </w:r>
                    </w:p>
                    <w:p>
                      <w:pPr>
                        <w:pStyle w:val="FrameContents"/>
                        <w:rPr/>
                      </w:pPr>
                      <w:r>
                        <w:rPr/>
                      </w:r>
                    </w:p>
                    <w:p>
                      <w:pPr>
                        <w:pStyle w:val="FrameContents"/>
                        <w:spacing w:before="0" w:after="200"/>
                        <w:rPr/>
                      </w:pPr>
                      <w:r>
                        <w:rPr/>
                      </w:r>
                    </w:p>
                  </w:txbxContent>
                </v:textbox>
              </v:rect>
            </w:pict>
          </mc:Fallback>
        </mc:AlternateContent>
      </w:r>
    </w:p>
    <w:p>
      <w:pPr>
        <w:pStyle w:val="Normal"/>
        <w:rPr>
          <w:b/>
          <w:b/>
        </w:rPr>
      </w:pPr>
      <w:r>
        <w:rPr>
          <w:b/>
        </w:rPr>
      </w:r>
    </w:p>
    <w:p>
      <w:pPr>
        <w:pStyle w:val="Normal"/>
        <w:rPr/>
      </w:pPr>
      <w:r>
        <w:rPr/>
      </w:r>
    </w:p>
    <w:p>
      <w:pPr>
        <w:pStyle w:val="Normal"/>
        <w:widowControl/>
        <w:bidi w:val="0"/>
        <w:spacing w:lineRule="auto" w:line="276" w:before="0" w:after="200"/>
        <w:jc w:val="left"/>
        <w:rPr/>
      </w:pPr>
      <w:r>
        <w:rPr/>
      </w:r>
    </w:p>
    <w:sectPr>
      <w:type w:val="nextPage"/>
      <w:pgSz w:w="12240" w:h="15840"/>
      <w:pgMar w:left="1440" w:right="1440" w:header="0" w:top="1440" w:footer="0" w:bottom="56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Comic Sans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US" w:eastAsia="en-US" w:bidi="ar-SA"/>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eastAsia=""/>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NormalWeb">
    <w:name w:val="Normal (Web)"/>
    <w:basedOn w:val="Normal"/>
    <w:qFormat/>
    <w:pPr>
      <w:spacing w:lineRule="auto" w:line="240" w:before="280" w:after="280"/>
    </w:pPr>
    <w:rPr>
      <w:rFonts w:ascii="Times;Times New Roman" w:hAnsi="Times;Times New Roman" w:eastAsia="" w:cs="Times New Roman"/>
      <w:sz w:val="20"/>
      <w:szCs w:val="20"/>
      <w:lang w:val="en-GB"/>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spacing w:lineRule="auto" w:line="240" w:before="0" w:after="0"/>
    </w:pPr>
    <w:rPr>
      <w:rFonts w:eastAsia=""/>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Oakwood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2026-01-22T15:27:00Z</dcterms:created>
  <dc:creator>Valued Acer Customer</dc:creator>
  <dc:description/>
  <dc:language>en-US</dc:language>
  <cp:lastModifiedBy>A Ellis</cp:lastModifiedBy>
  <cp:lastPrinted>1995-11-21T17:41:00Z</cp:lastPrinted>
  <dcterms:modified xsi:type="dcterms:W3CDTF">2026-06-17T11:35:00Z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Oakwood High School</vt:lpwstr>
  </property>
  <property fmtid="{D5CDD505-2E9C-101B-9397-08002B2CF9AE}" pid="4" name="DocSecurity">
    <vt:i4>0</vt:i4>
  </property>
  <property fmtid="{D5CDD505-2E9C-101B-9397-08002B2CF9AE}" pid="5" name="GrammarlyDocumentId">
    <vt:lpwstr>c361dd57-b44b-4f5d-ae58-87ecde1789f7</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