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rFonts w:ascii="Arial" w:hAnsi="Arial" w:cs="Arial"/>
          <w:b/>
        </w:rPr>
      </w:pPr>
      <w:r>
        <w:rPr>
          <w:rFonts w:cs="Arial" w:ascii="Arial" w:hAnsi="Arial"/>
          <w:b/>
        </w:rPr>
        <w:t>Northern Education Trust</w:t>
      </w:r>
    </w:p>
    <w:p>
      <w:pPr>
        <w:pStyle w:val="NoSpacing"/>
        <w:jc w:val="center"/>
        <w:rPr>
          <w:rFonts w:ascii="Arial" w:hAnsi="Arial" w:cs="Arial"/>
        </w:rPr>
      </w:pPr>
      <w:r>
        <w:rPr>
          <w:rFonts w:cs="Arial" w:ascii="Arial" w:hAnsi="Arial"/>
        </w:rPr>
        <w:t>Post: Second in Department</w:t>
      </w:r>
    </w:p>
    <w:p>
      <w:pPr>
        <w:pStyle w:val="NoSpacing"/>
        <w:jc w:val="center"/>
        <w:rPr>
          <w:rFonts w:ascii="Arial" w:hAnsi="Arial" w:cs="Arial"/>
          <w:b/>
        </w:rPr>
      </w:pPr>
      <w:r>
        <w:rPr>
          <w:rFonts w:cs="Arial" w:ascii="Arial" w:hAnsi="Arial"/>
          <w:b/>
        </w:rPr>
        <w:t>PERSON SPECIFICATION</w:t>
      </w:r>
    </w:p>
    <w:tbl>
      <w:tblPr>
        <w:tblW w:w="8986" w:type="dxa"/>
        <w:jc w:val="left"/>
        <w:tblInd w:w="120" w:type="dxa"/>
        <w:tblLayout w:type="fixed"/>
        <w:tblCellMar>
          <w:top w:w="85" w:type="dxa"/>
          <w:left w:w="85" w:type="dxa"/>
          <w:bottom w:w="85" w:type="dxa"/>
          <w:right w:w="85" w:type="dxa"/>
        </w:tblCellMar>
      </w:tblPr>
      <w:tblGrid>
        <w:gridCol w:w="565"/>
        <w:gridCol w:w="4531"/>
        <w:gridCol w:w="1302"/>
        <w:gridCol w:w="1287"/>
        <w:gridCol w:w="1301"/>
      </w:tblGrid>
      <w:tr>
        <w:trPr>
          <w:tblHeader w:val="true"/>
        </w:trPr>
        <w:tc>
          <w:tcPr>
            <w:tcW w:w="565" w:type="dxa"/>
            <w:tcBorders>
              <w:bottom w:val="single" w:sz="4" w:space="0" w:color="000000"/>
            </w:tcBorders>
          </w:tcPr>
          <w:p>
            <w:pPr>
              <w:pStyle w:val="NoSpacing"/>
              <w:snapToGrid w:val="false"/>
              <w:spacing w:lineRule="auto" w:line="240" w:before="0" w:after="0"/>
              <w:jc w:val="center"/>
              <w:rPr>
                <w:rFonts w:ascii="Arial" w:hAnsi="Arial" w:cs="Arial"/>
              </w:rPr>
            </w:pPr>
            <w:r>
              <w:rPr>
                <w:rFonts w:cs="Arial" w:ascii="Arial" w:hAnsi="Arial"/>
              </w:rPr>
            </w:r>
          </w:p>
        </w:tc>
        <w:tc>
          <w:tcPr>
            <w:tcW w:w="4531" w:type="dxa"/>
            <w:tcBorders>
              <w:bottom w:val="single" w:sz="4" w:space="0" w:color="000000"/>
            </w:tcBorders>
          </w:tcPr>
          <w:p>
            <w:pPr>
              <w:pStyle w:val="NoSpacing"/>
              <w:snapToGrid w:val="false"/>
              <w:spacing w:lineRule="auto" w:line="240" w:before="0" w:after="0"/>
              <w:jc w:val="center"/>
              <w:rPr>
                <w:rFonts w:ascii="Arial" w:hAnsi="Arial" w:cs="Arial"/>
              </w:rPr>
            </w:pPr>
            <w:r>
              <w:rPr>
                <w:rFonts w:cs="Arial" w:ascii="Arial" w:hAnsi="Arial"/>
              </w:rPr>
            </w:r>
          </w:p>
        </w:tc>
        <w:tc>
          <w:tcPr>
            <w:tcW w:w="1302" w:type="dxa"/>
            <w:tcBorders>
              <w:bottom w:val="single" w:sz="4" w:space="0" w:color="000000"/>
              <w:right w:val="single" w:sz="4" w:space="0" w:color="000000"/>
            </w:tcBorders>
          </w:tcPr>
          <w:p>
            <w:pPr>
              <w:pStyle w:val="NoSpacing"/>
              <w:snapToGrid w:val="false"/>
              <w:spacing w:lineRule="auto" w:line="240" w:before="0" w:after="0"/>
              <w:jc w:val="center"/>
              <w:rPr>
                <w:rFonts w:ascii="Arial" w:hAnsi="Arial" w:cs="Arial"/>
              </w:rPr>
            </w:pPr>
            <w:r>
              <w:rPr>
                <w:rFonts w:cs="Arial" w:ascii="Arial" w:hAnsi="Arial"/>
              </w:rPr>
            </w:r>
          </w:p>
        </w:tc>
        <w:tc>
          <w:tcPr>
            <w:tcW w:w="2588" w:type="dxa"/>
            <w:gridSpan w:val="2"/>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jc w:val="center"/>
              <w:rPr>
                <w:rFonts w:ascii="Arial" w:hAnsi="Arial" w:cs="Arial"/>
                <w:b/>
              </w:rPr>
            </w:pPr>
            <w:r>
              <w:rPr>
                <w:rFonts w:cs="Arial" w:ascii="Arial" w:hAnsi="Arial"/>
                <w:b/>
              </w:rPr>
              <w:t>Assessed by:</w:t>
            </w:r>
          </w:p>
        </w:tc>
      </w:tr>
      <w:tr>
        <w:trPr>
          <w:tblHeader w:val="true"/>
          <w:trHeight w:val="660" w:hRule="atLeast"/>
        </w:trPr>
        <w:tc>
          <w:tcPr>
            <w:tcW w:w="565" w:type="dxa"/>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rPr>
                <w:rFonts w:ascii="Arial" w:hAnsi="Arial" w:cs="Arial"/>
                <w:b/>
              </w:rPr>
            </w:pPr>
            <w:r>
              <w:rPr>
                <w:rFonts w:cs="Arial" w:ascii="Arial" w:hAnsi="Arial"/>
                <w:b/>
              </w:rPr>
              <w:t>No</w:t>
            </w:r>
          </w:p>
        </w:tc>
        <w:tc>
          <w:tcPr>
            <w:tcW w:w="4531" w:type="dxa"/>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jc w:val="center"/>
              <w:rPr>
                <w:rFonts w:ascii="Arial" w:hAnsi="Arial" w:cs="Arial"/>
                <w:b/>
              </w:rPr>
            </w:pPr>
            <w:r>
              <w:rPr>
                <w:rFonts w:cs="Arial" w:ascii="Arial" w:hAnsi="Arial"/>
                <w:b/>
              </w:rPr>
              <w:t>Categories</w:t>
            </w:r>
          </w:p>
        </w:tc>
        <w:tc>
          <w:tcPr>
            <w:tcW w:w="1302" w:type="dxa"/>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jc w:val="center"/>
              <w:rPr>
                <w:rFonts w:ascii="Arial" w:hAnsi="Arial" w:cs="Arial"/>
                <w:b/>
              </w:rPr>
            </w:pPr>
            <w:r>
              <w:rPr>
                <w:rFonts w:cs="Arial" w:ascii="Arial" w:hAnsi="Arial"/>
                <w:b/>
              </w:rPr>
              <w:t>Essential / Desirable</w:t>
            </w:r>
          </w:p>
        </w:tc>
        <w:tc>
          <w:tcPr>
            <w:tcW w:w="1287" w:type="dxa"/>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jc w:val="center"/>
              <w:rPr>
                <w:rFonts w:ascii="Arial" w:hAnsi="Arial" w:cs="Arial"/>
                <w:b/>
              </w:rPr>
            </w:pPr>
            <w:r>
              <w:rPr>
                <w:rFonts w:cs="Arial" w:ascii="Arial" w:hAnsi="Arial"/>
                <w:b/>
              </w:rPr>
              <w:t>App Form</w:t>
            </w:r>
          </w:p>
        </w:tc>
        <w:tc>
          <w:tcPr>
            <w:tcW w:w="1301" w:type="dxa"/>
            <w:tcBorders>
              <w:top w:val="single" w:sz="4" w:space="0" w:color="000000"/>
              <w:left w:val="single" w:sz="4" w:space="0" w:color="000000"/>
              <w:bottom w:val="single" w:sz="4" w:space="0" w:color="000000"/>
              <w:right w:val="single" w:sz="4" w:space="0" w:color="000000"/>
            </w:tcBorders>
            <w:shd w:fill="B2A1C7" w:val="clear"/>
          </w:tcPr>
          <w:p>
            <w:pPr>
              <w:pStyle w:val="NoSpacing"/>
              <w:spacing w:lineRule="auto" w:line="240" w:before="0" w:after="0"/>
              <w:jc w:val="center"/>
              <w:rPr>
                <w:rFonts w:ascii="Arial" w:hAnsi="Arial" w:cs="Arial"/>
                <w:b/>
              </w:rPr>
            </w:pPr>
            <w:r>
              <w:rPr>
                <w:rFonts w:cs="Arial" w:ascii="Arial" w:hAnsi="Arial"/>
                <w:b/>
              </w:rPr>
              <w:t>Interview / Task</w:t>
            </w:r>
          </w:p>
        </w:tc>
      </w:tr>
      <w:tr>
        <w:trPr>
          <w:trHeight w:val="268" w:hRule="atLeast"/>
        </w:trPr>
        <w:tc>
          <w:tcPr>
            <w:tcW w:w="8986" w:type="dxa"/>
            <w:gridSpan w:val="5"/>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b/>
              </w:rPr>
            </w:pPr>
            <w:r>
              <w:rPr>
                <w:rFonts w:cs="Arial" w:ascii="Arial" w:hAnsi="Arial"/>
                <w:b/>
              </w:rPr>
              <w:t>QUALIFICATIONS</w:t>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1.</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A honours degree </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jc w:val="center"/>
              <w:rPr>
                <w:rFonts w:ascii="Arial" w:hAnsi="Arial" w:cs="Arial"/>
              </w:rPr>
            </w:pPr>
            <w:r>
              <w:rPr>
                <w:rFonts w:cs="Arial" w:ascii="Arial" w:hAnsi="Arial"/>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NoSpacing"/>
              <w:snapToGrid w:val="false"/>
              <w:spacing w:lineRule="auto" w:line="240" w:before="0" w:after="0"/>
              <w:ind w:left="720" w:right="0"/>
              <w:rPr>
                <w:rFonts w:ascii="Arial" w:hAnsi="Arial" w:cs="Arial"/>
              </w:rPr>
            </w:pPr>
            <w:r>
              <w:rPr>
                <w:rFonts w:cs="Arial" w:ascii="Arial" w:hAnsi="Arial"/>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2.</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 teaching qualification together with Qualified Teacher Status (QTS)</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NoSpacing"/>
              <w:numPr>
                <w:ilvl w:val="0"/>
                <w:numId w:val="1"/>
              </w:numPr>
              <w:snapToGrid w:val="false"/>
              <w:spacing w:lineRule="auto" w:line="240" w:before="0" w:after="0"/>
              <w:jc w:val="center"/>
              <w:rPr>
                <w:rFonts w:ascii="Arial" w:hAnsi="Arial" w:cs="Arial"/>
              </w:rPr>
            </w:pPr>
            <w:r>
              <w:rPr>
                <w:rFonts w:cs="Arial" w:ascii="Arial" w:hAnsi="Arial"/>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NoSpacing"/>
              <w:snapToGrid w:val="false"/>
              <w:spacing w:lineRule="auto" w:line="240" w:before="0" w:after="0"/>
              <w:ind w:left="720" w:right="0"/>
              <w:rPr>
                <w:rFonts w:ascii="Arial" w:hAnsi="Arial" w:cs="Arial"/>
              </w:rPr>
            </w:pPr>
            <w:r>
              <w:rPr>
                <w:rFonts w:cs="Arial" w:ascii="Arial" w:hAnsi="Arial"/>
              </w:rPr>
            </w:r>
          </w:p>
        </w:tc>
      </w:tr>
      <w:tr>
        <w:trPr/>
        <w:tc>
          <w:tcPr>
            <w:tcW w:w="8986" w:type="dxa"/>
            <w:gridSpan w:val="5"/>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b/>
              </w:rPr>
            </w:pPr>
            <w:r>
              <w:rPr>
                <w:rFonts w:cs="Arial" w:ascii="Arial" w:hAnsi="Arial"/>
                <w:b/>
              </w:rPr>
              <w:t>EXPERIENCE</w:t>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6.</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Evidence of your students achieving excellent exam results (FFTD or better)</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snapToGrid w:val="false"/>
              <w:spacing w:lineRule="auto" w:line="240" w:before="0" w:after="0"/>
              <w:contextualSpacing/>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7.</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Knowledge of teaching, learning and assessment to at least KS3/4, preferably KS5</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8.</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pPr>
            <w:r>
              <w:rPr>
                <w:rFonts w:cs="Arial" w:ascii="Arial" w:hAnsi="Arial"/>
              </w:rPr>
              <w:t>A good understanding of curriculum developments in your</w:t>
            </w:r>
            <w:bookmarkStart w:id="0" w:name="_GoBack"/>
            <w:bookmarkEnd w:id="0"/>
            <w:r>
              <w:rPr>
                <w:rFonts w:cs="Arial" w:ascii="Arial" w:hAnsi="Arial"/>
              </w:rPr>
              <w:t xml:space="preserve"> subject area</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r>
      <w:tr>
        <w:trPr/>
        <w:tc>
          <w:tcPr>
            <w:tcW w:w="8986" w:type="dxa"/>
            <w:gridSpan w:val="5"/>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b/>
              </w:rPr>
            </w:pPr>
            <w:r>
              <w:rPr>
                <w:rFonts w:cs="Arial" w:ascii="Arial" w:hAnsi="Arial"/>
                <w:b/>
              </w:rPr>
              <w:t>ABILITIES, SKILLS AND KNOWLEDGE</w:t>
            </w:r>
          </w:p>
        </w:tc>
      </w:tr>
      <w:tr>
        <w:trPr>
          <w:trHeight w:val="520" w:hRule="atLeast"/>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10.</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 xml:space="preserve">Able to use a range of teaching and learning strategies </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r>
      <w:tr>
        <w:trPr>
          <w:trHeight w:val="422" w:hRule="atLeast"/>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11.</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Commitment to high standards in all aspects of the academy’s work</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r>
      <w:tr>
        <w:trPr>
          <w:trHeight w:val="632" w:hRule="atLeast"/>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12.</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An understanding of how Assessment for Learning can improve student performance and how to embed this within your department</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13.</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Confidence in the use of standard computer packages and how these can be used to enhance student learning</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14.</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Able to use student level data to raise standards</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15.</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Enthusiasm for your subject</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16.</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Creative problem solving together with willingness to take on and develop and try new approaches and ideas</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r>
      <w:tr>
        <w:trPr>
          <w:trHeight w:val="842" w:hRule="atLeast"/>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17.</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Ability to relate to students in a pleasant and sympathetic manner and to recognise potential safeguarding issues</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18.</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Able to communicate both orally and in writing to students and their parents</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r>
      <w:tr>
        <w:trPr/>
        <w:tc>
          <w:tcPr>
            <w:tcW w:w="8986" w:type="dxa"/>
            <w:gridSpan w:val="5"/>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b/>
              </w:rPr>
            </w:pPr>
            <w:r>
              <w:rPr>
                <w:rFonts w:cs="Arial" w:ascii="Arial" w:hAnsi="Arial"/>
                <w:b/>
              </w:rPr>
              <w:t>PERSONAL QUALITIES</w:t>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20.</w:t>
            </w:r>
          </w:p>
        </w:tc>
        <w:tc>
          <w:tcPr>
            <w:tcW w:w="4531"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Pleasant and friendly manner</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r>
      <w:tr>
        <w:trPr>
          <w:trHeight w:val="338" w:hRule="atLeast"/>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21.</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Polite and punctual</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22.</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Reliable</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pPr>
            <w:r>
              <w:rPr/>
            </w:r>
          </w:p>
        </w:tc>
      </w:tr>
      <w:tr>
        <w:trPr/>
        <w:tc>
          <w:tcPr>
            <w:tcW w:w="565" w:type="dxa"/>
            <w:tcBorders>
              <w:top w:val="single" w:sz="4" w:space="0" w:color="000000"/>
              <w:left w:val="single" w:sz="4" w:space="0" w:color="000000"/>
              <w:bottom w:val="single" w:sz="4" w:space="0" w:color="000000"/>
              <w:right w:val="single" w:sz="4" w:space="0" w:color="000000"/>
            </w:tcBorders>
          </w:tcPr>
          <w:p>
            <w:pPr>
              <w:pStyle w:val="NoSpacing"/>
              <w:spacing w:lineRule="auto" w:line="240" w:before="0" w:after="0"/>
              <w:rPr>
                <w:rFonts w:ascii="Arial" w:hAnsi="Arial" w:cs="Arial"/>
              </w:rPr>
            </w:pPr>
            <w:r>
              <w:rPr>
                <w:rFonts w:cs="Arial" w:ascii="Arial" w:hAnsi="Arial"/>
              </w:rPr>
              <w:t>23.</w:t>
            </w:r>
          </w:p>
        </w:tc>
        <w:tc>
          <w:tcPr>
            <w:tcW w:w="453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rPr>
                <w:rFonts w:ascii="Arial" w:hAnsi="Arial" w:cs="Arial"/>
              </w:rPr>
            </w:pPr>
            <w:r>
              <w:rPr>
                <w:rFonts w:cs="Arial" w:ascii="Arial" w:hAnsi="Arial"/>
              </w:rPr>
              <w:t>A commitment to working as part of the whole Academy team and supporting the vision and aims of the Academy.</w:t>
            </w:r>
          </w:p>
        </w:tc>
        <w:tc>
          <w:tcPr>
            <w:tcW w:w="1302" w:type="dxa"/>
            <w:tcBorders>
              <w:top w:val="single" w:sz="4" w:space="0" w:color="000000"/>
              <w:left w:val="single" w:sz="4" w:space="0" w:color="000000"/>
              <w:bottom w:val="single" w:sz="4" w:space="0" w:color="000000"/>
              <w:right w:val="single" w:sz="4" w:space="0" w:color="000000"/>
            </w:tcBorders>
            <w:vAlign w:val="center"/>
          </w:tcPr>
          <w:p>
            <w:pPr>
              <w:pStyle w:val="NoSpacing"/>
              <w:spacing w:lineRule="auto" w:line="240" w:before="0" w:after="0"/>
              <w:jc w:val="center"/>
              <w:rPr>
                <w:rFonts w:ascii="Arial" w:hAnsi="Arial" w:cs="Arial"/>
              </w:rPr>
            </w:pPr>
            <w:r>
              <w:rPr>
                <w:rFonts w:cs="Arial" w:ascii="Arial" w:hAnsi="Arial"/>
              </w:rPr>
              <w:t>E</w:t>
            </w:r>
          </w:p>
        </w:tc>
        <w:tc>
          <w:tcPr>
            <w:tcW w:w="1287"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c>
          <w:tcPr>
            <w:tcW w:w="1301" w:type="dxa"/>
            <w:tcBorders>
              <w:top w:val="single" w:sz="4" w:space="0" w:color="000000"/>
              <w:left w:val="single" w:sz="4" w:space="0" w:color="000000"/>
              <w:bottom w:val="single" w:sz="4" w:space="0" w:color="000000"/>
              <w:right w:val="single" w:sz="4" w:space="0" w:color="000000"/>
            </w:tcBorders>
            <w:vAlign w:val="center"/>
          </w:tcPr>
          <w:p>
            <w:pPr>
              <w:pStyle w:val="ListParagraph"/>
              <w:numPr>
                <w:ilvl w:val="0"/>
                <w:numId w:val="1"/>
              </w:numPr>
              <w:snapToGrid w:val="false"/>
              <w:spacing w:lineRule="auto" w:line="240" w:before="0" w:after="0"/>
              <w:contextualSpacing/>
              <w:jc w:val="center"/>
              <w:rPr>
                <w:rFonts w:ascii="Arial" w:hAnsi="Arial" w:cs="Arial"/>
              </w:rPr>
            </w:pPr>
            <w:r>
              <w:rPr>
                <w:rFonts w:cs="Arial" w:ascii="Arial" w:hAnsi="Arial"/>
              </w:rPr>
            </w:r>
          </w:p>
        </w:tc>
      </w:tr>
    </w:tbl>
    <w:p>
      <w:pPr>
        <w:pStyle w:val="NoSpacing"/>
        <w:rPr>
          <w:rFonts w:ascii="Arial" w:hAnsi="Arial" w:cs="Arial"/>
        </w:rPr>
      </w:pPr>
      <w:r>
        <w:rPr>
          <w:rFonts w:cs="Arial" w:ascii="Arial" w:hAnsi="Arial"/>
        </w:rPr>
      </w:r>
    </w:p>
    <w:p>
      <w:pPr>
        <w:pStyle w:val="Normal"/>
        <w:jc w:val="center"/>
        <w:rPr>
          <w:rFonts w:ascii="Arial" w:hAnsi="Arial" w:cs="Arial"/>
        </w:rPr>
      </w:pPr>
      <w:r>
        <w:rPr>
          <w:rFonts w:cs="Arial" w:ascii="Arial" w:hAnsi="Arial"/>
        </w:rPr>
        <w:t>NET is committed to safeguarding and promoting the welfare of children and young people. We expect all staff to share this commitment and to undergo appropriate checks, including an enhanced DBS check.</w:t>
      </w:r>
    </w:p>
    <w:p>
      <w:pPr>
        <w:pStyle w:val="NoSpacing"/>
        <w:rPr/>
      </w:pPr>
      <w:r>
        <w:rPr/>
      </w:r>
    </w:p>
    <w:sectPr>
      <w:type w:val="nextPage"/>
      <w:pgSz w:w="11906" w:h="16838"/>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Wingdings">
    <w:charset w:val="02"/>
    <w:family w:val="auto"/>
    <w:pitch w:val="variable"/>
  </w:font>
  <w:font w:name="Courier New">
    <w:charset w:val="01"/>
    <w:family w:val="modern"/>
    <w:pitch w:val="default"/>
  </w:font>
  <w:font w:name="Liberation Sans">
    <w:altName w:val="Arial"/>
    <w:charset w:val="00"/>
    <w:family w:val="swiss"/>
    <w:pitch w:val="variable"/>
  </w:font>
  <w:font w:name="Courier New">
    <w:charset w:val="01"/>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rFonts w:ascii="Wingdings" w:hAnsi="Wingdings" w:cs="Wingdings"/>
    </w:rPr>
  </w:style>
  <w:style w:type="character" w:styleId="WW8Num1z1">
    <w:name w:val="WW8Num1z1"/>
    <w:qFormat/>
    <w:rPr>
      <w:rFonts w:ascii="Courier New" w:hAnsi="Courier New" w:cs="Courier New"/>
    </w:rPr>
  </w:style>
  <w:style w:type="character" w:styleId="WW8Num1z3">
    <w:name w:val="WW8Num1z3"/>
    <w:qFormat/>
    <w:rPr>
      <w:rFonts w:ascii="Symbol" w:hAnsi="Symbol" w:cs="Symbol"/>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ListParagraph">
    <w:name w:val="List Paragraph"/>
    <w:basedOn w:val="Normal"/>
    <w:qFormat/>
    <w:pPr>
      <w:spacing w:before="0" w:after="160"/>
      <w:ind w:hanging="0" w:left="720" w:right="0"/>
      <w:contextualSpacing/>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8</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