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itle"/>
        <w:jc w:val="center"/>
        <w:rPr/>
      </w:pPr>
      <w:r>
        <w:rPr/>
        <w:drawing>
          <wp:inline distT="0" distB="0" distL="0" distR="0">
            <wp:extent cx="3232150" cy="12319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13" r="-5" b="-13"/>
                    <a:stretch>
                      <a:fillRect/>
                    </a:stretch>
                  </pic:blipFill>
                  <pic:spPr bwMode="auto">
                    <a:xfrm>
                      <a:off x="0" y="0"/>
                      <a:ext cx="3232150" cy="1231900"/>
                    </a:xfrm>
                    <a:prstGeom prst="rect">
                      <a:avLst/>
                    </a:prstGeom>
                  </pic:spPr>
                </pic:pic>
              </a:graphicData>
            </a:graphic>
          </wp:inline>
        </w:drawing>
      </w:r>
    </w:p>
    <w:p>
      <w:pPr>
        <w:pStyle w:val="Title"/>
        <w:jc w:val="center"/>
        <w:rPr/>
      </w:pPr>
      <w:r>
        <w:rPr/>
      </w:r>
    </w:p>
    <w:p>
      <w:pPr>
        <w:pStyle w:val="Title"/>
        <w:jc w:val="center"/>
        <w:rPr>
          <w:color w:val="28348A"/>
        </w:rPr>
      </w:pPr>
      <w:r>
        <w:rPr>
          <w:color w:val="28348A"/>
        </w:rPr>
        <w:t>Chef &amp; Food Skills Tutor</w:t>
      </w:r>
    </w:p>
    <w:p>
      <w:pPr>
        <w:pStyle w:val="Title"/>
        <w:jc w:val="center"/>
        <w:rPr>
          <w:color w:val="28348A"/>
        </w:rPr>
      </w:pPr>
      <w:r>
        <w:rPr>
          <w:color w:val="28348A"/>
        </w:rPr>
        <w:t>Job Description</w:t>
      </w:r>
    </w:p>
    <w:p>
      <w:pPr>
        <w:pStyle w:val="Normal"/>
        <w:rPr/>
      </w:pPr>
      <w:r>
        <w:rPr/>
      </w:r>
      <w:bookmarkStart w:id="0" w:name="_Hlk235100378"/>
      <w:bookmarkStart w:id="1" w:name="_Hlk235100378"/>
      <w:bookmarkEnd w:id="1"/>
    </w:p>
    <w:p>
      <w:pPr>
        <w:pStyle w:val="Normal"/>
        <w:rPr/>
      </w:pPr>
      <w:r>
        <w:rPr>
          <w:rFonts w:cs="Arial" w:ascii="Arial" w:hAnsi="Arial"/>
          <w:b/>
        </w:rPr>
        <w:t>Reports to:</w:t>
      </w:r>
      <w:r>
        <w:rPr>
          <w:rFonts w:cs="Arial" w:ascii="Arial" w:hAnsi="Arial"/>
        </w:rPr>
        <w:t xml:space="preserve"> Operations &amp; Compliance Lead</w:t>
      </w:r>
    </w:p>
    <w:p>
      <w:pPr>
        <w:pStyle w:val="Normal"/>
        <w:spacing w:lineRule="auto" w:line="240" w:before="280" w:after="280"/>
        <w:rPr/>
      </w:pPr>
      <w:r>
        <w:rPr>
          <w:rFonts w:eastAsia="Times New Roman" w:cs="Arial" w:ascii="Arial" w:hAnsi="Arial"/>
          <w:b/>
          <w:bCs/>
          <w:lang w:val="en-GB" w:eastAsia="en-GB"/>
        </w:rPr>
        <w:t>Location:</w:t>
      </w:r>
      <w:r>
        <w:rPr>
          <w:rFonts w:eastAsia="Times New Roman" w:cs="Arial" w:ascii="Arial" w:hAnsi="Arial"/>
          <w:lang w:val="en-GB" w:eastAsia="en-GB"/>
        </w:rPr>
        <w:t xml:space="preserve"> Raise Education &amp; Wellbeing School (subject to organisational need)</w:t>
      </w:r>
    </w:p>
    <w:p>
      <w:pPr>
        <w:pStyle w:val="Normal"/>
        <w:spacing w:lineRule="auto" w:line="240" w:before="280" w:after="280"/>
        <w:rPr/>
      </w:pPr>
      <w:r>
        <w:rPr>
          <w:rFonts w:eastAsia="Times New Roman" w:cs="Arial" w:ascii="Arial" w:hAnsi="Arial"/>
          <w:b/>
          <w:bCs/>
          <w:lang w:val="en-GB" w:eastAsia="en-GB"/>
        </w:rPr>
        <w:t>Salary:</w:t>
      </w:r>
      <w:r>
        <w:rPr>
          <w:rFonts w:eastAsia="Times New Roman" w:cs="Arial" w:ascii="Arial" w:hAnsi="Arial"/>
          <w:lang w:val="en-GB" w:eastAsia="en-GB"/>
        </w:rPr>
        <w:t xml:space="preserve"> £27,500- £30,375 actual salary (£31,464-£34,753 FTE)</w:t>
      </w:r>
    </w:p>
    <w:p>
      <w:pPr>
        <w:pStyle w:val="Normal"/>
        <w:spacing w:lineRule="auto" w:line="240" w:before="280" w:after="280"/>
        <w:rPr/>
      </w:pPr>
      <w:r>
        <w:rPr>
          <w:rFonts w:eastAsia="Times New Roman" w:cs="Arial" w:ascii="Arial" w:hAnsi="Arial"/>
          <w:b/>
          <w:bCs/>
          <w:lang w:val="en-GB" w:eastAsia="en-GB"/>
        </w:rPr>
        <w:t>Hours:</w:t>
      </w:r>
      <w:r>
        <w:rPr>
          <w:rFonts w:eastAsia="Times New Roman" w:cs="Arial" w:ascii="Arial" w:hAnsi="Arial"/>
          <w:lang w:val="en-GB" w:eastAsia="en-GB"/>
        </w:rPr>
        <w:t xml:space="preserve"> 35 hours 40 minutes per week, Term Time plus 5 directed days (39 weeks)</w:t>
      </w:r>
    </w:p>
    <w:p>
      <w:pPr>
        <w:pStyle w:val="Title"/>
        <w:rPr>
          <w:color w:val="28348A"/>
        </w:rPr>
      </w:pPr>
      <w:r>
        <w:rPr>
          <w:color w:val="28348A"/>
        </w:rPr>
      </w:r>
    </w:p>
    <w:p>
      <w:pPr>
        <w:pStyle w:val="Normal"/>
        <w:spacing w:lineRule="auto" w:line="240" w:before="0" w:after="0"/>
        <w:rPr>
          <w:rFonts w:ascii="Arial" w:hAnsi="Arial" w:eastAsia="Times New Roman" w:cs="Arial"/>
          <w:color w:val="28348A"/>
          <w:lang w:val="en-GB" w:eastAsia="en-GB"/>
        </w:rPr>
      </w:pPr>
      <w:r>
        <w:rPr>
          <w:rFonts w:eastAsia="Times New Roman" w:cs="Arial" w:ascii="Arial" w:hAnsi="Arial"/>
          <w:color w:val="28348A"/>
          <w:lang w:val="en-GB" w:eastAsia="en-GB"/>
        </w:rPr>
      </w:r>
    </w:p>
    <w:p>
      <w:pPr>
        <w:pStyle w:val="Normal"/>
        <w:numPr>
          <w:ilvl w:val="0"/>
          <w:numId w:val="0"/>
        </w:numPr>
        <w:spacing w:before="280" w:after="280"/>
        <w:ind w:left="0" w:hanging="0"/>
        <w:jc w:val="both"/>
        <w:rPr>
          <w:rFonts w:ascii="Arial" w:hAnsi="Arial" w:eastAsia="Times New Roman" w:cs="Arial"/>
          <w:b/>
          <w:b/>
          <w:bCs/>
          <w:kern w:val="2"/>
          <w:sz w:val="28"/>
          <w:szCs w:val="28"/>
          <w:lang w:val="en-GB" w:eastAsia="en-GB"/>
        </w:rPr>
      </w:pPr>
      <w:r>
        <w:rPr>
          <w:rFonts w:eastAsia="Times New Roman" w:cs="Arial" w:ascii="Arial" w:hAnsi="Arial"/>
          <w:b/>
          <w:bCs/>
          <w:kern w:val="2"/>
          <w:sz w:val="28"/>
          <w:szCs w:val="28"/>
          <w:lang w:val="en-GB" w:eastAsia="en-GB"/>
        </w:rPr>
        <w:t>Purpose of the Role</w:t>
      </w:r>
    </w:p>
    <w:p>
      <w:pPr>
        <w:pStyle w:val="Normal"/>
        <w:spacing w:before="280" w:after="280"/>
        <w:jc w:val="both"/>
        <w:rPr>
          <w:rFonts w:ascii="Arial" w:hAnsi="Arial" w:eastAsia="Times New Roman" w:cs="Arial"/>
          <w:lang w:val="en-GB" w:eastAsia="en-GB"/>
        </w:rPr>
      </w:pPr>
      <w:r>
        <w:rPr>
          <w:rFonts w:eastAsia="Times New Roman" w:cs="Arial" w:ascii="Arial" w:hAnsi="Arial"/>
          <w:lang w:val="en-GB" w:eastAsia="en-GB"/>
        </w:rPr>
        <w:t>To lead the school's catering provision while delivering engaging food education that develops students' independence, confidence and preparation for adulthood. The postholder will provide nutritious meals across the school, support off-site learning through food preparation, and deliver practical food skills and accredited Level 2 Food Safety training as part of the vocational curriculum.</w:t>
      </w:r>
    </w:p>
    <w:p>
      <w:pPr>
        <w:pStyle w:val="Normal"/>
        <w:numPr>
          <w:ilvl w:val="0"/>
          <w:numId w:val="0"/>
        </w:numPr>
        <w:spacing w:before="280" w:after="280"/>
        <w:ind w:left="0" w:hanging="0"/>
        <w:jc w:val="both"/>
        <w:rPr>
          <w:rFonts w:ascii="Arial" w:hAnsi="Arial" w:eastAsia="Times New Roman" w:cs="Arial"/>
          <w:b/>
          <w:b/>
          <w:bCs/>
          <w:kern w:val="2"/>
          <w:sz w:val="28"/>
          <w:szCs w:val="28"/>
          <w:lang w:val="en-GB" w:eastAsia="en-GB"/>
        </w:rPr>
      </w:pPr>
      <w:r>
        <w:rPr>
          <w:rFonts w:eastAsia="Times New Roman" w:cs="Arial" w:ascii="Arial" w:hAnsi="Arial"/>
          <w:b/>
          <w:bCs/>
          <w:kern w:val="2"/>
          <w:sz w:val="28"/>
          <w:szCs w:val="28"/>
          <w:lang w:val="en-GB" w:eastAsia="en-GB"/>
        </w:rPr>
        <w:t>Key Responsibilities</w:t>
      </w:r>
    </w:p>
    <w:p>
      <w:pPr>
        <w:pStyle w:val="Normal"/>
        <w:numPr>
          <w:ilvl w:val="0"/>
          <w:numId w:val="0"/>
        </w:numPr>
        <w:spacing w:before="280" w:after="280"/>
        <w:ind w:left="0" w:hanging="0"/>
        <w:jc w:val="both"/>
        <w:rPr>
          <w:rFonts w:ascii="Arial" w:hAnsi="Arial" w:eastAsia="Times New Roman" w:cs="Arial"/>
          <w:b/>
          <w:b/>
          <w:bCs/>
          <w:lang w:val="en-GB" w:eastAsia="en-GB"/>
        </w:rPr>
      </w:pPr>
      <w:r>
        <w:rPr>
          <w:rFonts w:eastAsia="Times New Roman" w:cs="Arial" w:ascii="Arial" w:hAnsi="Arial"/>
          <w:b/>
          <w:bCs/>
          <w:lang w:val="en-GB" w:eastAsia="en-GB"/>
        </w:rPr>
        <w:t>Catering &amp; Food Provision</w:t>
      </w:r>
    </w:p>
    <w:p>
      <w:pPr>
        <w:pStyle w:val="Normal"/>
        <w:numPr>
          <w:ilvl w:val="0"/>
          <w:numId w:val="2"/>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Plan, prepare and serve healthy breakfasts, lunches and snacks for students and staff. </w:t>
      </w:r>
    </w:p>
    <w:p>
      <w:pPr>
        <w:pStyle w:val="Normal"/>
        <w:numPr>
          <w:ilvl w:val="0"/>
          <w:numId w:val="2"/>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Prepare food for the Vocational Skills Centre, Forest School and other off-site learning activities. </w:t>
      </w:r>
    </w:p>
    <w:p>
      <w:pPr>
        <w:pStyle w:val="Normal"/>
        <w:numPr>
          <w:ilvl w:val="0"/>
          <w:numId w:val="2"/>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Develop menus that promote healthy eating whilst meeting individual dietary, medical, sensory and cultural needs. </w:t>
      </w:r>
    </w:p>
    <w:p>
      <w:pPr>
        <w:pStyle w:val="Normal"/>
        <w:numPr>
          <w:ilvl w:val="0"/>
          <w:numId w:val="2"/>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Manage food purchasing, stock control and kitchen budgets. </w:t>
      </w:r>
    </w:p>
    <w:p>
      <w:pPr>
        <w:pStyle w:val="Normal"/>
        <w:numPr>
          <w:ilvl w:val="0"/>
          <w:numId w:val="2"/>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Ensure consistently high standards of food quality and presentation.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lang w:val="en-GB" w:eastAsia="en-GB"/>
        </w:rPr>
      </w:pPr>
      <w:r>
        <w:rPr>
          <w:rFonts w:eastAsia="Times New Roman" w:cs="Arial" w:ascii="Arial" w:hAnsi="Arial"/>
          <w:b/>
          <w:bCs/>
          <w:lang w:val="en-GB" w:eastAsia="en-GB"/>
        </w:rPr>
        <w:t>Kitchen Management &amp; Compliance</w:t>
      </w:r>
    </w:p>
    <w:p>
      <w:pPr>
        <w:pStyle w:val="Normal"/>
        <w:numPr>
          <w:ilvl w:val="0"/>
          <w:numId w:val="3"/>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Maintain the kitchen in accordance with food hygiene legislation and HACCP requirements. </w:t>
      </w:r>
    </w:p>
    <w:p>
      <w:pPr>
        <w:pStyle w:val="Normal"/>
        <w:numPr>
          <w:ilvl w:val="0"/>
          <w:numId w:val="3"/>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Ensure compliance with food safety, allergen management, COSHH and Health &amp; Safety legislation. </w:t>
      </w:r>
    </w:p>
    <w:p>
      <w:pPr>
        <w:pStyle w:val="Normal"/>
        <w:numPr>
          <w:ilvl w:val="0"/>
          <w:numId w:val="3"/>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Complete food safety records, cleaning schedules and risk assessments. </w:t>
      </w:r>
    </w:p>
    <w:p>
      <w:pPr>
        <w:pStyle w:val="Normal"/>
        <w:numPr>
          <w:ilvl w:val="0"/>
          <w:numId w:val="3"/>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Maintain kitchen equipment and ensure safe working practices. </w:t>
      </w:r>
    </w:p>
    <w:p>
      <w:pPr>
        <w:pStyle w:val="Normal"/>
        <w:numPr>
          <w:ilvl w:val="0"/>
          <w:numId w:val="3"/>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Promote excellent standards of cleanliness and organisation.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lang w:val="en-GB" w:eastAsia="en-GB"/>
        </w:rPr>
      </w:pPr>
      <w:r>
        <w:rPr>
          <w:rFonts w:eastAsia="Times New Roman" w:cs="Arial" w:ascii="Arial" w:hAnsi="Arial"/>
          <w:b/>
          <w:bCs/>
          <w:lang w:val="en-GB" w:eastAsia="en-GB"/>
        </w:rPr>
        <w:t>Vocational Learning &amp; Food Education</w:t>
      </w:r>
    </w:p>
    <w:p>
      <w:pPr>
        <w:pStyle w:val="Normal"/>
        <w:numPr>
          <w:ilvl w:val="0"/>
          <w:numId w:val="4"/>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Plan and deliver practical food skills sessions for individuals and small groups. </w:t>
      </w:r>
    </w:p>
    <w:p>
      <w:pPr>
        <w:pStyle w:val="Normal"/>
        <w:numPr>
          <w:ilvl w:val="0"/>
          <w:numId w:val="4"/>
        </w:numPr>
        <w:spacing w:before="0" w:after="0"/>
        <w:jc w:val="both"/>
        <w:rPr/>
      </w:pPr>
      <w:r>
        <w:rPr>
          <w:rFonts w:eastAsia="Times New Roman" w:cs="Arial" w:ascii="Arial" w:hAnsi="Arial"/>
          <w:lang w:val="en-GB" w:eastAsia="en-GB"/>
        </w:rPr>
        <w:t xml:space="preserve">Deliver accredited including </w:t>
      </w:r>
      <w:r>
        <w:rPr>
          <w:rFonts w:eastAsia="Times New Roman" w:cs="Arial" w:ascii="Arial" w:hAnsi="Arial"/>
          <w:b/>
          <w:bCs/>
          <w:lang w:val="en-GB" w:eastAsia="en-GB"/>
        </w:rPr>
        <w:t>Level 2 Food Safety</w:t>
      </w:r>
      <w:r>
        <w:rPr>
          <w:rFonts w:eastAsia="Times New Roman" w:cs="Arial" w:ascii="Arial" w:hAnsi="Arial"/>
          <w:lang w:val="en-GB" w:eastAsia="en-GB"/>
        </w:rPr>
        <w:t xml:space="preserve"> training to students. </w:t>
      </w:r>
    </w:p>
    <w:p>
      <w:pPr>
        <w:pStyle w:val="Normal"/>
        <w:numPr>
          <w:ilvl w:val="0"/>
          <w:numId w:val="4"/>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Teach food preparation, nutrition, menu planning, budgeting and safe kitchen practice. </w:t>
      </w:r>
    </w:p>
    <w:p>
      <w:pPr>
        <w:pStyle w:val="Normal"/>
        <w:numPr>
          <w:ilvl w:val="0"/>
          <w:numId w:val="4"/>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Develop students' independence, employability and preparation for adulthood through practical learning. </w:t>
      </w:r>
    </w:p>
    <w:p>
      <w:pPr>
        <w:pStyle w:val="Normal"/>
        <w:numPr>
          <w:ilvl w:val="0"/>
          <w:numId w:val="4"/>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Adapt learning activities to meet the needs of students with SEMH, autism and additional learning needs.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lang w:val="en-GB" w:eastAsia="en-GB"/>
        </w:rPr>
      </w:pPr>
      <w:r>
        <w:rPr>
          <w:rFonts w:eastAsia="Times New Roman" w:cs="Arial" w:ascii="Arial" w:hAnsi="Arial"/>
          <w:b/>
          <w:bCs/>
          <w:lang w:val="en-GB" w:eastAsia="en-GB"/>
        </w:rPr>
        <w:t>Student Engagement &amp; Wellbeing</w:t>
      </w:r>
    </w:p>
    <w:p>
      <w:pPr>
        <w:pStyle w:val="Normal"/>
        <w:numPr>
          <w:ilvl w:val="0"/>
          <w:numId w:val="5"/>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Use cooking and food preparation to build confidence, emotional regulation and positive relationships. </w:t>
      </w:r>
    </w:p>
    <w:p>
      <w:pPr>
        <w:pStyle w:val="Normal"/>
        <w:numPr>
          <w:ilvl w:val="0"/>
          <w:numId w:val="5"/>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Encourage teamwork, communication and problem-solving through practical activities. </w:t>
      </w:r>
    </w:p>
    <w:p>
      <w:pPr>
        <w:pStyle w:val="Normal"/>
        <w:numPr>
          <w:ilvl w:val="0"/>
          <w:numId w:val="5"/>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Support students to develop healthy lifestyle choices. </w:t>
      </w:r>
    </w:p>
    <w:p>
      <w:pPr>
        <w:pStyle w:val="Normal"/>
        <w:numPr>
          <w:ilvl w:val="0"/>
          <w:numId w:val="5"/>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Work collaboratively with teaching, SEND and wellbeing teams to support individual outcomes.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lang w:val="en-GB" w:eastAsia="en-GB"/>
        </w:rPr>
      </w:pPr>
      <w:r>
        <w:rPr>
          <w:rFonts w:eastAsia="Times New Roman" w:cs="Arial" w:ascii="Arial" w:hAnsi="Arial"/>
          <w:b/>
          <w:bCs/>
          <w:lang w:val="en-GB" w:eastAsia="en-GB"/>
        </w:rPr>
        <w:t>Professional Responsibilities</w:t>
      </w:r>
    </w:p>
    <w:p>
      <w:pPr>
        <w:pStyle w:val="Normal"/>
        <w:numPr>
          <w:ilvl w:val="0"/>
          <w:numId w:val="6"/>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Work collaboratively with colleagues across the Vocational Skills Centre. </w:t>
      </w:r>
    </w:p>
    <w:p>
      <w:pPr>
        <w:pStyle w:val="Normal"/>
        <w:numPr>
          <w:ilvl w:val="0"/>
          <w:numId w:val="6"/>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Contribute to enrichment activities, themed events and family engagement opportunities. </w:t>
      </w:r>
    </w:p>
    <w:p>
      <w:pPr>
        <w:pStyle w:val="Normal"/>
        <w:numPr>
          <w:ilvl w:val="0"/>
          <w:numId w:val="6"/>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Participate in safeguarding, supervision and professional development. </w:t>
      </w:r>
    </w:p>
    <w:p>
      <w:pPr>
        <w:pStyle w:val="Normal"/>
        <w:numPr>
          <w:ilvl w:val="0"/>
          <w:numId w:val="6"/>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Undertake other duties appropriate to the role.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kern w:val="2"/>
          <w:sz w:val="28"/>
          <w:szCs w:val="28"/>
          <w:lang w:val="en-GB" w:eastAsia="en-GB"/>
        </w:rPr>
      </w:pPr>
      <w:r>
        <w:rPr>
          <w:rFonts w:eastAsia="Times New Roman" w:cs="Arial" w:ascii="Arial" w:hAnsi="Arial"/>
          <w:b/>
          <w:bCs/>
          <w:kern w:val="2"/>
          <w:sz w:val="28"/>
          <w:szCs w:val="28"/>
          <w:lang w:val="en-GB" w:eastAsia="en-GB"/>
        </w:rPr>
        <w:t>Person Specification</w:t>
      </w:r>
    </w:p>
    <w:p>
      <w:pPr>
        <w:pStyle w:val="Normal"/>
        <w:numPr>
          <w:ilvl w:val="0"/>
          <w:numId w:val="0"/>
        </w:numPr>
        <w:spacing w:before="280" w:after="280"/>
        <w:ind w:left="0" w:hanging="0"/>
        <w:jc w:val="both"/>
        <w:rPr>
          <w:rFonts w:ascii="Arial" w:hAnsi="Arial" w:eastAsia="Times New Roman" w:cs="Arial"/>
          <w:b/>
          <w:b/>
          <w:bCs/>
          <w:sz w:val="28"/>
          <w:szCs w:val="28"/>
          <w:lang w:val="en-GB" w:eastAsia="en-GB"/>
        </w:rPr>
      </w:pPr>
      <w:r>
        <w:rPr>
          <w:rFonts w:eastAsia="Times New Roman" w:cs="Arial" w:ascii="Arial" w:hAnsi="Arial"/>
          <w:b/>
          <w:bCs/>
          <w:sz w:val="28"/>
          <w:szCs w:val="28"/>
          <w:lang w:val="en-GB" w:eastAsia="en-GB"/>
        </w:rPr>
        <w:t>Qualifications</w:t>
      </w:r>
    </w:p>
    <w:p>
      <w:pPr>
        <w:pStyle w:val="Normal"/>
        <w:numPr>
          <w:ilvl w:val="0"/>
          <w:numId w:val="0"/>
        </w:numPr>
        <w:spacing w:before="280" w:after="280"/>
        <w:ind w:left="0" w:hanging="0"/>
        <w:jc w:val="both"/>
        <w:rPr>
          <w:rFonts w:ascii="Arial" w:hAnsi="Arial" w:eastAsia="Times New Roman" w:cs="Arial"/>
          <w:b/>
          <w:b/>
          <w:bCs/>
          <w:lang w:val="en-GB" w:eastAsia="en-GB"/>
        </w:rPr>
      </w:pPr>
      <w:r>
        <w:rPr>
          <w:rFonts w:eastAsia="Times New Roman" w:cs="Arial" w:ascii="Arial" w:hAnsi="Arial"/>
          <w:b/>
          <w:bCs/>
          <w:lang w:val="en-GB" w:eastAsia="en-GB"/>
        </w:rPr>
        <w:t>Essential</w:t>
      </w:r>
    </w:p>
    <w:p>
      <w:pPr>
        <w:pStyle w:val="Normal"/>
        <w:numPr>
          <w:ilvl w:val="0"/>
          <w:numId w:val="7"/>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NVQ Level 2 or 3 in Professional Cookery (or equivalent). </w:t>
      </w:r>
    </w:p>
    <w:p>
      <w:pPr>
        <w:pStyle w:val="Normal"/>
        <w:numPr>
          <w:ilvl w:val="0"/>
          <w:numId w:val="7"/>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Level 3 Food Safety and Hygiene Certificate (or willingness to obtain). </w:t>
      </w:r>
    </w:p>
    <w:p>
      <w:pPr>
        <w:pStyle w:val="Normal"/>
        <w:numPr>
          <w:ilvl w:val="0"/>
          <w:numId w:val="7"/>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GCSE English and Mathematics (Grade C/4 or equivalent). </w:t>
      </w:r>
    </w:p>
    <w:p>
      <w:pPr>
        <w:pStyle w:val="Normal"/>
        <w:numPr>
          <w:ilvl w:val="0"/>
          <w:numId w:val="0"/>
        </w:numPr>
        <w:spacing w:before="280" w:after="280"/>
        <w:ind w:left="0" w:hanging="0"/>
        <w:jc w:val="both"/>
        <w:rPr>
          <w:rFonts w:ascii="Arial" w:hAnsi="Arial" w:eastAsia="Times New Roman" w:cs="Arial"/>
          <w:b/>
          <w:b/>
          <w:bCs/>
          <w:lang w:val="en-GB" w:eastAsia="en-GB"/>
        </w:rPr>
      </w:pPr>
      <w:r>
        <w:rPr>
          <w:rFonts w:eastAsia="Times New Roman" w:cs="Arial" w:ascii="Arial" w:hAnsi="Arial"/>
          <w:b/>
          <w:bCs/>
          <w:lang w:val="en-GB" w:eastAsia="en-GB"/>
        </w:rPr>
        <w:t>Desirable</w:t>
      </w:r>
    </w:p>
    <w:p>
      <w:pPr>
        <w:pStyle w:val="Normal"/>
        <w:numPr>
          <w:ilvl w:val="0"/>
          <w:numId w:val="8"/>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Level 2 Award in Food Safety Trainer qualification (or willingness to work towards). </w:t>
      </w:r>
    </w:p>
    <w:p>
      <w:pPr>
        <w:pStyle w:val="Normal"/>
        <w:numPr>
          <w:ilvl w:val="0"/>
          <w:numId w:val="8"/>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Teaching, assessor or vocational training qualification. </w:t>
      </w:r>
    </w:p>
    <w:p>
      <w:pPr>
        <w:pStyle w:val="Normal"/>
        <w:numPr>
          <w:ilvl w:val="0"/>
          <w:numId w:val="8"/>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First Aid qualification.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sz w:val="28"/>
          <w:szCs w:val="28"/>
          <w:lang w:val="en-GB" w:eastAsia="en-GB"/>
        </w:rPr>
      </w:pPr>
      <w:r>
        <w:rPr>
          <w:rFonts w:eastAsia="Times New Roman" w:cs="Arial" w:ascii="Arial" w:hAnsi="Arial"/>
          <w:b/>
          <w:bCs/>
          <w:sz w:val="28"/>
          <w:szCs w:val="28"/>
          <w:lang w:val="en-GB" w:eastAsia="en-GB"/>
        </w:rPr>
        <w:t>Professional Experience</w:t>
      </w:r>
    </w:p>
    <w:p>
      <w:pPr>
        <w:pStyle w:val="Normal"/>
        <w:numPr>
          <w:ilvl w:val="0"/>
          <w:numId w:val="9"/>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Preparing meals within a commercial or educational kitchen. </w:t>
      </w:r>
    </w:p>
    <w:p>
      <w:pPr>
        <w:pStyle w:val="Normal"/>
        <w:numPr>
          <w:ilvl w:val="0"/>
          <w:numId w:val="9"/>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Planning menus and managing food ordering and stock. </w:t>
      </w:r>
    </w:p>
    <w:p>
      <w:pPr>
        <w:pStyle w:val="Normal"/>
        <w:numPr>
          <w:ilvl w:val="0"/>
          <w:numId w:val="9"/>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Catering for dietary, medical and allergen requirements. </w:t>
      </w:r>
    </w:p>
    <w:p>
      <w:pPr>
        <w:pStyle w:val="Normal"/>
        <w:numPr>
          <w:ilvl w:val="0"/>
          <w:numId w:val="9"/>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Maintaining high standards of food hygiene and kitchen compliance. </w:t>
      </w:r>
    </w:p>
    <w:p>
      <w:pPr>
        <w:pStyle w:val="Normal"/>
        <w:numPr>
          <w:ilvl w:val="0"/>
          <w:numId w:val="9"/>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Supporting young people through practical learning or vocational activities.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sz w:val="28"/>
          <w:szCs w:val="28"/>
          <w:lang w:val="en-GB" w:eastAsia="en-GB"/>
        </w:rPr>
      </w:pPr>
      <w:r>
        <w:rPr>
          <w:rFonts w:eastAsia="Times New Roman" w:cs="Arial" w:ascii="Arial" w:hAnsi="Arial"/>
          <w:b/>
          <w:bCs/>
          <w:sz w:val="28"/>
          <w:szCs w:val="28"/>
          <w:lang w:val="en-GB" w:eastAsia="en-GB"/>
        </w:rPr>
        <w:t>Knowledge &amp; Skills</w:t>
      </w:r>
    </w:p>
    <w:p>
      <w:pPr>
        <w:pStyle w:val="Normal"/>
        <w:numPr>
          <w:ilvl w:val="0"/>
          <w:numId w:val="10"/>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Food hygiene legislation and HACCP. </w:t>
      </w:r>
    </w:p>
    <w:p>
      <w:pPr>
        <w:pStyle w:val="Normal"/>
        <w:numPr>
          <w:ilvl w:val="0"/>
          <w:numId w:val="10"/>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Nutrition and healthy eating. </w:t>
      </w:r>
    </w:p>
    <w:p>
      <w:pPr>
        <w:pStyle w:val="Normal"/>
        <w:numPr>
          <w:ilvl w:val="0"/>
          <w:numId w:val="10"/>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Allergen management. </w:t>
      </w:r>
    </w:p>
    <w:p>
      <w:pPr>
        <w:pStyle w:val="Normal"/>
        <w:numPr>
          <w:ilvl w:val="0"/>
          <w:numId w:val="10"/>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Excellent organisational and time management skills. </w:t>
      </w:r>
    </w:p>
    <w:p>
      <w:pPr>
        <w:pStyle w:val="Normal"/>
        <w:numPr>
          <w:ilvl w:val="0"/>
          <w:numId w:val="10"/>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Ability to engage young people through practical learning. </w:t>
      </w:r>
    </w:p>
    <w:p>
      <w:pPr>
        <w:pStyle w:val="Normal"/>
        <w:numPr>
          <w:ilvl w:val="0"/>
          <w:numId w:val="10"/>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Good communication and interpersonal skills. </w:t>
      </w:r>
    </w:p>
    <w:p>
      <w:pPr>
        <w:pStyle w:val="Normal"/>
        <w:numPr>
          <w:ilvl w:val="0"/>
          <w:numId w:val="10"/>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Ability to work flexibly across multiple learning environments. </w:t>
      </w:r>
    </w:p>
    <w:p>
      <w:pPr>
        <w:pStyle w:val="Normal"/>
        <w:spacing w:before="0" w:after="0"/>
        <w:jc w:val="both"/>
        <w:rPr>
          <w:rFonts w:ascii="Arial" w:hAnsi="Arial" w:eastAsia="Times New Roman" w:cs="Arial"/>
          <w:lang w:val="en-GB" w:eastAsia="en-GB"/>
        </w:rPr>
      </w:pPr>
      <w:r>
        <w:rPr>
          <w:rFonts w:eastAsia="Times New Roman" w:cs="Arial" w:ascii="Arial" w:hAnsi="Arial"/>
          <w:lang w:val="en-GB" w:eastAsia="en-GB"/>
        </w:rPr>
      </w:r>
    </w:p>
    <w:p>
      <w:pPr>
        <w:pStyle w:val="Normal"/>
        <w:numPr>
          <w:ilvl w:val="0"/>
          <w:numId w:val="0"/>
        </w:numPr>
        <w:spacing w:before="280" w:after="280"/>
        <w:ind w:left="0" w:hanging="0"/>
        <w:jc w:val="both"/>
        <w:rPr>
          <w:rFonts w:ascii="Arial" w:hAnsi="Arial" w:eastAsia="Times New Roman" w:cs="Arial"/>
          <w:b/>
          <w:b/>
          <w:bCs/>
          <w:sz w:val="28"/>
          <w:szCs w:val="28"/>
          <w:lang w:val="en-GB" w:eastAsia="en-GB"/>
        </w:rPr>
      </w:pPr>
      <w:r>
        <w:rPr>
          <w:rFonts w:eastAsia="Times New Roman" w:cs="Arial" w:ascii="Arial" w:hAnsi="Arial"/>
          <w:b/>
          <w:bCs/>
          <w:sz w:val="28"/>
          <w:szCs w:val="28"/>
          <w:lang w:val="en-GB" w:eastAsia="en-GB"/>
        </w:rPr>
        <w:t>Personal Attributes</w:t>
      </w:r>
    </w:p>
    <w:p>
      <w:pPr>
        <w:pStyle w:val="Normal"/>
        <w:numPr>
          <w:ilvl w:val="0"/>
          <w:numId w:val="11"/>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Positive, patient and approachable. </w:t>
      </w:r>
    </w:p>
    <w:p>
      <w:pPr>
        <w:pStyle w:val="Normal"/>
        <w:numPr>
          <w:ilvl w:val="0"/>
          <w:numId w:val="11"/>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Calm under pressure. </w:t>
      </w:r>
    </w:p>
    <w:p>
      <w:pPr>
        <w:pStyle w:val="Normal"/>
        <w:numPr>
          <w:ilvl w:val="0"/>
          <w:numId w:val="11"/>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Creative and enthusiastic. </w:t>
      </w:r>
    </w:p>
    <w:p>
      <w:pPr>
        <w:pStyle w:val="Normal"/>
        <w:numPr>
          <w:ilvl w:val="0"/>
          <w:numId w:val="11"/>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Highly organised. </w:t>
      </w:r>
    </w:p>
    <w:p>
      <w:pPr>
        <w:pStyle w:val="Normal"/>
        <w:numPr>
          <w:ilvl w:val="0"/>
          <w:numId w:val="11"/>
        </w:numPr>
        <w:spacing w:before="0" w:after="0"/>
        <w:jc w:val="both"/>
        <w:rPr>
          <w:rFonts w:ascii="Arial" w:hAnsi="Arial" w:eastAsia="Times New Roman" w:cs="Arial"/>
          <w:lang w:val="en-GB" w:eastAsia="en-GB"/>
        </w:rPr>
      </w:pPr>
      <w:r>
        <w:rPr>
          <w:rFonts w:eastAsia="Times New Roman" w:cs="Arial" w:ascii="Arial" w:hAnsi="Arial"/>
          <w:lang w:val="en-GB" w:eastAsia="en-GB"/>
        </w:rPr>
        <w:t xml:space="preserve">Committed to inclusion and safeguarding. </w:t>
      </w:r>
    </w:p>
    <w:p>
      <w:pPr>
        <w:pStyle w:val="Normal"/>
        <w:numPr>
          <w:ilvl w:val="0"/>
          <w:numId w:val="11"/>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Passionate about helping young people develop independence and life skills. </w:t>
      </w:r>
    </w:p>
    <w:p>
      <w:pPr>
        <w:pStyle w:val="Normal"/>
        <w:numPr>
          <w:ilvl w:val="0"/>
          <w:numId w:val="0"/>
        </w:numPr>
        <w:spacing w:before="280" w:after="280"/>
        <w:ind w:left="0" w:hanging="0"/>
        <w:jc w:val="both"/>
        <w:rPr>
          <w:rFonts w:ascii="Arial" w:hAnsi="Arial" w:eastAsia="Times New Roman" w:cs="Arial"/>
          <w:b/>
          <w:b/>
          <w:bCs/>
          <w:sz w:val="28"/>
          <w:szCs w:val="28"/>
          <w:lang w:val="en-GB" w:eastAsia="en-GB"/>
        </w:rPr>
      </w:pPr>
      <w:r>
        <w:rPr>
          <w:rFonts w:eastAsia="Times New Roman" w:cs="Arial" w:ascii="Arial" w:hAnsi="Arial"/>
          <w:b/>
          <w:bCs/>
          <w:sz w:val="28"/>
          <w:szCs w:val="28"/>
          <w:lang w:val="en-GB" w:eastAsia="en-GB"/>
        </w:rPr>
        <w:t>Additional Requirements</w:t>
      </w:r>
    </w:p>
    <w:p>
      <w:pPr>
        <w:pStyle w:val="Normal"/>
        <w:numPr>
          <w:ilvl w:val="0"/>
          <w:numId w:val="12"/>
        </w:numPr>
        <w:spacing w:before="280" w:after="0"/>
        <w:jc w:val="both"/>
        <w:rPr>
          <w:rFonts w:ascii="Arial" w:hAnsi="Arial" w:eastAsia="Times New Roman" w:cs="Arial"/>
          <w:lang w:val="en-GB" w:eastAsia="en-GB"/>
        </w:rPr>
      </w:pPr>
      <w:r>
        <w:rPr>
          <w:rFonts w:eastAsia="Times New Roman" w:cs="Arial" w:ascii="Arial" w:hAnsi="Arial"/>
          <w:lang w:val="en-GB" w:eastAsia="en-GB"/>
        </w:rPr>
        <w:t xml:space="preserve">Full UK driving licence. </w:t>
      </w:r>
    </w:p>
    <w:p>
      <w:pPr>
        <w:pStyle w:val="Normal"/>
        <w:numPr>
          <w:ilvl w:val="0"/>
          <w:numId w:val="12"/>
        </w:numPr>
        <w:spacing w:before="0" w:after="280"/>
        <w:jc w:val="both"/>
        <w:rPr>
          <w:rFonts w:ascii="Arial" w:hAnsi="Arial" w:eastAsia="Times New Roman" w:cs="Arial"/>
          <w:lang w:val="en-GB" w:eastAsia="en-GB"/>
        </w:rPr>
      </w:pPr>
      <w:r>
        <w:rPr>
          <w:rFonts w:eastAsia="Times New Roman" w:cs="Arial" w:ascii="Arial" w:hAnsi="Arial"/>
          <w:lang w:val="en-GB" w:eastAsia="en-GB"/>
        </w:rPr>
        <w:t xml:space="preserve">Access to a vehicle insured for business use. </w:t>
      </w:r>
    </w:p>
    <w:p>
      <w:pPr>
        <w:pStyle w:val="Normal"/>
        <w:spacing w:lineRule="auto" w:line="240" w:before="0" w:after="0"/>
        <w:rPr>
          <w:rFonts w:ascii="Calibri" w:hAnsi="Calibri" w:eastAsia="Times New Roman" w:cs="Calibri"/>
          <w:i/>
          <w:i/>
          <w:iCs/>
          <w:kern w:val="2"/>
          <w:szCs w:val="21"/>
          <w:lang w:val="en-GB"/>
        </w:rPr>
      </w:pPr>
      <w:r>
        <w:rPr/>
        <mc:AlternateContent>
          <mc:Choice Requires="wps">
            <w:drawing>
              <wp:inline distT="0" distB="0" distL="0" distR="0">
                <wp:extent cx="5487035" cy="19685"/>
                <wp:effectExtent l="0" t="0" r="0" b="0"/>
                <wp:docPr id="2" name=""/>
                <a:graphic xmlns:a="http://schemas.openxmlformats.org/drawingml/2006/main">
                  <a:graphicData uri="http://schemas.microsoft.com/office/word/2010/wordprocessingShape">
                    <wps:wsp>
                      <wps:cNvSpPr/>
                      <wps:spPr>
                        <a:xfrm>
                          <a:off x="0" y="0"/>
                          <a:ext cx="5486400" cy="1908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95pt;height:1.45pt;mso-position-horizontal-relative:char">
                <w10:wrap type="none"/>
                <v:fill o:detectmouseclick="t" type="solid" color2="#5f5f5f"/>
                <v:stroke color="#3465a4" joinstyle="round" endcap="flat"/>
              </v:rect>
            </w:pict>
          </mc:Fallback>
        </mc:AlternateContent>
      </w:r>
    </w:p>
    <w:p>
      <w:pPr>
        <w:pStyle w:val="Normal"/>
        <w:spacing w:lineRule="auto" w:line="240" w:before="0" w:after="0"/>
        <w:jc w:val="both"/>
        <w:rPr>
          <w:rFonts w:ascii="Calibri" w:hAnsi="Calibri" w:eastAsia="Times New Roman" w:cs="Calibri"/>
          <w:i/>
          <w:i/>
          <w:iCs/>
          <w:kern w:val="2"/>
          <w:szCs w:val="21"/>
          <w:lang w:val="en-GB"/>
        </w:rPr>
      </w:pPr>
      <w:r>
        <w:rPr>
          <w:rFonts w:eastAsia="Times New Roman" w:cs="Calibri" w:ascii="Calibri" w:hAnsi="Calibri"/>
          <w:i/>
          <w:iCs/>
          <w:kern w:val="2"/>
          <w:szCs w:val="21"/>
          <w:lang w:val="en-GB"/>
        </w:rPr>
      </w:r>
    </w:p>
    <w:p>
      <w:pPr>
        <w:pStyle w:val="Normal"/>
        <w:spacing w:lineRule="auto" w:line="240" w:before="0" w:after="0"/>
        <w:jc w:val="both"/>
        <w:rPr>
          <w:rFonts w:ascii="Calibri" w:hAnsi="Calibri" w:eastAsia="Times New Roman" w:cs="Calibri"/>
          <w:i/>
          <w:i/>
          <w:iCs/>
          <w:kern w:val="2"/>
          <w:szCs w:val="21"/>
          <w:lang w:val="en-GB"/>
        </w:rPr>
      </w:pPr>
      <w:r>
        <w:rPr>
          <w:rFonts w:eastAsia="Times New Roman" w:cs="Calibri" w:ascii="Calibri" w:hAnsi="Calibri"/>
          <w:i/>
          <w:iCs/>
          <w:kern w:val="2"/>
          <w:szCs w:val="21"/>
          <w:lang w:val="en-GB"/>
        </w:rPr>
        <w:t>The duties and responsibilities outlined in this job description are indicative and not exhaustive. The post holder may be required to undertake other tasks and duties reasonably requested by management to meet the needs of the organisation. This job description will be reviewed periodically and may be amended in consultation with the post holder.</w:t>
      </w:r>
    </w:p>
    <w:p>
      <w:pPr>
        <w:pStyle w:val="Normal"/>
        <w:spacing w:lineRule="auto" w:line="240" w:before="0" w:after="0"/>
        <w:rPr>
          <w:rFonts w:ascii="Calibri" w:hAnsi="Calibri" w:eastAsia="Times New Roman" w:cs="Calibri"/>
          <w:kern w:val="2"/>
          <w:szCs w:val="21"/>
          <w:lang w:val="en-GB"/>
        </w:rPr>
      </w:pPr>
      <w:r>
        <w:rPr>
          <w:rFonts w:eastAsia="Times New Roman" w:cs="Calibri" w:ascii="Calibri" w:hAnsi="Calibri"/>
          <w:kern w:val="2"/>
          <w:szCs w:val="21"/>
          <w:lang w:val="en-GB"/>
        </w:rPr>
      </w:r>
    </w:p>
    <w:p>
      <w:pPr>
        <w:pStyle w:val="Heading2"/>
        <w:rPr>
          <w:color w:val="auto"/>
        </w:rPr>
      </w:pPr>
      <w:r>
        <w:rPr>
          <w:color w:val="auto"/>
        </w:rPr>
        <w:t xml:space="preserve">Safeguarding </w:t>
      </w:r>
    </w:p>
    <w:p>
      <w:pPr>
        <w:pStyle w:val="Normal"/>
        <w:jc w:val="both"/>
        <w:rPr/>
      </w:pPr>
      <w:r>
        <w:rPr/>
        <w:t>Raise Education &amp; Wellbeing School is committed to safeguarding and promoting the welfare of children and expects all staff to share this commitment. All post-holders are subject to an enhanced DBS check and must comply with the school’s safer recruitment and safeguarding policies.</w:t>
      </w:r>
    </w:p>
    <w:p>
      <w:pPr>
        <w:pStyle w:val="Normal"/>
        <w:spacing w:lineRule="auto" w:line="240" w:before="0" w:after="0"/>
        <w:rPr/>
      </w:pPr>
      <w:r>
        <w:rPr/>
      </w:r>
    </w:p>
    <w:sectPr>
      <w:type w:val="nextPage"/>
      <w:pgSz w:w="12240" w:h="15840"/>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Courier">
    <w:altName w:val="Courier New"/>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lang w:val="en-GB"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mbria" w:hAnsi="Cambria" w:eastAsia="ＭＳ 明朝" w:cs=""/>
      <w:color w:val="auto"/>
      <w:kern w:val="0"/>
      <w:sz w:val="22"/>
      <w:szCs w:val="22"/>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libri" w:hAnsi="Calibri" w:eastAsia="ＭＳ ゴシック"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libri" w:hAnsi="Calibri" w:eastAsia="ＭＳ ゴシック" w:cs=""/>
      <w:b/>
      <w:bCs/>
      <w:color w:val="4F81BD"/>
      <w:sz w:val="26"/>
      <w:szCs w:val="2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ＭＳ ゴシック" w:cs=""/>
      <w:b/>
      <w:bCs/>
      <w:color w:val="4F81BD"/>
    </w:rPr>
  </w:style>
  <w:style w:type="paragraph" w:styleId="Heading4">
    <w:name w:val="Heading 4"/>
    <w:basedOn w:val="Normal"/>
    <w:next w:val="Normal"/>
    <w:qFormat/>
    <w:pPr>
      <w:keepNext w:val="true"/>
      <w:keepLines/>
      <w:numPr>
        <w:ilvl w:val="3"/>
        <w:numId w:val="1"/>
      </w:numPr>
      <w:spacing w:before="200" w:after="0"/>
      <w:outlineLvl w:val="3"/>
    </w:pPr>
    <w:rPr>
      <w:rFonts w:ascii="Calibri" w:hAnsi="Calibri" w:eastAsia="ＭＳ ゴシック" w:cs=""/>
      <w:b/>
      <w:bCs/>
      <w:i/>
      <w:iCs/>
      <w:color w:val="4F81BD"/>
    </w:rPr>
  </w:style>
  <w:style w:type="paragraph" w:styleId="Heading5">
    <w:name w:val="Heading 5"/>
    <w:basedOn w:val="Normal"/>
    <w:next w:val="Normal"/>
    <w:qFormat/>
    <w:pPr>
      <w:keepNext w:val="true"/>
      <w:keepLines/>
      <w:numPr>
        <w:ilvl w:val="4"/>
        <w:numId w:val="1"/>
      </w:numPr>
      <w:spacing w:before="200" w:after="0"/>
      <w:outlineLvl w:val="4"/>
    </w:pPr>
    <w:rPr>
      <w:rFonts w:ascii="Calibri" w:hAnsi="Calibri" w:eastAsia="ＭＳ ゴシック" w:cs=""/>
      <w:color w:val="243F60"/>
    </w:rPr>
  </w:style>
  <w:style w:type="paragraph" w:styleId="Heading6">
    <w:name w:val="Heading 6"/>
    <w:basedOn w:val="Normal"/>
    <w:next w:val="Normal"/>
    <w:qFormat/>
    <w:pPr>
      <w:keepNext w:val="true"/>
      <w:keepLines/>
      <w:numPr>
        <w:ilvl w:val="5"/>
        <w:numId w:val="1"/>
      </w:numPr>
      <w:spacing w:before="200" w:after="0"/>
      <w:outlineLvl w:val="5"/>
    </w:pPr>
    <w:rPr>
      <w:rFonts w:ascii="Calibri" w:hAnsi="Calibri" w:eastAsia="ＭＳ ゴシック" w:cs=""/>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libri" w:hAnsi="Calibri" w:eastAsia="ＭＳ ゴシック" w:cs=""/>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libri" w:hAnsi="Calibri" w:eastAsia="ＭＳ ゴシック" w:cs=""/>
      <w:color w:val="4F81BD"/>
      <w:sz w:val="20"/>
      <w:szCs w:val="20"/>
    </w:rPr>
  </w:style>
  <w:style w:type="paragraph" w:styleId="Heading9">
    <w:name w:val="Heading 9"/>
    <w:basedOn w:val="Normal"/>
    <w:next w:val="Normal"/>
    <w:qFormat/>
    <w:pPr>
      <w:keepNext w:val="true"/>
      <w:keepLines/>
      <w:numPr>
        <w:ilvl w:val="8"/>
        <w:numId w:val="1"/>
      </w:numPr>
      <w:spacing w:before="200" w:after="0"/>
      <w:outlineLvl w:val="8"/>
    </w:pPr>
    <w:rPr>
      <w:rFonts w:ascii="Calibri" w:hAnsi="Calibri" w:eastAsia="ＭＳ ゴシック" w:cs=""/>
      <w:i/>
      <w:iCs/>
      <w:color w:val="404040"/>
      <w:sz w:val="20"/>
      <w:szCs w:val="20"/>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eastAsia="Times New Roman" w:cs="Symbol"/>
      <w:sz w:val="20"/>
      <w:lang w:val="en-GB" w:eastAsia="en-GB"/>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sz w:val="20"/>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Symbol" w:hAnsi="Symbol" w:cs="Symbol"/>
      <w:sz w:val="20"/>
    </w:rPr>
  </w:style>
  <w:style w:type="character" w:styleId="WW8Num10z1">
    <w:name w:val="WW8Num10z1"/>
    <w:qFormat/>
    <w:rPr>
      <w:rFonts w:ascii="Courier New" w:hAnsi="Courier New" w:cs="Courier New"/>
      <w:sz w:val="20"/>
    </w:rPr>
  </w:style>
  <w:style w:type="character" w:styleId="WW8Num10z2">
    <w:name w:val="WW8Num10z2"/>
    <w:qFormat/>
    <w:rPr>
      <w:rFonts w:ascii="Wingdings" w:hAnsi="Wingdings" w:cs="Wingdings"/>
      <w:sz w:val="20"/>
    </w:rPr>
  </w:style>
  <w:style w:type="character" w:styleId="WW8Num11z0">
    <w:name w:val="WW8Num11z0"/>
    <w:qFormat/>
    <w:rPr>
      <w:rFonts w:ascii="Symbol" w:hAnsi="Symbol" w:cs="Symbol"/>
      <w:sz w:val="20"/>
    </w:rPr>
  </w:style>
  <w:style w:type="character" w:styleId="WW8Num11z1">
    <w:name w:val="WW8Num11z1"/>
    <w:qFormat/>
    <w:rPr>
      <w:rFonts w:ascii="Courier New" w:hAnsi="Courier New" w:cs="Courier New"/>
      <w:sz w:val="20"/>
    </w:rPr>
  </w:style>
  <w:style w:type="character" w:styleId="WW8Num11z2">
    <w:name w:val="WW8Num11z2"/>
    <w:qFormat/>
    <w:rPr>
      <w:rFonts w:ascii="Wingdings" w:hAnsi="Wingdings" w:cs="Wingdings"/>
      <w:sz w:val="20"/>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w:hAnsi="Calibri" w:eastAsia="ＭＳ ゴシック" w:cs=""/>
      <w:b/>
      <w:bCs/>
      <w:color w:val="365F91"/>
      <w:sz w:val="28"/>
      <w:szCs w:val="28"/>
    </w:rPr>
  </w:style>
  <w:style w:type="character" w:styleId="Heading2Char">
    <w:name w:val="Heading 2 Char"/>
    <w:basedOn w:val="DefaultParagraphFont"/>
    <w:qFormat/>
    <w:rPr>
      <w:rFonts w:ascii="Calibri" w:hAnsi="Calibri" w:eastAsia="ＭＳ ゴシック" w:cs=""/>
      <w:b/>
      <w:bCs/>
      <w:color w:val="4F81BD"/>
      <w:sz w:val="26"/>
      <w:szCs w:val="26"/>
    </w:rPr>
  </w:style>
  <w:style w:type="character" w:styleId="Heading3Char">
    <w:name w:val="Heading 3 Char"/>
    <w:basedOn w:val="DefaultParagraphFont"/>
    <w:qFormat/>
    <w:rPr>
      <w:rFonts w:ascii="Calibri" w:hAnsi="Calibri" w:eastAsia="ＭＳ ゴシック" w:cs=""/>
      <w:b/>
      <w:bCs/>
      <w:color w:val="4F81BD"/>
    </w:rPr>
  </w:style>
  <w:style w:type="character" w:styleId="TitleChar">
    <w:name w:val="Title Char"/>
    <w:basedOn w:val="DefaultParagraphFont"/>
    <w:qFormat/>
    <w:rPr>
      <w:rFonts w:ascii="Calibri" w:hAnsi="Calibri" w:eastAsia="ＭＳ ゴシック" w:cs=""/>
      <w:color w:val="17365D"/>
      <w:spacing w:val="5"/>
      <w:kern w:val="2"/>
      <w:sz w:val="52"/>
      <w:szCs w:val="52"/>
    </w:rPr>
  </w:style>
  <w:style w:type="character" w:styleId="SubtitleChar">
    <w:name w:val="Subtitle Char"/>
    <w:basedOn w:val="DefaultParagraphFont"/>
    <w:qFormat/>
    <w:rPr>
      <w:rFonts w:ascii="Calibri" w:hAnsi="Calibri" w:eastAsia="ＭＳ ゴシック" w:cs=""/>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Courier New" w:hAnsi="Courier;Courier New" w:cs="Courier;Courier New"/>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eastAsia="ＭＳ ゴシック" w:cs=""/>
      <w:b/>
      <w:bCs/>
      <w:i/>
      <w:iCs/>
      <w:color w:val="4F81BD"/>
    </w:rPr>
  </w:style>
  <w:style w:type="character" w:styleId="Heading5Char">
    <w:name w:val="Heading 5 Char"/>
    <w:basedOn w:val="DefaultParagraphFont"/>
    <w:qFormat/>
    <w:rPr>
      <w:rFonts w:ascii="Calibri" w:hAnsi="Calibri" w:eastAsia="ＭＳ ゴシック" w:cs=""/>
      <w:color w:val="243F60"/>
    </w:rPr>
  </w:style>
  <w:style w:type="character" w:styleId="Heading6Char">
    <w:name w:val="Heading 6 Char"/>
    <w:basedOn w:val="DefaultParagraphFont"/>
    <w:qFormat/>
    <w:rPr>
      <w:rFonts w:ascii="Calibri" w:hAnsi="Calibri" w:eastAsia="ＭＳ ゴシック" w:cs=""/>
      <w:i/>
      <w:iCs/>
      <w:color w:val="243F60"/>
    </w:rPr>
  </w:style>
  <w:style w:type="character" w:styleId="Heading7Char">
    <w:name w:val="Heading 7 Char"/>
    <w:basedOn w:val="DefaultParagraphFont"/>
    <w:qFormat/>
    <w:rPr>
      <w:rFonts w:ascii="Calibri" w:hAnsi="Calibri" w:eastAsia="ＭＳ ゴシック" w:cs=""/>
      <w:i/>
      <w:iCs/>
      <w:color w:val="404040"/>
    </w:rPr>
  </w:style>
  <w:style w:type="character" w:styleId="Heading8Char">
    <w:name w:val="Heading 8 Char"/>
    <w:basedOn w:val="DefaultParagraphFont"/>
    <w:qFormat/>
    <w:rPr>
      <w:rFonts w:ascii="Calibri" w:hAnsi="Calibri" w:eastAsia="ＭＳ ゴシック" w:cs=""/>
      <w:color w:val="4F81BD"/>
      <w:sz w:val="20"/>
      <w:szCs w:val="20"/>
    </w:rPr>
  </w:style>
  <w:style w:type="character" w:styleId="Heading9Char">
    <w:name w:val="Heading 9 Char"/>
    <w:basedOn w:val="DefaultParagraphFont"/>
    <w:qFormat/>
    <w:rPr>
      <w:rFonts w:ascii="Calibri" w:hAnsi="Calibri" w:eastAsia="ＭＳ ゴシック" w:cs=""/>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Normal"/>
    <w:pPr>
      <w:spacing w:before="0" w:after="200"/>
      <w:ind w:left="360" w:right="0" w:hanging="360"/>
      <w:contextualSpacing/>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NoSpacing">
    <w:name w:val="No Spacing"/>
    <w:qFormat/>
    <w:pPr>
      <w:widowControl/>
      <w:suppressAutoHyphens w:val="true"/>
      <w:bidi w:val="0"/>
      <w:spacing w:lineRule="auto" w:line="240" w:before="0" w:after="0"/>
      <w:jc w:val="left"/>
    </w:pPr>
    <w:rPr>
      <w:rFonts w:ascii="Cambria" w:hAnsi="Cambria" w:eastAsia="ＭＳ 明朝" w:cs=""/>
      <w:color w:val="auto"/>
      <w:kern w:val="0"/>
      <w:sz w:val="22"/>
      <w:szCs w:val="22"/>
      <w:lang w:val="en-US" w:eastAsia="en-US" w:bidi="ar-SA"/>
    </w:rPr>
  </w:style>
  <w:style w:type="paragraph" w:styleId="Title">
    <w:name w:val="Title"/>
    <w:basedOn w:val="Normal"/>
    <w:next w:val="Normal"/>
    <w:qFormat/>
    <w:pPr>
      <w:pBdr>
        <w:bottom w:val="single" w:sz="8" w:space="4" w:color="4F81BD"/>
      </w:pBdr>
      <w:spacing w:lineRule="auto" w:line="240" w:before="0" w:after="300"/>
      <w:contextualSpacing/>
    </w:pPr>
    <w:rPr>
      <w:rFonts w:ascii="Calibri" w:hAnsi="Calibri" w:eastAsia="ＭＳ ゴシック" w:cs=""/>
      <w:color w:val="17365D"/>
      <w:spacing w:val="5"/>
      <w:kern w:val="2"/>
      <w:sz w:val="52"/>
      <w:szCs w:val="52"/>
    </w:rPr>
  </w:style>
  <w:style w:type="paragraph" w:styleId="Subtitle">
    <w:name w:val="Subtitle"/>
    <w:basedOn w:val="Normal"/>
    <w:next w:val="Normal"/>
    <w:qFormat/>
    <w:pPr/>
    <w:rPr>
      <w:rFonts w:ascii="Calibri" w:hAnsi="Calibri" w:eastAsia="ＭＳ ゴシック" w:cs=""/>
      <w:i/>
      <w:iCs/>
      <w:color w:val="4F81BD"/>
      <w:spacing w:val="15"/>
      <w:sz w:val="24"/>
      <w:szCs w:val="24"/>
    </w:rPr>
  </w:style>
  <w:style w:type="paragraph" w:styleId="ListParagraph">
    <w:name w:val="List Paragraph"/>
    <w:basedOn w:val="Normal"/>
    <w:qFormat/>
    <w:pPr>
      <w:spacing w:before="0" w:after="200"/>
      <w:ind w:left="720" w:right="0" w:hanging="0"/>
      <w:contextualSpacing/>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List2">
    <w:name w:val="List Bullet 3"/>
    <w:basedOn w:val="Normal"/>
    <w:pPr>
      <w:spacing w:before="0" w:after="200"/>
      <w:ind w:left="720" w:right="0" w:hanging="360"/>
      <w:contextualSpacing/>
    </w:pPr>
    <w:rPr/>
  </w:style>
  <w:style w:type="paragraph" w:styleId="List3">
    <w:name w:val="List Bullet 4"/>
    <w:basedOn w:val="Normal"/>
    <w:pPr>
      <w:spacing w:before="0" w:after="200"/>
      <w:ind w:left="1080" w:right="0" w:hanging="360"/>
      <w:contextualSpacing/>
    </w:pPr>
    <w:rPr/>
  </w:style>
  <w:style w:type="paragraph" w:styleId="ListBullet">
    <w:name w:val="List Bullet"/>
    <w:basedOn w:val="Normal"/>
    <w:qFormat/>
    <w:pPr>
      <w:spacing w:before="0" w:after="200"/>
      <w:contextualSpacing/>
    </w:pPr>
    <w:rPr/>
  </w:style>
  <w:style w:type="paragraph" w:styleId="ListBullet2">
    <w:name w:val="List Bullet 2"/>
    <w:basedOn w:val="Normal"/>
    <w:qFormat/>
    <w:pPr>
      <w:spacing w:before="0" w:after="200"/>
      <w:contextualSpacing/>
    </w:pPr>
    <w:rPr/>
  </w:style>
  <w:style w:type="paragraph" w:styleId="ListBullet3">
    <w:name w:val="List Bullet 3"/>
    <w:basedOn w:val="Normal"/>
    <w:qFormat/>
    <w:pPr>
      <w:spacing w:before="0" w:after="200"/>
      <w:contextualSpacing/>
    </w:pPr>
    <w:rPr/>
  </w:style>
  <w:style w:type="paragraph" w:styleId="ListNumber">
    <w:name w:val="List Number"/>
    <w:basedOn w:val="Normal"/>
    <w:qFormat/>
    <w:pPr>
      <w:spacing w:before="0" w:after="200"/>
      <w:contextualSpacing/>
    </w:pPr>
    <w:rPr/>
  </w:style>
  <w:style w:type="paragraph" w:styleId="ListNumber2">
    <w:name w:val="List Number 2"/>
    <w:basedOn w:val="Normal"/>
    <w:qFormat/>
    <w:pPr>
      <w:spacing w:before="0" w:after="200"/>
      <w:contextualSpacing/>
    </w:pPr>
    <w:rPr/>
  </w:style>
  <w:style w:type="paragraph" w:styleId="ListNumber3">
    <w:name w:val="List Number 3"/>
    <w:basedOn w:val="Normal"/>
    <w:qFormat/>
    <w:pPr>
      <w:spacing w:before="0" w:after="200"/>
      <w:contextualSpacing/>
    </w:pPr>
    <w:rPr/>
  </w:style>
  <w:style w:type="paragraph" w:styleId="ListContinue">
    <w:name w:val="List Continue"/>
    <w:basedOn w:val="Normal"/>
    <w:qFormat/>
    <w:pPr>
      <w:spacing w:before="0" w:after="120"/>
      <w:ind w:left="360" w:right="0" w:hanging="0"/>
      <w:contextualSpacing/>
    </w:pPr>
    <w:rPr/>
  </w:style>
  <w:style w:type="paragraph" w:styleId="ListContinue2">
    <w:name w:val="List Continue 2"/>
    <w:basedOn w:val="Normal"/>
    <w:qFormat/>
    <w:pPr>
      <w:spacing w:before="0" w:after="120"/>
      <w:ind w:left="720" w:right="0" w:hanging="0"/>
      <w:contextualSpacing/>
    </w:pPr>
    <w:rPr/>
  </w:style>
  <w:style w:type="paragraph" w:styleId="ListContinue3">
    <w:name w:val="List Continue 3"/>
    <w:basedOn w:val="Normal"/>
    <w:qFormat/>
    <w:pPr>
      <w:spacing w:before="0" w:after="120"/>
      <w:ind w:left="1080" w:right="0" w:hanging="0"/>
      <w:contextualSpacing/>
    </w:pPr>
    <w:rPr/>
  </w:style>
  <w:style w:type="paragraph" w:styleId="Macro">
    <w:name w:val="macro"/>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Courier New" w:hAnsi="Courier;Courier New" w:eastAsia="ＭＳ 明朝" w:cs=""/>
      <w:color w:val="auto"/>
      <w:kern w:val="0"/>
      <w:sz w:val="20"/>
      <w:szCs w:val="20"/>
      <w:lang w:val="en-US" w:eastAsia="en-US" w:bidi="ar-SA"/>
    </w:rPr>
  </w:style>
  <w:style w:type="paragraph" w:styleId="Quote">
    <w:name w:val="Quote"/>
    <w:basedOn w:val="Normal"/>
    <w:next w:val="Normal"/>
    <w:qFormat/>
    <w:pPr/>
    <w:rPr>
      <w:i/>
      <w:iCs/>
      <w:color w:val="000000"/>
    </w:rPr>
  </w:style>
  <w:style w:type="paragraph" w:styleId="Caption1">
    <w:name w:val="caption"/>
    <w:basedOn w:val="Normal"/>
    <w:next w:val="Normal"/>
    <w:qFormat/>
    <w:pPr>
      <w:spacing w:lineRule="auto" w:line="240"/>
    </w:pPr>
    <w:rPr>
      <w:b/>
      <w:bCs/>
      <w:color w:val="4F81BD"/>
      <w:sz w:val="18"/>
      <w:szCs w:val="18"/>
    </w:rPr>
  </w:style>
  <w:style w:type="paragraph" w:styleId="IntenseQuote">
    <w:name w:val="Intense Quote"/>
    <w:basedOn w:val="Normal"/>
    <w:next w:val="Normal"/>
    <w:qFormat/>
    <w:pPr>
      <w:pBdr>
        <w:bottom w:val="single" w:sz="4" w:space="4" w:color="4F81BD"/>
      </w:pBdr>
      <w:spacing w:before="200" w:after="280"/>
      <w:ind w:left="936" w:right="936" w:hanging="0"/>
    </w:pPr>
    <w:rPr>
      <w:b/>
      <w:bCs/>
      <w:i/>
      <w:iCs/>
      <w:color w:val="4F81BD"/>
    </w:rPr>
  </w:style>
  <w:style w:type="paragraph" w:styleId="TOCHeading">
    <w:name w:val="TOC Heading"/>
    <w:basedOn w:val="Heading1"/>
    <w:next w:val="Normal"/>
    <w:qFormat/>
    <w:pPr>
      <w:numPr>
        <w:ilvl w:val="0"/>
        <w:numId w:val="0"/>
      </w:numPr>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2026-07-16T12:14:00Z</dcterms:created>
  <dc:creator>python-docx</dc:creator>
  <dc:description>generated by python-docx</dc:description>
  <dc:language>en-US</dc:language>
  <cp:lastModifiedBy>Elaine</cp:lastModifiedBy>
  <cp:lastPrinted>1995-11-21T17:41:00Z</cp:lastPrinted>
  <dcterms:modified xsi:type="dcterms:W3CDTF">2026-07-16T12:23:00Z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97d0cb47-6ed4-4079-9a46-b940e93e1741</vt:lpwstr>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