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cs="Calibri" w:ascii="Calibri" w:hAnsi="Calibri"/>
          <w:b/>
          <w:bCs/>
          <w:smallCaps/>
          <w:color w:val="E36C0A"/>
          <w:sz w:val="22"/>
          <w:szCs w:val="22"/>
        </w:rPr>
        <w:t>INFORMATION PACK</w:t>
      </w:r>
      <w:r>
        <w:rPr>
          <w:rFonts w:cs="Calibri" w:ascii="Calibri" w:hAnsi="Calibri"/>
          <w:sz w:val="22"/>
          <w:szCs w:val="22"/>
        </w:rPr>
        <w:br/>
      </w:r>
      <w:r>
        <w:rPr>
          <w:rFonts w:cs="Calibri" w:ascii="Calibri" w:hAnsi="Calibri"/>
          <w:b/>
          <w:sz w:val="22"/>
          <w:szCs w:val="22"/>
        </w:rPr>
        <w:t>PASTORAL AND SEND SUPPORT ASSISTANT</w:t>
      </w:r>
    </w:p>
    <w:p>
      <w:pPr>
        <w:pStyle w:val="Normal"/>
        <w:jc w:val="center"/>
        <w:rPr>
          <w:rFonts w:ascii="Calibri" w:hAnsi="Calibri" w:cs="Calibri"/>
          <w:sz w:val="22"/>
          <w:szCs w:val="22"/>
        </w:rPr>
      </w:pPr>
      <w:r>
        <w:rPr>
          <w:rFonts w:cs="Calibri" w:ascii="Calibri" w:hAnsi="Calibri"/>
          <w:sz w:val="22"/>
          <w:szCs w:val="22"/>
        </w:rPr>
        <w:t xml:space="preserve">Full time, term time only plus 1 week </w:t>
      </w:r>
    </w:p>
    <w:p>
      <w:pPr>
        <w:pStyle w:val="Normal"/>
        <w:jc w:val="center"/>
        <w:rPr/>
      </w:pPr>
      <w:r>
        <w:rPr>
          <w:rFonts w:cs="Calibri" w:ascii="Calibri" w:hAnsi="Calibri"/>
          <w:sz w:val="22"/>
          <w:szCs w:val="22"/>
        </w:rPr>
        <w:t xml:space="preserve">Required from </w:t>
      </w:r>
      <w:r>
        <w:rPr>
          <w:rFonts w:cs="Calibri" w:ascii="Calibri" w:hAnsi="Calibri"/>
          <w:color w:val="auto"/>
          <w:sz w:val="22"/>
          <w:szCs w:val="22"/>
        </w:rPr>
        <w:t>October 2026</w:t>
      </w:r>
    </w:p>
    <w:p>
      <w:pPr>
        <w:pStyle w:val="Normal"/>
        <w:jc w:val="center"/>
        <w:rPr/>
      </w:pPr>
      <w:r>
        <w:rPr>
          <w:rFonts w:cs="Calibri" w:ascii="Calibri" w:hAnsi="Calibri"/>
          <w:b/>
          <w:sz w:val="22"/>
          <w:szCs w:val="22"/>
        </w:rPr>
        <w:br/>
      </w:r>
      <w:r>
        <w:rPr>
          <w:rFonts w:cs="Calibri" w:ascii="Calibri" w:hAnsi="Calibri"/>
          <w:b/>
          <w:bCs/>
          <w:color w:val="E36C0A"/>
          <w:sz w:val="22"/>
          <w:szCs w:val="22"/>
          <w:u w:val="none" w:color="ED7D31"/>
        </w:rPr>
        <w:t>Overview of the Role</w:t>
      </w:r>
    </w:p>
    <w:p>
      <w:pPr>
        <w:pStyle w:val="Normal"/>
        <w:rPr>
          <w:rFonts w:ascii="Calibri" w:hAnsi="Calibri" w:cs="Calibri"/>
          <w:color w:val="auto"/>
          <w:sz w:val="22"/>
          <w:szCs w:val="22"/>
          <w:u w:val="none" w:color="ED7D31"/>
        </w:rPr>
      </w:pPr>
      <w:r>
        <w:rPr>
          <w:rFonts w:cs="Calibri" w:ascii="Calibri" w:hAnsi="Calibri"/>
          <w:color w:val="auto"/>
          <w:sz w:val="22"/>
          <w:szCs w:val="22"/>
          <w:u w:val="none" w:color="ED7D31"/>
        </w:rPr>
      </w:r>
    </w:p>
    <w:p>
      <w:pPr>
        <w:pStyle w:val="Normal"/>
        <w:rPr/>
      </w:pPr>
      <w:r>
        <w:rPr>
          <w:rFonts w:cs="Calibri" w:ascii="Calibri" w:hAnsi="Calibri"/>
          <w:sz w:val="22"/>
          <w:szCs w:val="22"/>
        </w:rPr>
        <w:t xml:space="preserve">We are seeking an enthusiastic and highly motivated person to provide high-quality support to the SENDCo and pastoral leaders at Altrincham Grammar School for Girls in promoting the inclusion, wellbeing, engagement and progress of students across the school.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 xml:space="preserve">As well as providing administrative support, the successful applicant will be expected to play a key role in helping the school to achieve its aims.  The postholder will assist in the support and individual students and groups who require additional SEND and pastoral support, helping them to overcome barriers to learning, develop independence and resilience and participate fully in school life. They will contribute to an inclusive school culture in which students with SEND, neurodivergent students and those with social, emotional or pastoral difficulties are identified, understood and appropriately supported. </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 xml:space="preserve">The role will combine direct student support with effective liaison, record keeping, administration and coordination in support of the school’s SEND and pastoral systems. The role also includes supervising our breakfast club from 7.45 am. </w:t>
      </w:r>
    </w:p>
    <w:p>
      <w:pPr>
        <w:pStyle w:val="Normal"/>
        <w:widowControl w:val="false"/>
        <w:tabs>
          <w:tab w:val="clear" w:pos="720"/>
          <w:tab w:val="left" w:pos="1272" w:leader="none"/>
          <w:tab w:val="left" w:pos="1273" w:leader="none"/>
        </w:tabs>
        <w:rPr>
          <w:rFonts w:ascii="Calibri" w:hAnsi="Calibri" w:cs="Calibri"/>
          <w:sz w:val="22"/>
          <w:szCs w:val="22"/>
        </w:rPr>
      </w:pPr>
      <w:r>
        <w:rPr>
          <w:rFonts w:cs="Calibri" w:ascii="Calibri" w:hAnsi="Calibri"/>
          <w:sz w:val="22"/>
          <w:szCs w:val="22"/>
        </w:rPr>
      </w:r>
    </w:p>
    <w:p>
      <w:pPr>
        <w:pStyle w:val="Normal"/>
        <w:widowControl w:val="false"/>
        <w:tabs>
          <w:tab w:val="clear" w:pos="720"/>
          <w:tab w:val="left" w:pos="1272" w:leader="none"/>
          <w:tab w:val="left" w:pos="1273" w:leader="none"/>
        </w:tabs>
        <w:rPr>
          <w:rFonts w:ascii="Calibri" w:hAnsi="Calibri" w:cs="Calibri"/>
          <w:b/>
          <w:b/>
          <w:bCs/>
          <w:color w:val="ED7D31"/>
          <w:sz w:val="22"/>
          <w:szCs w:val="22"/>
        </w:rPr>
      </w:pPr>
      <w:r>
        <w:rPr>
          <w:rFonts w:cs="Calibri" w:ascii="Calibri" w:hAnsi="Calibri"/>
          <w:b/>
          <w:bCs/>
          <w:color w:val="ED7D31"/>
          <w:sz w:val="22"/>
          <w:szCs w:val="22"/>
        </w:rPr>
      </w:r>
    </w:p>
    <w:p>
      <w:pPr>
        <w:pStyle w:val="Normal"/>
        <w:widowControl w:val="false"/>
        <w:tabs>
          <w:tab w:val="clear" w:pos="720"/>
          <w:tab w:val="left" w:pos="1272" w:leader="none"/>
          <w:tab w:val="left" w:pos="1273" w:leader="none"/>
        </w:tabs>
        <w:rPr>
          <w:rFonts w:ascii="Calibri" w:hAnsi="Calibri" w:cs="Calibri"/>
          <w:b/>
          <w:b/>
          <w:bCs/>
          <w:color w:val="ED7D31"/>
          <w:sz w:val="22"/>
          <w:szCs w:val="22"/>
        </w:rPr>
      </w:pPr>
      <w:r>
        <w:rPr>
          <w:rFonts w:cs="Calibri" w:ascii="Calibri" w:hAnsi="Calibri"/>
          <w:b/>
          <w:bCs/>
          <w:color w:val="ED7D31"/>
          <w:sz w:val="22"/>
          <w:szCs w:val="22"/>
        </w:rPr>
        <w:t>KEY RESPONSIBILITIES AND ACCOUNTABILITIES</w:t>
      </w:r>
    </w:p>
    <w:p>
      <w:pPr>
        <w:pStyle w:val="Normal"/>
        <w:rPr>
          <w:rFonts w:ascii="Calibri" w:hAnsi="Calibri" w:cs="Calibri"/>
          <w:b/>
          <w:b/>
          <w:iCs/>
          <w:sz w:val="22"/>
          <w:szCs w:val="22"/>
        </w:rPr>
      </w:pPr>
      <w:r>
        <w:rPr>
          <w:rFonts w:cs="Calibri" w:ascii="Calibri" w:hAnsi="Calibri"/>
          <w:b/>
          <w:iCs/>
          <w:sz w:val="22"/>
          <w:szCs w:val="22"/>
        </w:rPr>
      </w:r>
    </w:p>
    <w:p>
      <w:pPr>
        <w:pStyle w:val="Normal"/>
        <w:rPr>
          <w:rFonts w:ascii="Calibri" w:hAnsi="Calibri" w:cs="Calibri"/>
          <w:sz w:val="22"/>
          <w:szCs w:val="22"/>
        </w:rPr>
      </w:pPr>
      <w:r>
        <w:rPr>
          <w:rFonts w:cs="Calibri" w:ascii="Calibri" w:hAnsi="Calibri"/>
          <w:sz w:val="22"/>
          <w:szCs w:val="22"/>
        </w:rPr>
        <w:t>Responsibilities will include the following:</w:t>
      </w:r>
    </w:p>
    <w:p>
      <w:pPr>
        <w:pStyle w:val="ListParagraph"/>
        <w:numPr>
          <w:ilvl w:val="0"/>
          <w:numId w:val="10"/>
        </w:numPr>
        <w:spacing w:lineRule="auto" w:line="240" w:before="0" w:after="0"/>
        <w:ind w:left="714" w:right="0" w:hanging="357"/>
        <w:rPr>
          <w:rFonts w:cs="Calibri"/>
        </w:rPr>
      </w:pPr>
      <w:r>
        <w:rPr>
          <w:rFonts w:cs="Calibri"/>
        </w:rPr>
        <w:t>Supervision of and engagement with students in breakfast club.</w:t>
      </w:r>
    </w:p>
    <w:p>
      <w:pPr>
        <w:pStyle w:val="ListParagraph"/>
        <w:numPr>
          <w:ilvl w:val="0"/>
          <w:numId w:val="10"/>
        </w:numPr>
        <w:spacing w:lineRule="auto" w:line="240" w:before="0" w:after="0"/>
        <w:ind w:left="714" w:right="0" w:hanging="357"/>
        <w:rPr>
          <w:rFonts w:cs="Calibri"/>
        </w:rPr>
      </w:pPr>
      <w:r>
        <w:rPr>
          <w:rFonts w:cs="Calibri"/>
        </w:rPr>
        <w:t xml:space="preserve">Supporting the Pastoral Assistant responsible for attendance with monitoring attendance and punctuality, identifying concerns and liaising with senior tutors/assistant senior tutors and the Vice Principal as required and making appropriate and timely referrals to Trafford’s Pupil Absence Team. </w:t>
      </w:r>
    </w:p>
    <w:p>
      <w:pPr>
        <w:pStyle w:val="ListParagraph"/>
        <w:numPr>
          <w:ilvl w:val="0"/>
          <w:numId w:val="10"/>
        </w:numPr>
        <w:spacing w:lineRule="auto" w:line="240" w:before="0" w:after="0"/>
        <w:ind w:left="714" w:right="0" w:hanging="357"/>
        <w:rPr>
          <w:rFonts w:cs="Calibri"/>
        </w:rPr>
      </w:pPr>
      <w:r>
        <w:rPr>
          <w:rFonts w:cs="Calibri"/>
        </w:rPr>
        <w:t>Checking that vulnerable students are in school and arrive at their lessons.</w:t>
      </w:r>
    </w:p>
    <w:p>
      <w:pPr>
        <w:pStyle w:val="ListParagraph"/>
        <w:numPr>
          <w:ilvl w:val="0"/>
          <w:numId w:val="10"/>
        </w:numPr>
        <w:spacing w:lineRule="auto" w:line="240" w:before="0" w:after="0"/>
        <w:ind w:left="714" w:right="0" w:hanging="357"/>
        <w:rPr>
          <w:rFonts w:cs=""/>
        </w:rPr>
      </w:pPr>
      <w:r>
        <w:rPr>
          <w:rFonts w:cs=""/>
        </w:rPr>
        <w:t xml:space="preserve">Assisting the senior and assistant senior tutors to monitor students who are on attendance, punctuality and behaviour reports.  </w:t>
      </w:r>
    </w:p>
    <w:p>
      <w:pPr>
        <w:pStyle w:val="ListParagraph"/>
        <w:numPr>
          <w:ilvl w:val="0"/>
          <w:numId w:val="10"/>
        </w:numPr>
        <w:spacing w:lineRule="auto" w:line="240" w:before="0" w:after="0"/>
        <w:ind w:left="714" w:right="0" w:hanging="357"/>
        <w:rPr>
          <w:rFonts w:cs="Calibri"/>
        </w:rPr>
      </w:pPr>
      <w:r>
        <w:rPr>
          <w:rFonts w:cs="Calibri"/>
        </w:rPr>
        <w:t>Dealing with requests for special leave and medical appointments, including requests for holidays in term-time, in liaison with the Vice-Principal on this issue.</w:t>
      </w:r>
    </w:p>
    <w:p>
      <w:pPr>
        <w:pStyle w:val="ListParagraph"/>
        <w:numPr>
          <w:ilvl w:val="0"/>
          <w:numId w:val="10"/>
        </w:numPr>
        <w:spacing w:lineRule="auto" w:line="240" w:before="0" w:after="0"/>
        <w:ind w:left="714" w:right="0" w:hanging="357"/>
        <w:rPr>
          <w:rFonts w:cs="Calibri"/>
        </w:rPr>
      </w:pPr>
      <w:r>
        <w:rPr>
          <w:rFonts w:cs="Calibri"/>
        </w:rPr>
        <w:t>Liaising with parents and outside agencies on SEND and pastoral matters.</w:t>
      </w:r>
    </w:p>
    <w:p>
      <w:pPr>
        <w:pStyle w:val="ListParagraph"/>
        <w:numPr>
          <w:ilvl w:val="0"/>
          <w:numId w:val="10"/>
        </w:numPr>
        <w:spacing w:lineRule="auto" w:line="240" w:before="0" w:after="0"/>
        <w:ind w:left="714" w:right="0" w:hanging="357"/>
        <w:rPr>
          <w:rFonts w:cs=""/>
        </w:rPr>
      </w:pPr>
      <w:r>
        <w:rPr>
          <w:rFonts w:cs=""/>
        </w:rPr>
        <w:t>Liaising with the School Nurse and arranging appointments for students.</w:t>
      </w:r>
    </w:p>
    <w:p>
      <w:pPr>
        <w:pStyle w:val="ListParagraph"/>
        <w:numPr>
          <w:ilvl w:val="0"/>
          <w:numId w:val="10"/>
        </w:numPr>
        <w:spacing w:lineRule="auto" w:line="240" w:before="0" w:after="0"/>
        <w:ind w:left="714" w:right="0" w:hanging="357"/>
        <w:rPr>
          <w:rFonts w:cs="Calibri"/>
        </w:rPr>
      </w:pPr>
      <w:r>
        <w:rPr>
          <w:rFonts w:cs="Calibri"/>
        </w:rPr>
        <w:t>Liaising with the School Nurse and EPSO team, arranging appointments, booking rooms and logging appointments on Bromcom.</w:t>
      </w:r>
    </w:p>
    <w:p>
      <w:pPr>
        <w:pStyle w:val="ListParagraph"/>
        <w:numPr>
          <w:ilvl w:val="0"/>
          <w:numId w:val="10"/>
        </w:numPr>
        <w:spacing w:lineRule="auto" w:line="240" w:before="0" w:after="0"/>
        <w:ind w:left="714" w:right="0" w:hanging="357"/>
        <w:rPr>
          <w:rFonts w:cs="Calibri"/>
        </w:rPr>
      </w:pPr>
      <w:r>
        <w:rPr>
          <w:rFonts w:cs="Calibri"/>
        </w:rPr>
        <w:t xml:space="preserve">Arranging meetings for the SENDCo, Vice Principal, Lead Senior Tutor, Senior Tutors and Assistant Senior Tutors as required. </w:t>
      </w:r>
    </w:p>
    <w:p>
      <w:pPr>
        <w:pStyle w:val="ListParagraph"/>
        <w:numPr>
          <w:ilvl w:val="0"/>
          <w:numId w:val="10"/>
        </w:numPr>
        <w:spacing w:lineRule="auto" w:line="240" w:before="0" w:after="0"/>
        <w:ind w:left="714" w:right="0" w:hanging="357"/>
        <w:rPr>
          <w:rFonts w:cs="Calibri"/>
        </w:rPr>
      </w:pPr>
      <w:r>
        <w:rPr>
          <w:rFonts w:cs="Calibri"/>
        </w:rPr>
        <w:t>Meeting parents or visitors who come into school and taking them to the meeting place.</w:t>
      </w:r>
    </w:p>
    <w:p>
      <w:pPr>
        <w:pStyle w:val="ListParagraph"/>
        <w:numPr>
          <w:ilvl w:val="0"/>
          <w:numId w:val="10"/>
        </w:numPr>
        <w:spacing w:lineRule="auto" w:line="240" w:before="0" w:after="0"/>
        <w:ind w:left="714" w:right="0" w:hanging="357"/>
        <w:rPr>
          <w:rFonts w:cs="Calibri"/>
        </w:rPr>
      </w:pPr>
      <w:r>
        <w:rPr>
          <w:rFonts w:cs="Calibri"/>
        </w:rPr>
        <w:t>Participating in meetings with parents and outside agencies related to pastoral or SEND concerns, taking minutes as required.</w:t>
      </w:r>
    </w:p>
    <w:p>
      <w:pPr>
        <w:pStyle w:val="ListParagraph"/>
        <w:numPr>
          <w:ilvl w:val="0"/>
          <w:numId w:val="10"/>
        </w:numPr>
        <w:spacing w:lineRule="auto" w:line="240" w:before="0" w:after="0"/>
        <w:ind w:left="714" w:right="0" w:hanging="357"/>
        <w:rPr>
          <w:rFonts w:cs=""/>
        </w:rPr>
      </w:pPr>
      <w:r>
        <w:rPr>
          <w:rFonts w:cs=""/>
        </w:rPr>
        <w:t xml:space="preserve">Assisting the SENDCo in the review of the access to learning plans of students with SEND, including updates or amendments and the communication of this with staff and parents. </w:t>
      </w:r>
    </w:p>
    <w:p>
      <w:pPr>
        <w:pStyle w:val="ListParagraph"/>
        <w:numPr>
          <w:ilvl w:val="0"/>
          <w:numId w:val="10"/>
        </w:numPr>
        <w:spacing w:lineRule="auto" w:line="240" w:before="0" w:after="0"/>
        <w:ind w:left="714" w:right="0" w:hanging="357"/>
        <w:rPr>
          <w:rFonts w:cs="Calibri"/>
        </w:rPr>
      </w:pPr>
      <w:r>
        <w:rPr>
          <w:rFonts w:cs="Calibri"/>
        </w:rPr>
        <w:t>Producing and sending letters on request, photocopying, distributing materials and filing.</w:t>
      </w:r>
    </w:p>
    <w:p>
      <w:pPr>
        <w:pStyle w:val="ListParagraph"/>
        <w:numPr>
          <w:ilvl w:val="0"/>
          <w:numId w:val="10"/>
        </w:numPr>
        <w:spacing w:lineRule="auto" w:line="240" w:before="0" w:after="0"/>
        <w:ind w:left="714" w:right="0" w:hanging="357"/>
        <w:rPr>
          <w:rFonts w:cs=""/>
        </w:rPr>
      </w:pPr>
      <w:r>
        <w:rPr>
          <w:rFonts w:cs=""/>
        </w:rPr>
        <w:t>Assisting with gathering information for SEND assessments, reviews and referrals including requesting ‘round robins’ from subject tutors as requested.</w:t>
      </w:r>
    </w:p>
    <w:p>
      <w:pPr>
        <w:pStyle w:val="ListParagraph"/>
        <w:numPr>
          <w:ilvl w:val="0"/>
          <w:numId w:val="10"/>
        </w:numPr>
        <w:spacing w:lineRule="auto" w:line="240" w:before="0" w:after="0"/>
        <w:ind w:left="714" w:right="0" w:hanging="357"/>
        <w:rPr>
          <w:rFonts w:cs=""/>
        </w:rPr>
      </w:pPr>
      <w:r>
        <w:rPr>
          <w:rFonts w:cs=""/>
        </w:rPr>
        <w:t xml:space="preserve">Supporting the implementation of student support plans including Individual Health Care Plans and Education, Health and Care Plans, where applicable. </w:t>
      </w:r>
    </w:p>
    <w:p>
      <w:pPr>
        <w:pStyle w:val="ListParagraph"/>
        <w:numPr>
          <w:ilvl w:val="0"/>
          <w:numId w:val="10"/>
        </w:numPr>
        <w:spacing w:lineRule="auto" w:line="240" w:before="0" w:after="0"/>
        <w:ind w:left="714" w:right="0" w:hanging="357"/>
        <w:rPr>
          <w:rFonts w:cs=""/>
        </w:rPr>
      </w:pPr>
      <w:r>
        <w:rPr>
          <w:rFonts w:cs=""/>
        </w:rPr>
        <w:t xml:space="preserve">Working collaboratively with the SENDCo, Senior and Assistant Senior Tutors to identify concerns and coordinate appropriate support. </w:t>
      </w:r>
    </w:p>
    <w:p>
      <w:pPr>
        <w:pStyle w:val="ListParagraph"/>
        <w:numPr>
          <w:ilvl w:val="0"/>
          <w:numId w:val="10"/>
        </w:numPr>
        <w:spacing w:lineRule="auto" w:line="240" w:before="0" w:after="0"/>
        <w:ind w:left="714" w:right="0" w:hanging="357"/>
        <w:rPr>
          <w:rFonts w:cs=""/>
        </w:rPr>
      </w:pPr>
      <w:r>
        <w:rPr>
          <w:rFonts w:cs=""/>
        </w:rPr>
        <w:t xml:space="preserve">Providing appropriate support, mentoring and check-ins for identified students. This will include students experiencing anxiety, friendship difficulties, transition issues, emotional regulation difficulties or other barriers to their successful participation in school. </w:t>
      </w:r>
    </w:p>
    <w:p>
      <w:pPr>
        <w:pStyle w:val="ListParagraph"/>
        <w:numPr>
          <w:ilvl w:val="0"/>
          <w:numId w:val="10"/>
        </w:numPr>
        <w:spacing w:lineRule="auto" w:line="240" w:before="0" w:after="0"/>
        <w:ind w:left="714" w:right="0" w:hanging="357"/>
        <w:rPr>
          <w:rFonts w:cs=""/>
        </w:rPr>
      </w:pPr>
      <w:r>
        <w:rPr>
          <w:rFonts w:cs=""/>
        </w:rPr>
        <w:t xml:space="preserve">Encouraging students to take increasing responsibility for their own wellbeing, organisation and learning. </w:t>
      </w:r>
    </w:p>
    <w:p>
      <w:pPr>
        <w:pStyle w:val="ListParagraph"/>
        <w:numPr>
          <w:ilvl w:val="0"/>
          <w:numId w:val="10"/>
        </w:numPr>
        <w:spacing w:lineRule="auto" w:line="240" w:before="0" w:after="0"/>
        <w:ind w:left="714" w:right="0" w:hanging="357"/>
        <w:rPr>
          <w:rFonts w:cs=""/>
        </w:rPr>
      </w:pPr>
      <w:r>
        <w:rPr>
          <w:rFonts w:cs=""/>
        </w:rPr>
        <w:t xml:space="preserve">Recognising when concerns require escalation to the SENDCo, senior tutors, Designated Safeguarding Lead or another appropriate member of staff. </w:t>
      </w:r>
    </w:p>
    <w:p>
      <w:pPr>
        <w:pStyle w:val="ListParagraph"/>
        <w:numPr>
          <w:ilvl w:val="0"/>
          <w:numId w:val="10"/>
        </w:numPr>
        <w:spacing w:lineRule="auto" w:line="240" w:before="0" w:after="0"/>
        <w:ind w:left="714" w:right="0" w:hanging="357"/>
        <w:rPr>
          <w:rFonts w:cs="Calibri"/>
        </w:rPr>
      </w:pPr>
      <w:r>
        <w:rPr>
          <w:rFonts w:cs="Calibri"/>
        </w:rPr>
        <w:t xml:space="preserve">Keeping students’ information files up to date. </w:t>
      </w:r>
    </w:p>
    <w:p>
      <w:pPr>
        <w:pStyle w:val="ListParagraph"/>
        <w:numPr>
          <w:ilvl w:val="0"/>
          <w:numId w:val="10"/>
        </w:numPr>
        <w:spacing w:lineRule="auto" w:line="240" w:before="0" w:after="0"/>
        <w:ind w:left="714" w:right="0" w:hanging="357"/>
        <w:rPr>
          <w:rFonts w:cs="Calibri"/>
        </w:rPr>
      </w:pPr>
      <w:r>
        <w:rPr>
          <w:rFonts w:cs="Calibri"/>
        </w:rPr>
        <w:t xml:space="preserve">Maintaining accurate and confidential records of any incidents/discussions and making these known to appropriate people, logging on Bromcom or CPOMS as required. </w:t>
      </w:r>
    </w:p>
    <w:p>
      <w:pPr>
        <w:pStyle w:val="ListParagraph"/>
        <w:numPr>
          <w:ilvl w:val="0"/>
          <w:numId w:val="10"/>
        </w:numPr>
        <w:spacing w:lineRule="auto" w:line="240" w:before="0" w:after="0"/>
        <w:ind w:left="714" w:right="0" w:hanging="357"/>
        <w:rPr>
          <w:rFonts w:cs="Calibri"/>
        </w:rPr>
      </w:pPr>
      <w:r>
        <w:rPr>
          <w:rFonts w:cs="Calibri"/>
        </w:rPr>
        <w:t xml:space="preserve">Adding pastoral details to the school’s database. </w:t>
      </w:r>
    </w:p>
    <w:p>
      <w:pPr>
        <w:pStyle w:val="ListParagraph"/>
        <w:numPr>
          <w:ilvl w:val="0"/>
          <w:numId w:val="10"/>
        </w:numPr>
        <w:spacing w:lineRule="auto" w:line="240" w:before="0" w:after="0"/>
        <w:ind w:left="714" w:right="0" w:hanging="357"/>
        <w:rPr>
          <w:rFonts w:cs=""/>
        </w:rPr>
      </w:pPr>
      <w:r>
        <w:rPr>
          <w:rFonts w:cs=""/>
        </w:rPr>
        <w:t xml:space="preserve">Building positive, professional relationships with students, providing a consistent and trusted point of contact for vulnerable students and those struggling with their well-being. </w:t>
      </w:r>
    </w:p>
    <w:p>
      <w:pPr>
        <w:pStyle w:val="ListParagraph"/>
        <w:numPr>
          <w:ilvl w:val="0"/>
          <w:numId w:val="10"/>
        </w:numPr>
        <w:spacing w:lineRule="auto" w:line="240" w:before="0" w:after="0"/>
        <w:ind w:left="714" w:right="0" w:hanging="357"/>
        <w:rPr>
          <w:rFonts w:cs=""/>
        </w:rPr>
      </w:pPr>
      <w:r>
        <w:rPr>
          <w:rFonts w:cs=""/>
        </w:rPr>
        <w:t xml:space="preserve">Managing and logging the use of time-out cards, the sensory and medical rooms. </w:t>
      </w:r>
    </w:p>
    <w:p>
      <w:pPr>
        <w:pStyle w:val="ListParagraph"/>
        <w:numPr>
          <w:ilvl w:val="0"/>
          <w:numId w:val="10"/>
        </w:numPr>
        <w:spacing w:lineRule="auto" w:line="240" w:before="0" w:after="0"/>
        <w:ind w:left="714" w:right="0" w:hanging="357"/>
        <w:rPr>
          <w:rFonts w:cs=""/>
        </w:rPr>
      </w:pPr>
      <w:r>
        <w:rPr>
          <w:rFonts w:cs=""/>
        </w:rPr>
        <w:t>Acting as a first aider and completing of appropriate forms, as well as attending hospital with injured students if required.</w:t>
      </w:r>
    </w:p>
    <w:p>
      <w:pPr>
        <w:pStyle w:val="ListParagraph"/>
        <w:spacing w:lineRule="auto" w:line="240" w:before="0" w:after="0"/>
        <w:ind w:left="714" w:right="0" w:hanging="0"/>
        <w:rPr>
          <w:rFonts w:cs="Calibri"/>
        </w:rPr>
      </w:pPr>
      <w:r>
        <w:rPr>
          <w:rFonts w:cs="Calibri"/>
        </w:rPr>
      </w:r>
    </w:p>
    <w:p>
      <w:pPr>
        <w:pStyle w:val="ListParagraph"/>
        <w:spacing w:lineRule="auto" w:line="240" w:before="0" w:after="0"/>
        <w:ind w:left="1069" w:right="0" w:hanging="0"/>
        <w:rPr>
          <w:rFonts w:cs="Calibri"/>
        </w:rPr>
      </w:pPr>
      <w:r>
        <w:rPr>
          <w:rFonts w:cs="Calibri"/>
        </w:rPr>
      </w:r>
    </w:p>
    <w:p>
      <w:pPr>
        <w:pStyle w:val="Normal"/>
        <w:rPr>
          <w:rFonts w:ascii="Calibri" w:hAnsi="Calibri" w:cs="Calibri"/>
          <w:b/>
          <w:b/>
          <w:iCs/>
          <w:sz w:val="22"/>
          <w:szCs w:val="22"/>
        </w:rPr>
      </w:pPr>
      <w:r>
        <w:rPr>
          <w:rFonts w:cs="Calibri" w:ascii="Calibri" w:hAnsi="Calibri"/>
          <w:b/>
          <w:iCs/>
          <w:sz w:val="22"/>
          <w:szCs w:val="22"/>
        </w:rPr>
        <w:t>Additional responsibilities</w:t>
      </w:r>
    </w:p>
    <w:p>
      <w:pPr>
        <w:pStyle w:val="ListParagraph"/>
        <w:numPr>
          <w:ilvl w:val="0"/>
          <w:numId w:val="11"/>
        </w:numPr>
        <w:spacing w:before="0" w:after="0"/>
        <w:ind w:left="714" w:right="0" w:hanging="357"/>
        <w:rPr>
          <w:rFonts w:cs="Calibri"/>
        </w:rPr>
      </w:pPr>
      <w:r>
        <w:rPr>
          <w:rFonts w:cs="Calibri"/>
        </w:rPr>
        <w:t xml:space="preserve">Assisting learning support assistants in attending to the physical and personal needs of identified students, including supervision of specialist equipment such as a hoist to aid toilet access and movement in and out of a wheelchair and to aid their personal evacuation plans.  </w:t>
      </w:r>
    </w:p>
    <w:p>
      <w:pPr>
        <w:pStyle w:val="ListParagraph"/>
        <w:numPr>
          <w:ilvl w:val="0"/>
          <w:numId w:val="11"/>
        </w:numPr>
        <w:spacing w:before="0" w:after="0"/>
        <w:ind w:left="714" w:right="0" w:hanging="357"/>
        <w:rPr>
          <w:rFonts w:cs="Calibri"/>
        </w:rPr>
      </w:pPr>
      <w:r>
        <w:rPr>
          <w:rFonts w:cs="Calibri"/>
        </w:rPr>
        <w:t xml:space="preserve">Assisting in the organisation and management of parents’ evenings. </w:t>
      </w:r>
    </w:p>
    <w:p>
      <w:pPr>
        <w:pStyle w:val="ListParagraph"/>
        <w:numPr>
          <w:ilvl w:val="0"/>
          <w:numId w:val="11"/>
        </w:numPr>
        <w:spacing w:before="0" w:after="0"/>
        <w:ind w:left="714" w:right="0" w:hanging="357"/>
        <w:rPr>
          <w:rFonts w:eastAsia="Times New Roman" w:cs="Calibri"/>
          <w:color w:val="auto"/>
        </w:rPr>
      </w:pPr>
      <w:r>
        <w:rPr>
          <w:rFonts w:eastAsia="Times New Roman" w:cs="Calibri"/>
          <w:color w:val="auto"/>
        </w:rPr>
        <w:t xml:space="preserve">Assisting in the arrangements and management of immunisations administered in school by the Trafford Immunisation Team. </w:t>
      </w:r>
    </w:p>
    <w:p>
      <w:pPr>
        <w:pStyle w:val="ListParagraph"/>
        <w:numPr>
          <w:ilvl w:val="0"/>
          <w:numId w:val="9"/>
        </w:numPr>
        <w:pBdr/>
        <w:spacing w:lineRule="auto" w:line="240" w:before="0" w:after="0"/>
        <w:ind w:left="714" w:right="0" w:hanging="357"/>
        <w:rPr>
          <w:rFonts w:eastAsia="Times New Roman" w:cs="Calibri"/>
          <w:color w:val="auto"/>
        </w:rPr>
      </w:pPr>
      <w:r>
        <w:rPr>
          <w:rFonts w:eastAsia="Times New Roman" w:cs="Calibri"/>
          <w:color w:val="auto"/>
        </w:rPr>
        <w:t>Acting as a priority first aider.</w:t>
      </w:r>
    </w:p>
    <w:p>
      <w:pPr>
        <w:pStyle w:val="ListParagraph"/>
        <w:numPr>
          <w:ilvl w:val="0"/>
          <w:numId w:val="9"/>
        </w:numPr>
        <w:pBdr/>
        <w:spacing w:lineRule="auto" w:line="240" w:before="0" w:after="0"/>
        <w:ind w:left="714" w:right="0" w:hanging="357"/>
        <w:rPr>
          <w:rFonts w:eastAsia="Times New Roman" w:cs="Calibri"/>
          <w:color w:val="auto"/>
        </w:rPr>
      </w:pPr>
      <w:r>
        <w:rPr>
          <w:rFonts w:eastAsia="Times New Roman" w:cs="Calibri"/>
          <w:color w:val="auto"/>
        </w:rPr>
        <w:t>Assessing and dealing with sick students and students experiencing trauma in school; liaising with other pastoral staff and parents.</w:t>
      </w:r>
    </w:p>
    <w:p>
      <w:pPr>
        <w:pStyle w:val="ListParagraph"/>
        <w:numPr>
          <w:ilvl w:val="0"/>
          <w:numId w:val="9"/>
        </w:numPr>
        <w:spacing w:lineRule="auto" w:line="240" w:before="0" w:after="0"/>
        <w:ind w:left="714" w:right="0" w:hanging="357"/>
        <w:rPr>
          <w:rFonts w:eastAsia="Times New Roman" w:cs="Calibri"/>
          <w:color w:val="auto"/>
        </w:rPr>
      </w:pPr>
      <w:r>
        <w:rPr>
          <w:rFonts w:eastAsia="Times New Roman" w:cs="Calibri"/>
          <w:color w:val="auto"/>
        </w:rPr>
        <w:t>Attending hospital with students if an ambulance is called, until parents arrive.</w:t>
      </w:r>
    </w:p>
    <w:p>
      <w:pPr>
        <w:pStyle w:val="Normal"/>
        <w:rPr>
          <w:rFonts w:ascii="Calibri" w:hAnsi="Calibri" w:eastAsia="Times New Roman" w:cs="Calibri"/>
          <w:color w:val="auto"/>
        </w:rPr>
      </w:pPr>
      <w:r>
        <w:rPr>
          <w:rFonts w:eastAsia="Times New Roman" w:cs="Calibri" w:ascii="Calibri" w:hAnsi="Calibri"/>
          <w:color w:val="auto"/>
        </w:rPr>
      </w:r>
    </w:p>
    <w:p>
      <w:pPr>
        <w:pStyle w:val="Normal"/>
        <w:rPr>
          <w:rFonts w:ascii="Calibri" w:hAnsi="Calibri" w:eastAsia="Times New Roman" w:cs="Calibri"/>
          <w:color w:val="auto"/>
          <w:sz w:val="22"/>
          <w:szCs w:val="22"/>
        </w:rPr>
      </w:pPr>
      <w:r>
        <w:rPr>
          <w:rFonts w:eastAsia="Times New Roman" w:cs="Calibri" w:ascii="Calibri" w:hAnsi="Calibri"/>
          <w:color w:val="auto"/>
          <w:sz w:val="22"/>
          <w:szCs w:val="22"/>
        </w:rPr>
        <w:t>Any other duties, commensurate with the role, as requested by the Principal.</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The role will be reviewed at regular intervals.</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eastAsia="Calibri" w:cs="Calibri"/>
          <w:b/>
          <w:b/>
          <w:bCs/>
          <w:sz w:val="22"/>
          <w:szCs w:val="22"/>
        </w:rPr>
      </w:pPr>
      <w:r>
        <w:rPr>
          <w:rFonts w:eastAsia="Calibri" w:cs="Calibri" w:ascii="Calibri" w:hAnsi="Calibri"/>
          <w:b/>
          <w:bCs/>
          <w:sz w:val="22"/>
          <w:szCs w:val="22"/>
        </w:rPr>
      </w:r>
    </w:p>
    <w:p>
      <w:pPr>
        <w:pStyle w:val="Normal"/>
        <w:rPr>
          <w:rFonts w:ascii="Calibri" w:hAnsi="Calibri" w:eastAsia="Calibri" w:cs="Calibri"/>
          <w:b/>
          <w:b/>
          <w:bCs/>
          <w:color w:val="ED7D31"/>
          <w:sz w:val="22"/>
          <w:szCs w:val="22"/>
          <w:u w:val="none" w:color="ED7D31"/>
        </w:rPr>
      </w:pPr>
      <w:r>
        <w:rPr>
          <w:rFonts w:eastAsia="Calibri" w:cs="Calibri" w:ascii="Calibri" w:hAnsi="Calibri"/>
          <w:b/>
          <w:bCs/>
          <w:color w:val="ED7D31"/>
          <w:sz w:val="22"/>
          <w:szCs w:val="22"/>
          <w:u w:val="none" w:color="ED7D31"/>
        </w:rPr>
      </w:r>
    </w:p>
    <w:p>
      <w:pPr>
        <w:pStyle w:val="Normal"/>
        <w:rPr>
          <w:rFonts w:ascii="Calibri" w:hAnsi="Calibri" w:cs="Calibri"/>
          <w:b/>
          <w:b/>
          <w:bCs/>
          <w:color w:val="ED7D31"/>
          <w:sz w:val="22"/>
          <w:szCs w:val="22"/>
          <w:u w:val="none" w:color="ED7D31"/>
        </w:rPr>
      </w:pPr>
      <w:r>
        <w:rPr>
          <w:rFonts w:cs="Calibri" w:ascii="Calibri" w:hAnsi="Calibri"/>
          <w:b/>
          <w:bCs/>
          <w:color w:val="ED7D31"/>
          <w:sz w:val="22"/>
          <w:szCs w:val="22"/>
          <w:u w:val="none" w:color="ED7D31"/>
        </w:rPr>
      </w:r>
    </w:p>
    <w:p>
      <w:pPr>
        <w:pStyle w:val="Normal"/>
        <w:rPr>
          <w:rFonts w:ascii="Calibri" w:hAnsi="Calibri" w:cs="Calibri"/>
          <w:b/>
          <w:b/>
          <w:bCs/>
          <w:color w:val="ED7D31"/>
          <w:sz w:val="22"/>
          <w:szCs w:val="22"/>
          <w:u w:val="none" w:color="ED7D31"/>
        </w:rPr>
      </w:pPr>
      <w:r>
        <w:rPr>
          <w:rFonts w:cs="Calibri" w:ascii="Calibri" w:hAnsi="Calibri"/>
          <w:b/>
          <w:bCs/>
          <w:color w:val="ED7D31"/>
          <w:sz w:val="22"/>
          <w:szCs w:val="22"/>
          <w:u w:val="none" w:color="ED7D31"/>
        </w:rPr>
      </w:r>
    </w:p>
    <w:p>
      <w:pPr>
        <w:pStyle w:val="Normal"/>
        <w:pBdr/>
        <w:rPr>
          <w:rFonts w:ascii="Calibri" w:hAnsi="Calibri" w:cs="Calibri"/>
          <w:b/>
          <w:b/>
          <w:bCs/>
          <w:color w:val="ED7D31"/>
          <w:sz w:val="22"/>
          <w:szCs w:val="22"/>
          <w:u w:val="none" w:color="ED7D31"/>
        </w:rPr>
      </w:pPr>
      <w:r>
        <w:rPr>
          <w:rFonts w:cs="Calibri" w:ascii="Calibri" w:hAnsi="Calibri"/>
          <w:b/>
          <w:bCs/>
          <w:color w:val="ED7D31"/>
          <w:sz w:val="22"/>
          <w:szCs w:val="22"/>
          <w:u w:val="none" w:color="ED7D31"/>
        </w:rPr>
      </w:r>
      <w:r>
        <w:br w:type="page"/>
      </w:r>
    </w:p>
    <w:p>
      <w:pPr>
        <w:pStyle w:val="Normal"/>
        <w:jc w:val="center"/>
        <w:rPr>
          <w:rFonts w:ascii="Calibri" w:hAnsi="Calibri" w:cs="Calibri"/>
          <w:b/>
          <w:b/>
          <w:bCs/>
          <w:color w:val="ED7D31"/>
          <w:sz w:val="22"/>
          <w:szCs w:val="22"/>
          <w:u w:val="none" w:color="ED7D31"/>
        </w:rPr>
      </w:pPr>
      <w:r>
        <w:rPr>
          <w:rFonts w:cs="Calibri" w:ascii="Calibri" w:hAnsi="Calibri"/>
          <w:b/>
          <w:bCs/>
          <w:color w:val="ED7D31"/>
          <w:sz w:val="22"/>
          <w:szCs w:val="22"/>
          <w:u w:val="none" w:color="ED7D31"/>
        </w:rPr>
        <w:t>PERSON SPECIFICATION</w:t>
      </w:r>
    </w:p>
    <w:p>
      <w:pPr>
        <w:pStyle w:val="Normal"/>
        <w:jc w:val="center"/>
        <w:rPr>
          <w:rFonts w:ascii="Calibri" w:hAnsi="Calibri" w:cs="Calibri"/>
          <w:b/>
          <w:b/>
          <w:bCs/>
          <w:color w:val="ED7D31"/>
          <w:sz w:val="22"/>
          <w:szCs w:val="22"/>
          <w:u w:val="none" w:color="ED7D31"/>
        </w:rPr>
      </w:pPr>
      <w:r>
        <w:rPr>
          <w:rFonts w:cs="Calibri" w:ascii="Calibri" w:hAnsi="Calibri"/>
          <w:b/>
          <w:bCs/>
          <w:color w:val="ED7D31"/>
          <w:sz w:val="22"/>
          <w:szCs w:val="22"/>
          <w:u w:val="none" w:color="ED7D31"/>
        </w:rPr>
      </w:r>
    </w:p>
    <w:tbl>
      <w:tblPr>
        <w:tblW w:w="9631" w:type="dxa"/>
        <w:jc w:val="left"/>
        <w:tblInd w:w="0" w:type="dxa"/>
        <w:tblCellMar>
          <w:top w:w="0" w:type="dxa"/>
          <w:left w:w="0" w:type="dxa"/>
          <w:bottom w:w="0" w:type="dxa"/>
          <w:right w:w="0" w:type="dxa"/>
        </w:tblCellMar>
      </w:tblPr>
      <w:tblGrid>
        <w:gridCol w:w="1680"/>
        <w:gridCol w:w="3869"/>
        <w:gridCol w:w="2307"/>
        <w:gridCol w:w="1775"/>
      </w:tblGrid>
      <w:tr>
        <w:trPr>
          <w:tblHeader w:val="true"/>
        </w:trPr>
        <w:tc>
          <w:tcPr>
            <w:tcW w:w="1680"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eastAsia="Arial Unicode MS" w:cs="Calibri"/>
                <w:b/>
                <w:b/>
                <w:sz w:val="22"/>
                <w:szCs w:val="22"/>
                <w:lang w:val="en-GB" w:eastAsia="en-GB"/>
              </w:rPr>
            </w:pPr>
            <w:r>
              <w:rPr>
                <w:rFonts w:eastAsia="Arial Unicode MS" w:cs="Calibri" w:ascii="Calibri" w:hAnsi="Calibri"/>
                <w:b/>
                <w:sz w:val="22"/>
                <w:szCs w:val="22"/>
                <w:lang w:val="en-GB" w:eastAsia="en-GB"/>
              </w:rPr>
              <w:t>Category</w:t>
            </w:r>
          </w:p>
        </w:tc>
        <w:tc>
          <w:tcPr>
            <w:tcW w:w="386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eastAsia="Arial Unicode MS" w:cs="Calibri"/>
                <w:b/>
                <w:b/>
                <w:sz w:val="22"/>
                <w:szCs w:val="22"/>
                <w:lang w:val="en-GB" w:eastAsia="en-GB"/>
              </w:rPr>
            </w:pPr>
            <w:r>
              <w:rPr>
                <w:rFonts w:eastAsia="Arial Unicode MS" w:cs="Calibri" w:ascii="Calibri" w:hAnsi="Calibri"/>
                <w:b/>
                <w:sz w:val="22"/>
                <w:szCs w:val="22"/>
                <w:lang w:val="en-GB" w:eastAsia="en-GB"/>
              </w:rPr>
              <w:t>Essential</w:t>
            </w:r>
          </w:p>
        </w:tc>
        <w:tc>
          <w:tcPr>
            <w:tcW w:w="230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eastAsia="Arial Unicode MS" w:cs="Calibri"/>
                <w:b/>
                <w:b/>
                <w:sz w:val="22"/>
                <w:szCs w:val="22"/>
                <w:lang w:val="en-GB" w:eastAsia="en-GB"/>
              </w:rPr>
            </w:pPr>
            <w:r>
              <w:rPr>
                <w:rFonts w:eastAsia="Arial Unicode MS" w:cs="Calibri" w:ascii="Calibri" w:hAnsi="Calibri"/>
                <w:b/>
                <w:sz w:val="22"/>
                <w:szCs w:val="22"/>
                <w:lang w:val="en-GB" w:eastAsia="en-GB"/>
              </w:rPr>
              <w:t>Desirable</w:t>
            </w:r>
          </w:p>
        </w:tc>
        <w:tc>
          <w:tcPr>
            <w:tcW w:w="177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Calibri" w:hAnsi="Calibri" w:eastAsia="Arial Unicode MS" w:cs="Calibri"/>
                <w:b/>
                <w:b/>
                <w:sz w:val="22"/>
                <w:szCs w:val="22"/>
                <w:lang w:val="en-GB" w:eastAsia="en-GB"/>
              </w:rPr>
            </w:pPr>
            <w:r>
              <w:rPr>
                <w:rFonts w:eastAsia="Arial Unicode MS" w:cs="Calibri" w:ascii="Calibri" w:hAnsi="Calibri"/>
                <w:b/>
                <w:sz w:val="22"/>
                <w:szCs w:val="22"/>
                <w:lang w:val="en-GB" w:eastAsia="en-GB"/>
              </w:rPr>
              <w:t>Method of assessment</w:t>
            </w:r>
          </w:p>
        </w:tc>
      </w:tr>
      <w:tr>
        <w:trPr/>
        <w:tc>
          <w:tcPr>
            <w:tcW w:w="1680"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eastAsia="Arial Unicode MS" w:cs="Calibri"/>
                <w:sz w:val="22"/>
                <w:szCs w:val="22"/>
                <w:lang w:val="en-GB" w:eastAsia="en-GB"/>
              </w:rPr>
            </w:pPr>
            <w:r>
              <w:rPr>
                <w:rFonts w:eastAsia="Arial Unicode MS" w:cs="Calibri" w:ascii="Calibri" w:hAnsi="Calibri"/>
                <w:sz w:val="22"/>
                <w:szCs w:val="22"/>
                <w:lang w:val="en-GB" w:eastAsia="en-GB"/>
              </w:rPr>
              <w:t>Qualifications, Education, training</w:t>
            </w:r>
          </w:p>
        </w:tc>
        <w:tc>
          <w:tcPr>
            <w:tcW w:w="3869" w:type="dxa"/>
            <w:tcBorders>
              <w:top w:val="single" w:sz="4" w:space="0" w:color="000000"/>
              <w:left w:val="single" w:sz="4" w:space="0" w:color="000000"/>
              <w:bottom w:val="single" w:sz="4" w:space="0" w:color="000000"/>
            </w:tcBorders>
            <w:shd w:fill="auto" w:val="clear"/>
          </w:tcPr>
          <w:p>
            <w:pPr>
              <w:pStyle w:val="ListParagraph"/>
              <w:numPr>
                <w:ilvl w:val="0"/>
                <w:numId w:val="4"/>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GCSEs (or equivalent) with grade C/5 or above in English and maths.</w:t>
            </w:r>
          </w:p>
        </w:tc>
        <w:tc>
          <w:tcPr>
            <w:tcW w:w="2307" w:type="dxa"/>
            <w:tcBorders>
              <w:top w:val="single" w:sz="4" w:space="0" w:color="000000"/>
              <w:left w:val="single" w:sz="4" w:space="0" w:color="000000"/>
              <w:bottom w:val="single" w:sz="4" w:space="0" w:color="000000"/>
            </w:tcBorders>
            <w:shd w:fill="auto" w:val="clear"/>
          </w:tcPr>
          <w:p>
            <w:pPr>
              <w:pStyle w:val="Paragraph"/>
              <w:numPr>
                <w:ilvl w:val="0"/>
                <w:numId w:val="4"/>
              </w:numPr>
              <w:spacing w:lineRule="auto" w:line="240" w:before="0" w:after="0"/>
              <w:textAlignment w:val="baseline"/>
              <w:rPr/>
            </w:pPr>
            <w:r>
              <w:rPr>
                <w:rStyle w:val="Normaltextrun"/>
                <w:rFonts w:eastAsia="Arial Unicode MS" w:cs="Times New Roman"/>
                <w:color w:val="000000"/>
                <w:sz w:val="22"/>
                <w:szCs w:val="20"/>
                <w:lang w:val="en-GB" w:eastAsia="en-GB"/>
              </w:rPr>
              <w:t xml:space="preserve">First aid training </w:t>
            </w:r>
          </w:p>
          <w:p>
            <w:pPr>
              <w:pStyle w:val="Paragraph"/>
              <w:numPr>
                <w:ilvl w:val="0"/>
                <w:numId w:val="4"/>
              </w:numPr>
              <w:spacing w:lineRule="auto" w:line="240" w:before="0" w:after="0"/>
              <w:textAlignment w:val="baseline"/>
              <w:rPr/>
            </w:pPr>
            <w:r>
              <w:rPr>
                <w:rStyle w:val="Normaltextrun"/>
                <w:rFonts w:eastAsia="Arial Unicode MS" w:cs="Times New Roman"/>
                <w:color w:val="000000"/>
                <w:sz w:val="22"/>
                <w:szCs w:val="20"/>
                <w:lang w:val="en-GB" w:eastAsia="en-GB"/>
              </w:rPr>
              <w:t>Manual handling training</w:t>
            </w:r>
          </w:p>
          <w:p>
            <w:pPr>
              <w:pStyle w:val="TableText"/>
              <w:pBdr/>
              <w:tabs>
                <w:tab w:val="clear" w:pos="720"/>
                <w:tab w:val="decimal" w:pos="0" w:leader="none"/>
              </w:tabs>
              <w:overflowPunct w:val="true"/>
              <w:spacing w:lineRule="auto" w:line="240" w:before="0" w:after="0"/>
              <w:textAlignment w:val="baseline"/>
              <w:rPr>
                <w:rFonts w:ascii="Calibri" w:hAnsi="Calibri" w:eastAsia="Arial Unicode MS" w:cs="Calibri"/>
                <w:sz w:val="22"/>
                <w:szCs w:val="22"/>
                <w:lang w:val="en-GB" w:eastAsia="en-GB"/>
              </w:rPr>
            </w:pPr>
            <w:r>
              <w:rPr>
                <w:rFonts w:eastAsia="Arial Unicode MS" w:cs="Calibri" w:ascii="Calibri" w:hAnsi="Calibri"/>
                <w:sz w:val="22"/>
                <w:szCs w:val="22"/>
                <w:lang w:val="en-GB" w:eastAsia="en-GB"/>
              </w:rPr>
            </w:r>
          </w:p>
        </w:tc>
        <w:tc>
          <w:tcPr>
            <w:tcW w:w="1775"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5"/>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Certificates</w:t>
            </w:r>
          </w:p>
          <w:p>
            <w:pPr>
              <w:pStyle w:val="ListParagraph"/>
              <w:numPr>
                <w:ilvl w:val="0"/>
                <w:numId w:val="5"/>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 xml:space="preserve">Application form </w:t>
            </w:r>
          </w:p>
          <w:p>
            <w:pPr>
              <w:pStyle w:val="ListParagraph"/>
              <w:numPr>
                <w:ilvl w:val="0"/>
                <w:numId w:val="5"/>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Interview</w:t>
            </w:r>
          </w:p>
        </w:tc>
      </w:tr>
      <w:tr>
        <w:trPr/>
        <w:tc>
          <w:tcPr>
            <w:tcW w:w="1680"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eastAsia="Arial Unicode MS" w:cs="Calibri"/>
                <w:sz w:val="22"/>
                <w:szCs w:val="22"/>
                <w:lang w:val="en-GB" w:eastAsia="en-GB"/>
              </w:rPr>
            </w:pPr>
            <w:r>
              <w:rPr>
                <w:rFonts w:eastAsia="Arial Unicode MS" w:cs="Calibri" w:ascii="Calibri" w:hAnsi="Calibri"/>
                <w:sz w:val="22"/>
                <w:szCs w:val="22"/>
                <w:lang w:val="en-GB" w:eastAsia="en-GB"/>
              </w:rPr>
              <w:t>Relevant Experience</w:t>
            </w:r>
          </w:p>
        </w:tc>
        <w:tc>
          <w:tcPr>
            <w:tcW w:w="3869" w:type="dxa"/>
            <w:tcBorders>
              <w:top w:val="single" w:sz="4" w:space="0" w:color="000000"/>
              <w:left w:val="single" w:sz="4" w:space="0" w:color="000000"/>
              <w:bottom w:val="single" w:sz="4" w:space="0" w:color="000000"/>
            </w:tcBorders>
            <w:shd w:fill="auto" w:val="clear"/>
          </w:tcPr>
          <w:p>
            <w:pPr>
              <w:pStyle w:val="ListParagraph"/>
              <w:numPr>
                <w:ilvl w:val="0"/>
                <w:numId w:val="4"/>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Experience of office or administrative work.</w:t>
            </w:r>
          </w:p>
          <w:p>
            <w:pPr>
              <w:pStyle w:val="ListParagraph"/>
              <w:numPr>
                <w:ilvl w:val="0"/>
                <w:numId w:val="4"/>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Experience of good communication via the telephone, email and letter.</w:t>
            </w:r>
          </w:p>
          <w:p>
            <w:pPr>
              <w:pStyle w:val="ListParagraph"/>
              <w:numPr>
                <w:ilvl w:val="0"/>
                <w:numId w:val="4"/>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Experience of working with young people.</w:t>
            </w:r>
          </w:p>
        </w:tc>
        <w:tc>
          <w:tcPr>
            <w:tcW w:w="2307" w:type="dxa"/>
            <w:tcBorders>
              <w:top w:val="single" w:sz="4" w:space="0" w:color="000000"/>
              <w:left w:val="single" w:sz="4" w:space="0" w:color="000000"/>
              <w:bottom w:val="single" w:sz="4" w:space="0" w:color="000000"/>
            </w:tcBorders>
            <w:shd w:fill="auto" w:val="clear"/>
          </w:tcPr>
          <w:p>
            <w:pPr>
              <w:pStyle w:val="ListParagraph"/>
              <w:numPr>
                <w:ilvl w:val="0"/>
                <w:numId w:val="4"/>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Experience in a school environment or with young people.</w:t>
            </w:r>
          </w:p>
          <w:p>
            <w:pPr>
              <w:pStyle w:val="ListParagraph"/>
              <w:numPr>
                <w:ilvl w:val="0"/>
                <w:numId w:val="4"/>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 xml:space="preserve">Experience working with students with SEND. </w:t>
            </w:r>
          </w:p>
          <w:p>
            <w:pPr>
              <w:pStyle w:val="ListParagraph"/>
              <w:numPr>
                <w:ilvl w:val="0"/>
                <w:numId w:val="4"/>
              </w:numPr>
              <w:spacing w:lineRule="auto" w:line="240" w:before="0" w:after="0"/>
              <w:rPr>
                <w:rFonts w:eastAsia="Arial Unicode MS" w:cs=""/>
                <w:sz w:val="22"/>
                <w:szCs w:val="22"/>
                <w:lang w:val="en-GB" w:eastAsia="en-GB"/>
              </w:rPr>
            </w:pPr>
            <w:r>
              <w:rPr>
                <w:rFonts w:eastAsia="Arial Unicode MS" w:cs=""/>
                <w:sz w:val="22"/>
                <w:szCs w:val="22"/>
                <w:lang w:val="en-GB" w:eastAsia="en-GB"/>
              </w:rPr>
              <w:t>Experience with management information systems/ Bromcom.</w:t>
            </w:r>
          </w:p>
          <w:p>
            <w:pPr>
              <w:pStyle w:val="ListParagraph"/>
              <w:numPr>
                <w:ilvl w:val="0"/>
                <w:numId w:val="4"/>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Experience of maintaining an attendance system.</w:t>
            </w:r>
          </w:p>
        </w:tc>
        <w:tc>
          <w:tcPr>
            <w:tcW w:w="1775"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2"/>
              </w:numPr>
              <w:spacing w:lineRule="auto" w:line="240" w:before="0" w:after="0"/>
              <w:rPr/>
            </w:pPr>
            <w:r>
              <w:rPr>
                <w:rFonts w:eastAsia="Calibri" w:cs="Calibri"/>
                <w:sz w:val="22"/>
                <w:szCs w:val="22"/>
                <w:lang w:val="en-GB" w:eastAsia="en-GB"/>
              </w:rPr>
              <w:t xml:space="preserve"> </w:t>
            </w:r>
            <w:r>
              <w:rPr>
                <w:rFonts w:eastAsia="Arial Unicode MS" w:cs="Calibri"/>
                <w:sz w:val="22"/>
                <w:szCs w:val="22"/>
                <w:lang w:val="en-GB" w:eastAsia="en-GB"/>
              </w:rPr>
              <w:t>Application Form</w:t>
            </w:r>
          </w:p>
          <w:p>
            <w:pPr>
              <w:pStyle w:val="ListParagraph"/>
              <w:numPr>
                <w:ilvl w:val="0"/>
                <w:numId w:val="2"/>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Interview</w:t>
            </w:r>
          </w:p>
          <w:p>
            <w:pPr>
              <w:pStyle w:val="ListParagraph"/>
              <w:numPr>
                <w:ilvl w:val="0"/>
                <w:numId w:val="2"/>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 xml:space="preserve">Task </w:t>
            </w:r>
          </w:p>
        </w:tc>
      </w:tr>
      <w:tr>
        <w:trPr/>
        <w:tc>
          <w:tcPr>
            <w:tcW w:w="1680"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eastAsia="Arial Unicode MS" w:cs="Calibri"/>
                <w:sz w:val="22"/>
                <w:szCs w:val="22"/>
                <w:lang w:val="en-GB" w:eastAsia="en-GB"/>
              </w:rPr>
            </w:pPr>
            <w:r>
              <w:rPr>
                <w:rFonts w:eastAsia="Arial Unicode MS" w:cs="Calibri" w:ascii="Calibri" w:hAnsi="Calibri"/>
                <w:sz w:val="22"/>
                <w:szCs w:val="22"/>
                <w:lang w:val="en-GB" w:eastAsia="en-GB"/>
              </w:rPr>
              <w:t>Knowledge, skills, and abilities</w:t>
            </w:r>
          </w:p>
        </w:tc>
        <w:tc>
          <w:tcPr>
            <w:tcW w:w="3869" w:type="dxa"/>
            <w:tcBorders>
              <w:top w:val="single" w:sz="4" w:space="0" w:color="000000"/>
              <w:left w:val="single" w:sz="4" w:space="0" w:color="000000"/>
              <w:bottom w:val="single" w:sz="4" w:space="0" w:color="000000"/>
            </w:tcBorders>
            <w:shd w:fill="auto" w:val="clear"/>
          </w:tcPr>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Commitment to pastoral care and the inclusion of students with SEND.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Excellent interpersonal and communication skills.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Excellent organisation and time management.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Ability to work effectively with a range of professionals.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Ability to relate to and to talk with parents and students.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Ability to work with sensitivity and optimism in the creation of a happy, challenging and effective environment.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Ability to work independently and as part of a team.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Understanding of relevant policies/codes of practice. </w:t>
            </w:r>
          </w:p>
          <w:p>
            <w:pPr>
              <w:pStyle w:val="Paragraph"/>
              <w:numPr>
                <w:ilvl w:val="0"/>
                <w:numId w:val="6"/>
              </w:numPr>
              <w:spacing w:lineRule="auto" w:line="240" w:before="0" w:after="0"/>
              <w:textAlignment w:val="baseline"/>
              <w:rPr/>
            </w:pPr>
            <w:r>
              <w:rPr>
                <w:rStyle w:val="Normaltextrun"/>
                <w:rFonts w:eastAsia="Arial Unicode MS" w:cs="Times New Roman"/>
                <w:color w:val="000000"/>
                <w:sz w:val="22"/>
                <w:szCs w:val="20"/>
                <w:lang w:val="en-GB" w:eastAsia="en-GB"/>
              </w:rPr>
              <w:t>W</w:t>
            </w:r>
            <w:r>
              <w:rPr>
                <w:rStyle w:val="Normaltextrun"/>
                <w:rFonts w:eastAsia="Arial Unicode MS" w:cs="Times New Roman"/>
                <w:color w:val="000000"/>
                <w:szCs w:val="20"/>
                <w:lang w:val="en-GB" w:eastAsia="en-GB"/>
              </w:rPr>
              <w:t>illingness to train and act as a first aider</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Understand the need for confidentiality.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Excellent IT skills eg using Microsoft Office.</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Ability to work efficiently at speed.</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Ability to be self-motivating.</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Ability to work under pressure.</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Ability to prioritise.</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Ability to maintain a professional manner in challenging situations</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Ability to be consistent and firm. </w:t>
            </w:r>
          </w:p>
          <w:p>
            <w:pPr>
              <w:pStyle w:val="ListParagraph"/>
              <w:numPr>
                <w:ilvl w:val="0"/>
                <w:numId w:val="6"/>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Ability to provide personal care to young people. </w:t>
            </w:r>
          </w:p>
        </w:tc>
        <w:tc>
          <w:tcPr>
            <w:tcW w:w="2307" w:type="dxa"/>
            <w:tcBorders>
              <w:top w:val="single" w:sz="4" w:space="0" w:color="000000"/>
              <w:left w:val="single" w:sz="4" w:space="0" w:color="000000"/>
              <w:bottom w:val="single" w:sz="4" w:space="0" w:color="000000"/>
            </w:tcBorders>
            <w:shd w:fill="auto" w:val="clear"/>
          </w:tcPr>
          <w:p>
            <w:pPr>
              <w:pStyle w:val="Default"/>
              <w:snapToGrid w:val="false"/>
              <w:spacing w:lineRule="auto" w:line="240" w:before="0" w:after="0"/>
              <w:rPr>
                <w:rFonts w:ascii="Calibri" w:hAnsi="Calibri" w:eastAsia="Arial Unicode MS" w:cs="Calibri"/>
                <w:sz w:val="22"/>
                <w:szCs w:val="22"/>
                <w:lang w:val="en-US" w:eastAsia="en-GB"/>
              </w:rPr>
            </w:pPr>
            <w:r>
              <w:rPr>
                <w:rFonts w:eastAsia="Arial Unicode MS" w:cs="Calibri" w:ascii="Calibri" w:hAnsi="Calibri"/>
                <w:sz w:val="22"/>
                <w:szCs w:val="22"/>
                <w:lang w:val="en-US" w:eastAsia="en-GB"/>
              </w:rPr>
            </w:r>
          </w:p>
        </w:tc>
        <w:tc>
          <w:tcPr>
            <w:tcW w:w="1775"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2"/>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Application form</w:t>
            </w:r>
          </w:p>
          <w:p>
            <w:pPr>
              <w:pStyle w:val="ListParagraph"/>
              <w:numPr>
                <w:ilvl w:val="0"/>
                <w:numId w:val="2"/>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 xml:space="preserve">Interview </w:t>
            </w:r>
          </w:p>
          <w:p>
            <w:pPr>
              <w:pStyle w:val="ListParagraph"/>
              <w:numPr>
                <w:ilvl w:val="0"/>
                <w:numId w:val="2"/>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Task</w:t>
            </w:r>
          </w:p>
        </w:tc>
      </w:tr>
      <w:tr>
        <w:trPr/>
        <w:tc>
          <w:tcPr>
            <w:tcW w:w="1680"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Calibri" w:hAnsi="Calibri" w:eastAsia="Arial Unicode MS" w:cs="Calibri"/>
                <w:sz w:val="22"/>
                <w:szCs w:val="22"/>
                <w:lang w:val="en-GB" w:eastAsia="en-GB"/>
              </w:rPr>
            </w:pPr>
            <w:r>
              <w:rPr>
                <w:rFonts w:eastAsia="Arial Unicode MS" w:cs="Calibri" w:ascii="Calibri" w:hAnsi="Calibri"/>
                <w:sz w:val="22"/>
                <w:szCs w:val="22"/>
                <w:lang w:val="en-GB" w:eastAsia="en-GB"/>
              </w:rPr>
              <w:t>Personal Qualities/Other</w:t>
            </w:r>
          </w:p>
        </w:tc>
        <w:tc>
          <w:tcPr>
            <w:tcW w:w="3869" w:type="dxa"/>
            <w:tcBorders>
              <w:top w:val="single" w:sz="4" w:space="0" w:color="000000"/>
              <w:left w:val="single" w:sz="4" w:space="0" w:color="000000"/>
              <w:bottom w:val="single" w:sz="4" w:space="0" w:color="000000"/>
            </w:tcBorders>
            <w:shd w:fill="auto" w:val="clear"/>
          </w:tcPr>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An interest in working with students with SEND and other vulnerabilities. </w:t>
            </w:r>
          </w:p>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Flexibility, adaptability and a willingness to be involved in change.</w:t>
            </w:r>
          </w:p>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 xml:space="preserve">Self-confidence and initiative. </w:t>
            </w:r>
          </w:p>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Positive outlook.</w:t>
            </w:r>
          </w:p>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Willingness to participate in all aspects of school life and assist others with their roles.</w:t>
            </w:r>
          </w:p>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Tact and discretion and an ability to maintain confidentiality.</w:t>
            </w:r>
          </w:p>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A genuine commitment to improving the quality of provision for students in our school.</w:t>
            </w:r>
          </w:p>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Commitment to further training.</w:t>
            </w:r>
          </w:p>
          <w:p>
            <w:pPr>
              <w:pStyle w:val="ListParagraph"/>
              <w:numPr>
                <w:ilvl w:val="0"/>
                <w:numId w:val="7"/>
              </w:numPr>
              <w:pBdr/>
              <w:spacing w:lineRule="auto" w:line="240" w:before="0" w:after="0"/>
              <w:contextualSpacing/>
              <w:rPr>
                <w:rFonts w:eastAsia="Arial Unicode MS" w:cs="Calibri"/>
                <w:sz w:val="22"/>
                <w:szCs w:val="22"/>
                <w:lang w:val="en-GB" w:eastAsia="en-GB"/>
              </w:rPr>
            </w:pPr>
            <w:r>
              <w:rPr>
                <w:rFonts w:eastAsia="Arial Unicode MS" w:cs="Calibri"/>
                <w:sz w:val="22"/>
                <w:szCs w:val="22"/>
                <w:lang w:val="en-GB" w:eastAsia="en-GB"/>
              </w:rPr>
              <w:t>A positive approach to challenges, which seeks solutions to problems and addresses difficulties with cheerfulness and good humour.</w:t>
            </w:r>
          </w:p>
        </w:tc>
        <w:tc>
          <w:tcPr>
            <w:tcW w:w="2307" w:type="dxa"/>
            <w:tcBorders>
              <w:top w:val="single" w:sz="4" w:space="0" w:color="000000"/>
              <w:left w:val="single" w:sz="4" w:space="0" w:color="000000"/>
              <w:bottom w:val="single" w:sz="4" w:space="0" w:color="000000"/>
            </w:tcBorders>
            <w:shd w:fill="auto" w:val="clear"/>
          </w:tcPr>
          <w:p>
            <w:pPr>
              <w:pStyle w:val="Default"/>
              <w:snapToGrid w:val="false"/>
              <w:spacing w:lineRule="auto" w:line="240" w:before="0" w:after="0"/>
              <w:rPr>
                <w:rFonts w:ascii="Calibri" w:hAnsi="Calibri" w:eastAsia="Arial Unicode MS" w:cs="Calibri"/>
                <w:sz w:val="22"/>
                <w:szCs w:val="22"/>
                <w:lang w:val="en-US" w:eastAsia="en-GB"/>
              </w:rPr>
            </w:pPr>
            <w:r>
              <w:rPr>
                <w:rFonts w:eastAsia="Arial Unicode MS" w:cs="Calibri" w:ascii="Calibri" w:hAnsi="Calibri"/>
                <w:sz w:val="22"/>
                <w:szCs w:val="22"/>
                <w:lang w:val="en-US" w:eastAsia="en-GB"/>
              </w:rPr>
            </w:r>
          </w:p>
        </w:tc>
        <w:tc>
          <w:tcPr>
            <w:tcW w:w="1775"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8"/>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Interview</w:t>
            </w:r>
          </w:p>
          <w:p>
            <w:pPr>
              <w:pStyle w:val="ListParagraph"/>
              <w:numPr>
                <w:ilvl w:val="0"/>
                <w:numId w:val="8"/>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Task</w:t>
            </w:r>
          </w:p>
          <w:p>
            <w:pPr>
              <w:pStyle w:val="ListParagraph"/>
              <w:numPr>
                <w:ilvl w:val="0"/>
                <w:numId w:val="8"/>
              </w:numPr>
              <w:spacing w:lineRule="auto" w:line="240" w:before="0" w:after="0"/>
              <w:rPr>
                <w:rFonts w:eastAsia="Arial Unicode MS" w:cs="Calibri"/>
                <w:sz w:val="22"/>
                <w:szCs w:val="22"/>
                <w:lang w:val="en-GB" w:eastAsia="en-GB"/>
              </w:rPr>
            </w:pPr>
            <w:r>
              <w:rPr>
                <w:rFonts w:eastAsia="Arial Unicode MS" w:cs="Calibri"/>
                <w:sz w:val="22"/>
                <w:szCs w:val="22"/>
                <w:lang w:val="en-GB" w:eastAsia="en-GB"/>
              </w:rPr>
              <w:t xml:space="preserve">Application form </w:t>
            </w:r>
          </w:p>
        </w:tc>
      </w:tr>
      <w:tr>
        <w:trPr/>
        <w:tc>
          <w:tcPr>
            <w:tcW w:w="1680" w:type="dxa"/>
            <w:tcBorders>
              <w:top w:val="single" w:sz="4" w:space="0" w:color="000000"/>
              <w:left w:val="single" w:sz="4" w:space="0" w:color="000000"/>
              <w:bottom w:val="single" w:sz="4" w:space="0" w:color="000000"/>
            </w:tcBorders>
            <w:shd w:fill="auto" w:val="clear"/>
          </w:tcPr>
          <w:p>
            <w:pPr>
              <w:pStyle w:val="Normal"/>
              <w:pBdr/>
              <w:spacing w:lineRule="auto" w:line="240" w:before="0" w:after="0"/>
              <w:rPr>
                <w:rFonts w:ascii="Calibri" w:hAnsi="Calibri" w:eastAsia="Arial Unicode MS" w:cs="Calibri"/>
                <w:sz w:val="22"/>
                <w:szCs w:val="22"/>
                <w:lang w:val="en-GB" w:eastAsia="en-GB"/>
              </w:rPr>
            </w:pPr>
            <w:r>
              <w:rPr>
                <w:rFonts w:eastAsia="Arial Unicode MS" w:cs="Calibri" w:ascii="Calibri" w:hAnsi="Calibri"/>
                <w:sz w:val="22"/>
                <w:szCs w:val="22"/>
                <w:lang w:val="en-GB" w:eastAsia="en-GB"/>
              </w:rPr>
              <w:t>Safeguarding</w:t>
            </w:r>
          </w:p>
        </w:tc>
        <w:tc>
          <w:tcPr>
            <w:tcW w:w="3869" w:type="dxa"/>
            <w:tcBorders>
              <w:top w:val="single" w:sz="4" w:space="0" w:color="000000"/>
              <w:left w:val="single" w:sz="4" w:space="0" w:color="000000"/>
              <w:bottom w:val="single" w:sz="4" w:space="0" w:color="000000"/>
            </w:tcBorders>
            <w:shd w:fill="auto" w:val="clear"/>
          </w:tcPr>
          <w:p>
            <w:pPr>
              <w:pStyle w:val="ListParagraph"/>
              <w:numPr>
                <w:ilvl w:val="0"/>
                <w:numId w:val="12"/>
              </w:numPr>
              <w:spacing w:lineRule="auto" w:line="240" w:before="0" w:after="0"/>
              <w:ind w:left="321" w:right="0" w:hanging="321"/>
              <w:rPr>
                <w:rFonts w:eastAsia="Arial Unicode MS" w:cs="Calibri"/>
                <w:sz w:val="22"/>
                <w:szCs w:val="22"/>
                <w:lang w:val="en-US" w:eastAsia="en-US"/>
              </w:rPr>
            </w:pPr>
            <w:r>
              <w:rPr>
                <w:rFonts w:eastAsia="Arial Unicode MS" w:cs="Calibri"/>
                <w:sz w:val="22"/>
                <w:szCs w:val="22"/>
                <w:lang w:val="en-US" w:eastAsia="en-US"/>
              </w:rPr>
              <w:t>Commitment to demonstrating a responsibility for safeguarding and promoting the welfare of young people</w:t>
            </w:r>
          </w:p>
        </w:tc>
        <w:tc>
          <w:tcPr>
            <w:tcW w:w="2307" w:type="dxa"/>
            <w:tcBorders>
              <w:top w:val="single" w:sz="4" w:space="0" w:color="000000"/>
              <w:left w:val="single" w:sz="4" w:space="0" w:color="000000"/>
              <w:bottom w:val="single" w:sz="4" w:space="0" w:color="000000"/>
            </w:tcBorders>
            <w:shd w:fill="auto" w:val="clear"/>
          </w:tcPr>
          <w:p>
            <w:pPr>
              <w:pStyle w:val="ListParagraph"/>
              <w:numPr>
                <w:ilvl w:val="0"/>
                <w:numId w:val="12"/>
              </w:numPr>
              <w:pBdr/>
              <w:spacing w:lineRule="auto" w:line="240" w:before="0" w:after="0"/>
              <w:ind w:left="293" w:right="0" w:hanging="293"/>
              <w:rPr>
                <w:rFonts w:eastAsia="Calibri" w:cs="Calibri"/>
                <w:color w:val="auto"/>
                <w:sz w:val="22"/>
                <w:szCs w:val="22"/>
                <w:lang w:val="en-GB" w:eastAsia="en-US"/>
              </w:rPr>
            </w:pPr>
            <w:r>
              <w:rPr>
                <w:rFonts w:eastAsia="Calibri" w:cs="Calibri"/>
                <w:color w:val="auto"/>
                <w:sz w:val="22"/>
                <w:szCs w:val="22"/>
                <w:lang w:val="en-GB" w:eastAsia="en-US"/>
              </w:rPr>
              <w:t xml:space="preserve">Understanding of safeguarding systems </w:t>
            </w:r>
          </w:p>
        </w:tc>
        <w:tc>
          <w:tcPr>
            <w:tcW w:w="1775"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spacing w:lineRule="auto" w:line="240" w:before="0" w:after="0"/>
              <w:ind w:left="360" w:right="0" w:hanging="360"/>
              <w:rPr>
                <w:rFonts w:eastAsia="Arial Unicode MS" w:cs="Calibri"/>
                <w:sz w:val="22"/>
                <w:szCs w:val="22"/>
                <w:lang w:val="en-GB" w:eastAsia="en-GB"/>
              </w:rPr>
            </w:pPr>
            <w:r>
              <w:rPr>
                <w:rFonts w:eastAsia="Arial Unicode MS" w:cs="Calibri"/>
                <w:sz w:val="22"/>
                <w:szCs w:val="22"/>
                <w:lang w:val="en-GB" w:eastAsia="en-GB"/>
              </w:rPr>
              <w:t>Application form</w:t>
            </w:r>
          </w:p>
          <w:p>
            <w:pPr>
              <w:pStyle w:val="ListParagraph"/>
              <w:numPr>
                <w:ilvl w:val="0"/>
                <w:numId w:val="3"/>
              </w:numPr>
              <w:spacing w:lineRule="auto" w:line="240" w:before="0" w:after="0"/>
              <w:ind w:left="360" w:right="0" w:hanging="360"/>
              <w:rPr>
                <w:rFonts w:eastAsia="Arial Unicode MS" w:cs="Calibri"/>
                <w:sz w:val="22"/>
                <w:szCs w:val="22"/>
                <w:lang w:val="en-GB" w:eastAsia="en-GB"/>
              </w:rPr>
            </w:pPr>
            <w:r>
              <w:rPr>
                <w:rFonts w:eastAsia="Arial Unicode MS" w:cs="Calibri"/>
                <w:sz w:val="22"/>
                <w:szCs w:val="22"/>
                <w:lang w:val="en-GB" w:eastAsia="en-GB"/>
              </w:rPr>
              <w:t>Interview</w:t>
            </w:r>
          </w:p>
          <w:p>
            <w:pPr>
              <w:pStyle w:val="ListParagraph"/>
              <w:numPr>
                <w:ilvl w:val="0"/>
                <w:numId w:val="3"/>
              </w:numPr>
              <w:spacing w:lineRule="auto" w:line="240" w:before="0" w:after="0"/>
              <w:ind w:left="360" w:right="0" w:hanging="360"/>
              <w:rPr>
                <w:rFonts w:eastAsia="Arial Unicode MS" w:cs="Calibri"/>
                <w:sz w:val="22"/>
                <w:szCs w:val="22"/>
                <w:lang w:val="en-GB" w:eastAsia="en-GB"/>
              </w:rPr>
            </w:pPr>
            <w:r>
              <w:rPr>
                <w:rFonts w:eastAsia="Arial Unicode MS" w:cs="Calibri"/>
                <w:sz w:val="22"/>
                <w:szCs w:val="22"/>
                <w:lang w:val="en-GB" w:eastAsia="en-GB"/>
              </w:rPr>
              <w:t>Task</w:t>
            </w:r>
          </w:p>
        </w:tc>
      </w:tr>
      <w:tr>
        <w:trPr>
          <w:trHeight w:val="1871" w:hRule="atLeast"/>
        </w:trPr>
        <w:tc>
          <w:tcPr>
            <w:tcW w:w="1680" w:type="dxa"/>
            <w:tcBorders>
              <w:top w:val="single" w:sz="4" w:space="0" w:color="000000"/>
              <w:left w:val="single" w:sz="4" w:space="0" w:color="000000"/>
              <w:bottom w:val="single" w:sz="4" w:space="0" w:color="000000"/>
            </w:tcBorders>
            <w:shd w:fill="auto" w:val="clear"/>
          </w:tcPr>
          <w:p>
            <w:pPr>
              <w:pStyle w:val="Normal"/>
              <w:pBdr/>
              <w:spacing w:lineRule="auto" w:line="240" w:before="0" w:after="0"/>
              <w:rPr>
                <w:rFonts w:ascii="Calibri" w:hAnsi="Calibri" w:eastAsia="Arial Unicode MS" w:cs="Calibri"/>
                <w:sz w:val="22"/>
                <w:szCs w:val="22"/>
                <w:lang w:val="en-GB" w:eastAsia="en-GB"/>
              </w:rPr>
            </w:pPr>
            <w:r>
              <w:rPr>
                <w:rFonts w:eastAsia="Arial Unicode MS" w:cs="Calibri" w:ascii="Calibri" w:hAnsi="Calibri"/>
                <w:sz w:val="22"/>
                <w:szCs w:val="22"/>
                <w:lang w:val="en-GB" w:eastAsia="en-GB"/>
              </w:rPr>
              <w:t>Our Values</w:t>
            </w:r>
          </w:p>
        </w:tc>
        <w:tc>
          <w:tcPr>
            <w:tcW w:w="3869" w:type="dxa"/>
            <w:tcBorders>
              <w:top w:val="single" w:sz="4" w:space="0" w:color="000000"/>
              <w:left w:val="single" w:sz="4" w:space="0" w:color="000000"/>
              <w:bottom w:val="single" w:sz="4" w:space="0" w:color="000000"/>
            </w:tcBorders>
            <w:shd w:fill="auto" w:val="clear"/>
          </w:tcPr>
          <w:p>
            <w:pPr>
              <w:pStyle w:val="ListParagraph"/>
              <w:numPr>
                <w:ilvl w:val="0"/>
                <w:numId w:val="13"/>
              </w:numPr>
              <w:spacing w:lineRule="auto" w:line="240" w:before="0" w:after="0"/>
              <w:ind w:left="329" w:right="0" w:hanging="425"/>
              <w:rPr/>
            </w:pPr>
            <w:r>
              <w:rPr>
                <w:rFonts w:eastAsia="Arial Unicode MS" w:cs="Calibri"/>
                <w:b/>
                <w:bCs/>
                <w:color w:val="auto"/>
                <w:sz w:val="22"/>
                <w:szCs w:val="22"/>
                <w:lang w:val="en-GB" w:eastAsia="en-GB"/>
              </w:rPr>
              <w:t>Curious:</w:t>
            </w:r>
            <w:r>
              <w:rPr>
                <w:rFonts w:eastAsia="Arial Unicode MS" w:cs="Calibri"/>
                <w:color w:val="auto"/>
                <w:sz w:val="22"/>
                <w:szCs w:val="22"/>
                <w:lang w:val="en-GB" w:eastAsia="en-GB"/>
              </w:rPr>
              <w:t xml:space="preserve"> maintaining professional curiosity with regards to the safeguarding and wellbeing of students and what may underlie observable behaviours. </w:t>
            </w:r>
          </w:p>
          <w:p>
            <w:pPr>
              <w:pStyle w:val="ListParagraph"/>
              <w:numPr>
                <w:ilvl w:val="0"/>
                <w:numId w:val="13"/>
              </w:numPr>
              <w:spacing w:lineRule="auto" w:line="240" w:before="0" w:after="0"/>
              <w:ind w:left="329" w:right="0" w:hanging="425"/>
              <w:rPr/>
            </w:pPr>
            <w:r>
              <w:rPr>
                <w:rFonts w:eastAsia="Arial Unicode MS" w:cs="Calibri"/>
                <w:b/>
                <w:bCs/>
                <w:color w:val="auto"/>
                <w:sz w:val="22"/>
                <w:szCs w:val="22"/>
                <w:lang w:val="en-GB" w:eastAsia="en-GB"/>
              </w:rPr>
              <w:t xml:space="preserve">Kind: </w:t>
            </w:r>
            <w:r>
              <w:rPr>
                <w:rFonts w:eastAsia="Arial Unicode MS" w:cs="Calibri"/>
                <w:color w:val="auto"/>
                <w:sz w:val="22"/>
                <w:szCs w:val="22"/>
                <w:lang w:val="en-GB" w:eastAsia="en-GB"/>
              </w:rPr>
              <w:t xml:space="preserve">evidence of nurturing and empowering all, understanding that inclusivity and equity sit at the heart of all opportunities. Evidence of acting in the best interests of children. Evidence of embracing diversity and working collaboratively for a common purpose. </w:t>
            </w:r>
          </w:p>
          <w:p>
            <w:pPr>
              <w:pStyle w:val="ListParagraph"/>
              <w:numPr>
                <w:ilvl w:val="0"/>
                <w:numId w:val="13"/>
              </w:numPr>
              <w:spacing w:lineRule="auto" w:line="240" w:before="0" w:after="0"/>
              <w:ind w:left="328" w:right="0" w:hanging="426"/>
              <w:rPr/>
            </w:pPr>
            <w:r>
              <w:rPr>
                <w:rFonts w:eastAsia="Arial Unicode MS" w:cs="Calibri"/>
                <w:b/>
                <w:bCs/>
                <w:color w:val="auto"/>
                <w:sz w:val="22"/>
                <w:szCs w:val="22"/>
                <w:lang w:val="en-GB" w:eastAsia="en-GB"/>
              </w:rPr>
              <w:t>Courageous:</w:t>
            </w:r>
            <w:r>
              <w:rPr>
                <w:rFonts w:eastAsia="Arial Unicode MS" w:cs="Calibri"/>
                <w:color w:val="auto"/>
                <w:sz w:val="22"/>
                <w:szCs w:val="22"/>
                <w:lang w:val="en-GB" w:eastAsia="en-GB"/>
              </w:rPr>
              <w:t xml:space="preserve"> evidence of prioritising wellbeing whilst embracing challenges. Evidence of taking ownership within your role and finding the leaders within. Evidence of doing the right thing even when it is difficult to do so. Evidence of taking personal responsibility, working hard and having high aspirations. </w:t>
            </w:r>
          </w:p>
        </w:tc>
        <w:tc>
          <w:tcPr>
            <w:tcW w:w="2307" w:type="dxa"/>
            <w:tcBorders>
              <w:top w:val="single" w:sz="4" w:space="0" w:color="000000"/>
              <w:left w:val="single" w:sz="4" w:space="0" w:color="000000"/>
              <w:bottom w:val="single" w:sz="4" w:space="0" w:color="000000"/>
            </w:tcBorders>
            <w:shd w:fill="auto" w:val="clear"/>
          </w:tcPr>
          <w:p>
            <w:pPr>
              <w:pStyle w:val="Normal"/>
              <w:pBdr/>
              <w:snapToGrid w:val="false"/>
              <w:spacing w:lineRule="auto" w:line="240" w:before="0" w:after="0"/>
              <w:jc w:val="center"/>
              <w:rPr>
                <w:rFonts w:ascii="Calibri" w:hAnsi="Calibri" w:eastAsia="Arial Unicode MS" w:cs="Calibri"/>
                <w:b/>
                <w:b/>
                <w:bCs/>
                <w:color w:val="ED7D31"/>
                <w:sz w:val="22"/>
                <w:szCs w:val="22"/>
                <w:u w:val="none" w:color="ED7D31"/>
                <w:lang w:val="en-GB" w:eastAsia="en-GB"/>
              </w:rPr>
            </w:pPr>
            <w:r>
              <w:rPr>
                <w:rFonts w:eastAsia="Arial Unicode MS" w:cs="Calibri" w:ascii="Calibri" w:hAnsi="Calibri"/>
                <w:b/>
                <w:bCs/>
                <w:color w:val="ED7D31"/>
                <w:sz w:val="22"/>
                <w:szCs w:val="22"/>
                <w:u w:val="none" w:color="ED7D31"/>
                <w:lang w:val="en-GB" w:eastAsia="en-GB"/>
              </w:rPr>
            </w:r>
          </w:p>
        </w:tc>
        <w:tc>
          <w:tcPr>
            <w:tcW w:w="1775"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spacing w:lineRule="auto" w:line="240" w:before="0" w:after="0"/>
              <w:ind w:left="380" w:right="0" w:hanging="284"/>
              <w:rPr>
                <w:rFonts w:eastAsia="Arial Unicode MS" w:cs="Calibri"/>
                <w:sz w:val="22"/>
                <w:szCs w:val="22"/>
                <w:lang w:val="en-GB" w:eastAsia="en-GB"/>
              </w:rPr>
            </w:pPr>
            <w:r>
              <w:rPr>
                <w:rFonts w:eastAsia="Arial Unicode MS" w:cs="Calibri"/>
                <w:sz w:val="22"/>
                <w:szCs w:val="22"/>
                <w:lang w:val="en-GB" w:eastAsia="en-GB"/>
              </w:rPr>
              <w:t>Application form</w:t>
            </w:r>
          </w:p>
          <w:p>
            <w:pPr>
              <w:pStyle w:val="ListParagraph"/>
              <w:numPr>
                <w:ilvl w:val="0"/>
                <w:numId w:val="3"/>
              </w:numPr>
              <w:spacing w:lineRule="auto" w:line="240" w:before="0" w:after="0"/>
              <w:ind w:left="380" w:right="0" w:hanging="284"/>
              <w:rPr>
                <w:rFonts w:eastAsia="Arial Unicode MS" w:cs="Calibri"/>
                <w:sz w:val="22"/>
                <w:szCs w:val="22"/>
                <w:lang w:val="en-GB" w:eastAsia="en-GB"/>
              </w:rPr>
            </w:pPr>
            <w:r>
              <w:rPr>
                <w:rFonts w:eastAsia="Arial Unicode MS" w:cs="Calibri"/>
                <w:sz w:val="22"/>
                <w:szCs w:val="22"/>
                <w:lang w:val="en-GB" w:eastAsia="en-GB"/>
              </w:rPr>
              <w:t>Interview</w:t>
            </w:r>
          </w:p>
          <w:p>
            <w:pPr>
              <w:pStyle w:val="ListParagraph"/>
              <w:numPr>
                <w:ilvl w:val="0"/>
                <w:numId w:val="3"/>
              </w:numPr>
              <w:spacing w:lineRule="auto" w:line="240" w:before="0" w:after="0"/>
              <w:ind w:left="380" w:right="0" w:hanging="284"/>
              <w:rPr>
                <w:rFonts w:eastAsia="Arial Unicode MS" w:cs="Calibri"/>
                <w:sz w:val="22"/>
                <w:szCs w:val="22"/>
                <w:lang w:val="en-GB" w:eastAsia="en-GB"/>
              </w:rPr>
            </w:pPr>
            <w:r>
              <w:rPr>
                <w:rFonts w:eastAsia="Arial Unicode MS" w:cs="Calibri"/>
                <w:sz w:val="22"/>
                <w:szCs w:val="22"/>
                <w:lang w:val="en-GB" w:eastAsia="en-GB"/>
              </w:rPr>
              <w:t>Tasks</w:t>
            </w:r>
          </w:p>
          <w:p>
            <w:pPr>
              <w:pStyle w:val="Normal"/>
              <w:spacing w:lineRule="auto" w:line="240" w:before="0" w:after="0"/>
              <w:rPr>
                <w:rFonts w:ascii="Calibri" w:hAnsi="Calibri" w:eastAsia="Arial Unicode MS" w:cs="Calibri"/>
                <w:sz w:val="22"/>
                <w:szCs w:val="22"/>
                <w:lang w:val="en-GB" w:eastAsia="en-GB"/>
              </w:rPr>
            </w:pPr>
            <w:r>
              <w:rPr>
                <w:rFonts w:eastAsia="Arial Unicode MS" w:cs="Calibri" w:ascii="Calibri" w:hAnsi="Calibri"/>
                <w:sz w:val="22"/>
                <w:szCs w:val="22"/>
                <w:lang w:val="en-GB" w:eastAsia="en-GB"/>
              </w:rPr>
            </w:r>
          </w:p>
        </w:tc>
      </w:tr>
    </w:tbl>
    <w:p>
      <w:pPr>
        <w:pStyle w:val="Normal"/>
        <w:rPr>
          <w:rFonts w:ascii="Calibri" w:hAnsi="Calibri" w:cs="Calibri"/>
          <w:sz w:val="22"/>
          <w:szCs w:val="22"/>
        </w:rPr>
      </w:pPr>
      <w:r>
        <w:rPr>
          <w:rFonts w:cs="Calibri" w:ascii="Calibri" w:hAnsi="Calibri"/>
          <w:sz w:val="22"/>
          <w:szCs w:val="22"/>
        </w:rPr>
      </w:r>
    </w:p>
    <w:p>
      <w:pPr>
        <w:pStyle w:val="Normal"/>
        <w:ind w:left="1440" w:right="0" w:hanging="1440"/>
        <w:jc w:val="center"/>
        <w:rPr>
          <w:rFonts w:ascii="Calibri" w:hAnsi="Calibri" w:cs="Calibri"/>
          <w:b/>
          <w:b/>
          <w:color w:val="E36C0A"/>
          <w:sz w:val="22"/>
          <w:szCs w:val="22"/>
        </w:rPr>
      </w:pPr>
      <w:r>
        <w:rPr>
          <w:rFonts w:cs="Calibri" w:ascii="Calibri" w:hAnsi="Calibri"/>
          <w:b/>
          <w:color w:val="E36C0A"/>
          <w:sz w:val="22"/>
          <w:szCs w:val="22"/>
        </w:rPr>
        <w:t>Keeping Children Safe in Education</w:t>
      </w:r>
    </w:p>
    <w:p>
      <w:pPr>
        <w:pStyle w:val="Normal"/>
        <w:jc w:val="both"/>
        <w:rPr>
          <w:rFonts w:ascii="Calibri" w:hAnsi="Calibri" w:cs="Calibri"/>
          <w:b/>
          <w:b/>
          <w:sz w:val="22"/>
          <w:szCs w:val="22"/>
        </w:rPr>
      </w:pPr>
      <w:r>
        <w:rPr>
          <w:rFonts w:cs="Calibri" w:ascii="Calibri" w:hAnsi="Calibri"/>
          <w:b/>
          <w:sz w:val="22"/>
          <w:szCs w:val="22"/>
        </w:rPr>
        <w:t xml:space="preserve">Bright Futures Educational Trust is committed to safeguarding and promoting the welfare of children and young people and we expect all staff and volunteers to share this commitment. This post is exempt from the Rehabilitation of Offenders Act 1974; pre-employment checks will be carried out and references will be sought for shortlisted candidates and successful candidates will be subject to an enhanced DBS check and other relevant checks with statutory bodies. </w:t>
      </w:r>
    </w:p>
    <w:sectPr>
      <w:headerReference w:type="default" r:id="rId2"/>
      <w:footerReference w:type="default" r:id="rId3"/>
      <w:type w:val="nextPage"/>
      <w:pgSz w:w="11906" w:h="16838"/>
      <w:pgMar w:left="1134" w:right="1134" w:header="737" w:top="1701" w:footer="113"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1"/>
    <w:family w:val="auto"/>
    <w:pitch w:val="default"/>
  </w:font>
  <w:font w:name="Calibri">
    <w:charset w:val="01"/>
    <w:family w:val="swiss"/>
    <w:pitch w:val="variable"/>
  </w:font>
  <w:font w:name="Courier New">
    <w:charset w:val="01"/>
    <w:family w:val="modern"/>
    <w:pitch w:val="default"/>
  </w:font>
  <w:font w:name="Wingdings">
    <w:charset w:val="02"/>
    <w:family w:val="auto"/>
    <w:pitch w:val="variable"/>
  </w:font>
  <w:font w:name="Tahoma">
    <w:charset w:val="00"/>
    <w:family w:val="roman"/>
    <w:pitch w:val="variable"/>
  </w:font>
  <w:font w:name="Helvetica Neue">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rFonts w:cs="Calibri" w:ascii="Calibri" w:hAnsi="Calibri"/>
        <w:sz w:val="20"/>
        <w:szCs w:val="20"/>
      </w:rPr>
      <w:t xml:space="preserve">Page </w:t>
    </w:r>
    <w:r>
      <w:rPr>
        <w:rFonts w:cs="Calibri" w:ascii="Calibri" w:hAnsi="Calibri"/>
        <w:b/>
        <w:bCs/>
        <w:sz w:val="20"/>
        <w:szCs w:val="20"/>
      </w:rPr>
      <w:fldChar w:fldCharType="begin"/>
    </w:r>
    <w:r>
      <w:rPr>
        <w:sz w:val="20"/>
        <w:b/>
        <w:szCs w:val="20"/>
        <w:bCs/>
        <w:rFonts w:cs="Calibri" w:ascii="Calibri" w:hAnsi="Calibri"/>
      </w:rPr>
      <w:instrText> PAGE </w:instrText>
    </w:r>
    <w:r>
      <w:rPr>
        <w:sz w:val="20"/>
        <w:b/>
        <w:szCs w:val="20"/>
        <w:bCs/>
        <w:rFonts w:cs="Calibri" w:ascii="Calibri" w:hAnsi="Calibri"/>
      </w:rPr>
      <w:fldChar w:fldCharType="separate"/>
    </w:r>
    <w:r>
      <w:rPr>
        <w:sz w:val="20"/>
        <w:b/>
        <w:szCs w:val="20"/>
        <w:bCs/>
        <w:rFonts w:cs="Calibri" w:ascii="Calibri" w:hAnsi="Calibri"/>
      </w:rPr>
      <w:t>5</w:t>
    </w:r>
    <w:r>
      <w:rPr>
        <w:sz w:val="20"/>
        <w:b/>
        <w:szCs w:val="20"/>
        <w:bCs/>
        <w:rFonts w:cs="Calibri" w:ascii="Calibri" w:hAnsi="Calibri"/>
      </w:rPr>
      <w:fldChar w:fldCharType="end"/>
    </w:r>
    <w:r>
      <w:rPr>
        <w:rFonts w:cs="Calibri" w:ascii="Calibri" w:hAnsi="Calibri"/>
        <w:sz w:val="20"/>
        <w:szCs w:val="20"/>
      </w:rPr>
      <w:t xml:space="preserve"> of </w:t>
    </w:r>
    <w:r>
      <w:rPr>
        <w:rFonts w:cs="Calibri" w:ascii="Calibri" w:hAnsi="Calibri"/>
        <w:b/>
        <w:bCs/>
        <w:sz w:val="20"/>
        <w:szCs w:val="20"/>
      </w:rPr>
      <w:fldChar w:fldCharType="begin"/>
    </w:r>
    <w:r>
      <w:rPr>
        <w:sz w:val="20"/>
        <w:b/>
        <w:szCs w:val="20"/>
        <w:bCs/>
        <w:rFonts w:cs="Calibri" w:ascii="Calibri" w:hAnsi="Calibri"/>
      </w:rPr>
      <w:instrText> NUMPAGES \* ARABIC </w:instrText>
    </w:r>
    <w:r>
      <w:rPr>
        <w:sz w:val="20"/>
        <w:b/>
        <w:szCs w:val="20"/>
        <w:bCs/>
        <w:rFonts w:cs="Calibri" w:ascii="Calibri" w:hAnsi="Calibri"/>
      </w:rPr>
      <w:fldChar w:fldCharType="separate"/>
    </w:r>
    <w:r>
      <w:rPr>
        <w:sz w:val="20"/>
        <w:b/>
        <w:szCs w:val="20"/>
        <w:bCs/>
        <w:rFonts w:cs="Calibri" w:ascii="Calibri" w:hAnsi="Calibri"/>
      </w:rPr>
      <w:t>5</w:t>
    </w:r>
    <w:r>
      <w:rPr>
        <w:sz w:val="20"/>
        <w:b/>
        <w:szCs w:val="20"/>
        <w:bCs/>
        <w:rFonts w:cs="Calibri" w:ascii="Calibri" w:hAnsi="Calibri"/>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4513" w:leader="none"/>
        <w:tab w:val="center" w:pos="4947" w:leader="none"/>
        <w:tab w:val="right" w:pos="9026" w:leader="none"/>
        <w:tab w:val="right" w:pos="9894" w:leader="none"/>
      </w:tabs>
      <w:rPr/>
    </w:pPr>
    <w:r>
      <w:drawing>
        <wp:anchor behindDoc="1" distT="0" distB="0" distL="114300" distR="114300" simplePos="0" locked="0" layoutInCell="1" allowOverlap="1" relativeHeight="11">
          <wp:simplePos x="0" y="0"/>
          <wp:positionH relativeFrom="margin">
            <wp:posOffset>4933950</wp:posOffset>
          </wp:positionH>
          <wp:positionV relativeFrom="paragraph">
            <wp:posOffset>-28575</wp:posOffset>
          </wp:positionV>
          <wp:extent cx="1353185" cy="46609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1" t="-70" r="-21" b="-70"/>
                  <a:stretch>
                    <a:fillRect/>
                  </a:stretch>
                </pic:blipFill>
                <pic:spPr bwMode="auto">
                  <a:xfrm>
                    <a:off x="0" y="0"/>
                    <a:ext cx="1353185" cy="466090"/>
                  </a:xfrm>
                  <a:prstGeom prst="rect">
                    <a:avLst/>
                  </a:prstGeom>
                </pic:spPr>
              </pic:pic>
            </a:graphicData>
          </a:graphic>
        </wp:anchor>
      </w:drawing>
    </w:r>
    <w:r>
      <w:rPr/>
      <w:drawing>
        <wp:inline distT="0" distB="0" distL="0" distR="0">
          <wp:extent cx="876300" cy="40513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6" t="-11" r="-6" b="-11"/>
                  <a:stretch>
                    <a:fillRect/>
                  </a:stretch>
                </pic:blipFill>
                <pic:spPr bwMode="auto">
                  <a:xfrm>
                    <a:off x="0" y="0"/>
                    <a:ext cx="876300" cy="405130"/>
                  </a:xfrm>
                  <a:prstGeom prst="rect">
                    <a:avLst/>
                  </a:prstGeom>
                </pic:spPr>
              </pic:pic>
            </a:graphicData>
          </a:graphic>
        </wp:inline>
      </w:drawing>
    </w: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158" w:hanging="158"/>
      </w:pPr>
      <w:rPr>
        <w:rFonts w:ascii="Symbol" w:hAnsi="Symbol" w:cs="Symbol" w:hint="default"/>
        <w:smallCaps w:val="false"/>
        <w:caps w:val="false"/>
        <w:dstrike w:val="false"/>
        <w:strike w:val="false"/>
        <w:vertAlign w:val="baseline"/>
        <w:position w:val="0"/>
        <w:sz w:val="22"/>
        <w:sz w:val="22"/>
        <w:spacing w:val="0"/>
        <w:kern w:val="0"/>
        <w:szCs w:val="22"/>
        <w:w w:val="100"/>
        <w:rFonts w:cs="Symbol"/>
        <w:color w:val="000000"/>
        <w:lang w:val="en-GB" w:eastAsia="en-GB"/>
      </w:rPr>
    </w:lvl>
    <w:lvl w:ilvl="1">
      <w:start w:val="1"/>
      <w:numFmt w:val="bullet"/>
      <w:lvlText w:val="-"/>
      <w:lvlJc w:val="left"/>
      <w:pPr>
        <w:ind w:left="758" w:hanging="158"/>
      </w:pPr>
      <w:rPr>
        <w:rFonts w:ascii="OpenSymbol" w:hAnsi="OpenSymbol" w:cs="OpenSymbol" w:hint="default"/>
        <w:smallCaps w:val="false"/>
        <w:caps w:val="false"/>
        <w:dstrike w:val="false"/>
        <w:strike w:val="false"/>
        <w:vertAlign w:val="baseline"/>
        <w:position w:val="0"/>
        <w:sz w:val="24"/>
        <w:sz w:val="24"/>
        <w:spacing w:val="0"/>
        <w:kern w:val="0"/>
        <w:w w:val="100"/>
        <w:rFonts w:cs="OpenSymbol;Arial Unicode MS"/>
        <w:color w:val="000000"/>
      </w:rPr>
    </w:lvl>
    <w:lvl w:ilvl="2">
      <w:start w:val="1"/>
      <w:numFmt w:val="bullet"/>
      <w:lvlText w:val="-"/>
      <w:lvlJc w:val="left"/>
      <w:pPr>
        <w:ind w:left="1358" w:hanging="158"/>
      </w:pPr>
      <w:rPr>
        <w:rFonts w:ascii="OpenSymbol" w:hAnsi="OpenSymbol" w:cs="OpenSymbol" w:hint="default"/>
        <w:smallCaps w:val="false"/>
        <w:caps w:val="false"/>
        <w:dstrike w:val="false"/>
        <w:strike w:val="false"/>
        <w:vertAlign w:val="baseline"/>
        <w:position w:val="0"/>
        <w:sz w:val="24"/>
        <w:sz w:val="24"/>
        <w:spacing w:val="0"/>
        <w:kern w:val="0"/>
        <w:w w:val="100"/>
        <w:rFonts w:cs="OpenSymbol;Arial Unicode MS"/>
        <w:color w:val="000000"/>
      </w:rPr>
    </w:lvl>
    <w:lvl w:ilvl="3">
      <w:start w:val="1"/>
      <w:numFmt w:val="bullet"/>
      <w:lvlText w:val="-"/>
      <w:lvlJc w:val="left"/>
      <w:pPr>
        <w:ind w:left="1958" w:hanging="158"/>
      </w:pPr>
      <w:rPr>
        <w:rFonts w:ascii="OpenSymbol" w:hAnsi="OpenSymbol" w:cs="OpenSymbol" w:hint="default"/>
        <w:smallCaps w:val="false"/>
        <w:caps w:val="false"/>
        <w:dstrike w:val="false"/>
        <w:strike w:val="false"/>
        <w:vertAlign w:val="baseline"/>
        <w:position w:val="0"/>
        <w:sz w:val="24"/>
        <w:sz w:val="24"/>
        <w:spacing w:val="0"/>
        <w:kern w:val="0"/>
        <w:w w:val="100"/>
        <w:rFonts w:cs="OpenSymbol;Arial Unicode MS"/>
        <w:color w:val="000000"/>
      </w:rPr>
    </w:lvl>
    <w:lvl w:ilvl="4">
      <w:start w:val="1"/>
      <w:numFmt w:val="bullet"/>
      <w:lvlText w:val="-"/>
      <w:lvlJc w:val="left"/>
      <w:pPr>
        <w:ind w:left="2558" w:hanging="158"/>
      </w:pPr>
      <w:rPr>
        <w:rFonts w:ascii="OpenSymbol" w:hAnsi="OpenSymbol" w:cs="OpenSymbol" w:hint="default"/>
        <w:smallCaps w:val="false"/>
        <w:caps w:val="false"/>
        <w:dstrike w:val="false"/>
        <w:strike w:val="false"/>
        <w:vertAlign w:val="baseline"/>
        <w:position w:val="0"/>
        <w:sz w:val="24"/>
        <w:sz w:val="24"/>
        <w:spacing w:val="0"/>
        <w:kern w:val="0"/>
        <w:w w:val="100"/>
        <w:rFonts w:cs="OpenSymbol;Arial Unicode MS"/>
        <w:color w:val="000000"/>
      </w:rPr>
    </w:lvl>
    <w:lvl w:ilvl="5">
      <w:start w:val="1"/>
      <w:numFmt w:val="bullet"/>
      <w:lvlText w:val="-"/>
      <w:lvlJc w:val="left"/>
      <w:pPr>
        <w:ind w:left="3158" w:hanging="158"/>
      </w:pPr>
      <w:rPr>
        <w:rFonts w:ascii="OpenSymbol" w:hAnsi="OpenSymbol" w:cs="OpenSymbol" w:hint="default"/>
        <w:smallCaps w:val="false"/>
        <w:caps w:val="false"/>
        <w:dstrike w:val="false"/>
        <w:strike w:val="false"/>
        <w:vertAlign w:val="baseline"/>
        <w:position w:val="0"/>
        <w:sz w:val="24"/>
        <w:sz w:val="24"/>
        <w:spacing w:val="0"/>
        <w:kern w:val="0"/>
        <w:w w:val="100"/>
        <w:rFonts w:cs="OpenSymbol;Arial Unicode MS"/>
        <w:color w:val="000000"/>
      </w:rPr>
    </w:lvl>
    <w:lvl w:ilvl="6">
      <w:start w:val="1"/>
      <w:numFmt w:val="bullet"/>
      <w:lvlText w:val="-"/>
      <w:lvlJc w:val="left"/>
      <w:pPr>
        <w:ind w:left="3758" w:hanging="158"/>
      </w:pPr>
      <w:rPr>
        <w:rFonts w:ascii="OpenSymbol" w:hAnsi="OpenSymbol" w:cs="OpenSymbol" w:hint="default"/>
        <w:smallCaps w:val="false"/>
        <w:caps w:val="false"/>
        <w:dstrike w:val="false"/>
        <w:strike w:val="false"/>
        <w:vertAlign w:val="baseline"/>
        <w:position w:val="0"/>
        <w:sz w:val="24"/>
        <w:sz w:val="24"/>
        <w:spacing w:val="0"/>
        <w:kern w:val="0"/>
        <w:w w:val="100"/>
        <w:rFonts w:cs="OpenSymbol;Arial Unicode MS"/>
        <w:color w:val="000000"/>
      </w:rPr>
    </w:lvl>
    <w:lvl w:ilvl="7">
      <w:start w:val="1"/>
      <w:numFmt w:val="bullet"/>
      <w:lvlText w:val="-"/>
      <w:lvlJc w:val="left"/>
      <w:pPr>
        <w:ind w:left="4358" w:hanging="158"/>
      </w:pPr>
      <w:rPr>
        <w:rFonts w:ascii="OpenSymbol" w:hAnsi="OpenSymbol" w:cs="OpenSymbol" w:hint="default"/>
        <w:smallCaps w:val="false"/>
        <w:caps w:val="false"/>
        <w:dstrike w:val="false"/>
        <w:strike w:val="false"/>
        <w:vertAlign w:val="baseline"/>
        <w:position w:val="0"/>
        <w:sz w:val="24"/>
        <w:sz w:val="24"/>
        <w:spacing w:val="0"/>
        <w:kern w:val="0"/>
        <w:w w:val="100"/>
        <w:rFonts w:cs="OpenSymbol;Arial Unicode MS"/>
        <w:color w:val="000000"/>
      </w:rPr>
    </w:lvl>
    <w:lvl w:ilvl="8">
      <w:start w:val="1"/>
      <w:numFmt w:val="bullet"/>
      <w:lvlText w:val="-"/>
      <w:lvlJc w:val="left"/>
      <w:pPr>
        <w:ind w:left="4958" w:hanging="158"/>
      </w:pPr>
      <w:rPr>
        <w:rFonts w:ascii="OpenSymbol" w:hAnsi="OpenSymbol" w:cs="OpenSymbol" w:hint="default"/>
        <w:smallCaps w:val="false"/>
        <w:caps w:val="false"/>
        <w:dstrike w:val="false"/>
        <w:strike w:val="false"/>
        <w:vertAlign w:val="baseline"/>
        <w:position w:val="0"/>
        <w:sz w:val="24"/>
        <w:sz w:val="24"/>
        <w:spacing w:val="0"/>
        <w:kern w:val="0"/>
        <w:w w:val="100"/>
        <w:rFonts w:cs="OpenSymbol;Arial Unicode MS"/>
        <w:color w:val="000000"/>
      </w:rPr>
    </w:lvl>
  </w:abstractNum>
  <w:abstractNum w:abstractNumId="3">
    <w:lvl w:ilvl="0">
      <w:start w:val="1"/>
      <w:numFmt w:val="bullet"/>
      <w:lvlText w:val="•"/>
      <w:lvlJc w:val="left"/>
      <w:pPr>
        <w:ind w:left="720" w:hanging="360"/>
      </w:pPr>
      <w:rPr>
        <w:rFonts w:ascii="Calibri" w:hAnsi="Calibri" w:cs="Calibri" w:hint="default"/>
        <w:smallCaps w:val="false"/>
        <w:caps w:val="false"/>
        <w:dstrike w:val="false"/>
        <w:strike w:val="false"/>
        <w:vertAlign w:val="baseline"/>
        <w:position w:val="0"/>
        <w:sz w:val="22"/>
        <w:sz w:val="22"/>
        <w:spacing w:val="0"/>
        <w:i w:val="false"/>
        <w:b w:val="false"/>
        <w:kern w:val="0"/>
        <w:iCs w:val="false"/>
        <w:bCs w:val="false"/>
        <w:w w:val="100"/>
        <w:rFonts w:cs="Calibri"/>
        <w:color w:val="000000"/>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360" w:hanging="360"/>
      </w:pPr>
      <w:rPr>
        <w:rFonts w:ascii="Symbol" w:hAnsi="Symbol" w:cs="Symbol" w:hint="default"/>
        <w:sz w:val="22"/>
        <w:szCs w:val="20"/>
        <w:rFonts w:cs="Symbol"/>
        <w:color w:val="000000"/>
        <w:lang w:val="en-GB" w:eastAsia="en-GB"/>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sz w:val="22"/>
        <w:szCs w:val="20"/>
        <w:rFonts w:cs="Symbol"/>
        <w:color w:val="000000"/>
        <w:lang w:val="en-GB" w:eastAsia="en-GB"/>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sz w:val="22"/>
        <w:szCs w:val="20"/>
        <w:rFonts w:cs="Symbol"/>
        <w:color w:val="000000"/>
        <w:lang w:val="en-GB" w:eastAsia="en-GB"/>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5">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6">
    <w:lvl w:ilvl="0">
      <w:start w:val="1"/>
      <w:numFmt w:val="bullet"/>
      <w:lvlText w:val=""/>
      <w:lvlJc w:val="left"/>
      <w:pPr>
        <w:ind w:left="360" w:hanging="360"/>
      </w:pPr>
      <w:rPr>
        <w:rFonts w:ascii="Symbol" w:hAnsi="Symbol" w:cs="Symbol" w:hint="default"/>
        <w:szCs w:val="20"/>
        <w:rFonts w:cs="Symbol"/>
        <w:color w:val="000000"/>
        <w:lang w:val="en-GB" w:eastAsia="en-GB"/>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szCs w:val="20"/>
        <w:rFonts w:cs="Symbol"/>
        <w:color w:val="000000"/>
        <w:lang w:val="en-GB" w:eastAsia="en-GB"/>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szCs w:val="20"/>
        <w:rFonts w:cs="Symbol"/>
        <w:color w:val="000000"/>
        <w:lang w:val="en-GB" w:eastAsia="en-GB"/>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7">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8">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1"/>
      <w:numFmt w:val="bullet"/>
      <w:lvlText w:val=""/>
      <w:lvlJc w:val="left"/>
      <w:pPr>
        <w:ind w:left="720" w:hanging="360"/>
      </w:pPr>
      <w:rPr>
        <w:rFonts w:ascii="Symbol" w:hAnsi="Symbol" w:cs="Symbol" w:hint="default"/>
        <w:sz w:val="22"/>
        <w:b/>
        <w:rFonts w:cs="Symbol"/>
        <w:color w:val="auto"/>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bullet"/>
      <w:lvlText w:val=""/>
      <w:lvlJc w:val="left"/>
      <w:pPr>
        <w:ind w:left="720" w:hanging="360"/>
      </w:pPr>
      <w:rPr>
        <w:rFonts w:ascii="Symbol" w:hAnsi="Symbol" w:cs="Symbol" w:hint="default"/>
        <w:sz w:val="22"/>
        <w:szCs w:val="22"/>
        <w:rFonts w:cs="Symbol"/>
        <w:color w:val="auto"/>
        <w:lang w:val="en-GB" w:eastAsia="en-G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 w:val="22"/>
        <w:szCs w:val="22"/>
        <w:rFonts w:cs="Symbol"/>
        <w:color w:val="auto"/>
        <w:lang w:val="en-GB" w:eastAsia="en-GB"/>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 w:val="22"/>
        <w:szCs w:val="22"/>
        <w:rFonts w:cs="Symbol"/>
        <w:color w:val="auto"/>
        <w:lang w:val="en-GB" w:eastAsia="en-GB"/>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pBdr/>
      <w:suppressAutoHyphens w:val="true"/>
      <w:bidi w:val="0"/>
      <w:spacing w:lineRule="auto" w:line="240" w:before="0" w:after="0"/>
      <w:jc w:val="left"/>
    </w:pPr>
    <w:rPr>
      <w:rFonts w:ascii="Times New Roman" w:hAnsi="Times New Roman" w:eastAsia="Arial Unicode MS" w:cs="Arial Unicode MS"/>
      <w:color w:val="000000"/>
      <w:kern w:val="0"/>
      <w:sz w:val="24"/>
      <w:szCs w:val="24"/>
      <w:u w:val="none" w:color="000000"/>
      <w:lang w:val="en-US" w:eastAsia="en-GB" w:bidi="ar-SA"/>
    </w:rPr>
  </w:style>
  <w:style w:type="paragraph" w:styleId="Heading2">
    <w:name w:val="Heading 2"/>
    <w:next w:val="Normal"/>
    <w:qFormat/>
    <w:pPr>
      <w:keepNext w:val="true"/>
      <w:widowControl/>
      <w:numPr>
        <w:ilvl w:val="1"/>
        <w:numId w:val="1"/>
      </w:numPr>
      <w:pBdr/>
      <w:suppressAutoHyphens w:val="true"/>
      <w:bidi w:val="0"/>
      <w:spacing w:lineRule="auto" w:line="240" w:before="240" w:after="60"/>
      <w:jc w:val="left"/>
      <w:outlineLvl w:val="1"/>
    </w:pPr>
    <w:rPr>
      <w:rFonts w:ascii="Calibri" w:hAnsi="Calibri" w:eastAsia="Arial Unicode MS" w:cs="Arial Unicode MS"/>
      <w:b/>
      <w:bCs/>
      <w:i/>
      <w:iCs/>
      <w:color w:val="000000"/>
      <w:kern w:val="0"/>
      <w:sz w:val="28"/>
      <w:szCs w:val="28"/>
      <w:u w:val="none" w:color="000000"/>
      <w:lang w:val="en-US" w:eastAsia="en-GB" w:bidi="ar-SA"/>
    </w:rPr>
  </w:style>
  <w:style w:type="character" w:styleId="WW8Num1z0">
    <w:name w:val="WW8Num1z0"/>
    <w:qFormat/>
    <w:rPr>
      <w:rFonts w:ascii="Symbol" w:hAnsi="Symbol" w:eastAsia="Arial Unicode MS" w:cs="Symbol"/>
      <w:caps w:val="false"/>
      <w:smallCaps w:val="false"/>
      <w:strike w:val="false"/>
      <w:dstrike w:val="false"/>
      <w:color w:val="000000"/>
      <w:spacing w:val="0"/>
      <w:w w:val="100"/>
      <w:kern w:val="0"/>
      <w:position w:val="0"/>
      <w:sz w:val="22"/>
      <w:sz w:val="22"/>
      <w:szCs w:val="22"/>
      <w:vertAlign w:val="baseline"/>
      <w:lang w:val="en-GB" w:eastAsia="en-GB"/>
    </w:rPr>
  </w:style>
  <w:style w:type="character" w:styleId="WW8Num1z1">
    <w:name w:val="WW8Num1z1"/>
    <w:qFormat/>
    <w:rPr>
      <w:rFonts w:ascii="OpenSymbol;Arial Unicode MS" w:hAnsi="OpenSymbol;Arial Unicode MS" w:cs="OpenSymbol;Arial Unicode MS"/>
      <w:caps w:val="false"/>
      <w:smallCaps w:val="false"/>
      <w:strike w:val="false"/>
      <w:dstrike w:val="false"/>
      <w:color w:val="000000"/>
      <w:spacing w:val="0"/>
      <w:w w:val="100"/>
      <w:kern w:val="0"/>
      <w:position w:val="0"/>
      <w:sz w:val="24"/>
      <w:sz w:val="24"/>
      <w:vertAlign w:val="baseline"/>
    </w:rPr>
  </w:style>
  <w:style w:type="character" w:styleId="WW8Num2z0">
    <w:name w:val="WW8Num2z0"/>
    <w:qFormat/>
    <w:rPr>
      <w:rFonts w:ascii="Calibri" w:hAnsi="Calibri" w:cs="Calibri"/>
      <w:b w:val="false"/>
      <w:bCs w:val="false"/>
      <w:i w:val="false"/>
      <w:iCs w:val="false"/>
      <w:caps w:val="false"/>
      <w:smallCaps w:val="false"/>
      <w:strike w:val="false"/>
      <w:dstrike w:val="false"/>
      <w:color w:val="000000"/>
      <w:spacing w:val="0"/>
      <w:w w:val="100"/>
      <w:kern w:val="0"/>
      <w:position w:val="0"/>
      <w:sz w:val="22"/>
      <w:sz w:val="22"/>
      <w:vertAlign w:val="baseline"/>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eastAsia="Arial Unicode MS" w:cs="Symbol"/>
      <w:color w:val="000000"/>
      <w:sz w:val="22"/>
      <w:szCs w:val="20"/>
      <w:lang w:val="en-GB" w:eastAsia="en-GB"/>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eastAsia="Arial Unicode MS" w:cs="Symbol"/>
      <w:color w:val="000000"/>
      <w:szCs w:val="20"/>
      <w:lang w:val="en-GB" w:eastAsia="en-GB"/>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b/>
      <w:color w:val="auto"/>
      <w:sz w:val="22"/>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WW8Num12z0">
    <w:name w:val="WW8Num12z0"/>
    <w:qFormat/>
    <w:rPr>
      <w:rFonts w:ascii="Symbol" w:hAnsi="Symbol" w:eastAsia="Arial Unicode MS" w:cs="Symbol"/>
      <w:color w:val="auto"/>
      <w:sz w:val="22"/>
      <w:szCs w:val="22"/>
      <w:lang w:val="en-GB" w:eastAsia="en-GB"/>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DefaultParagraphFont">
    <w:name w:val="Default Paragraph Font"/>
    <w:qFormat/>
    <w:rPr/>
  </w:style>
  <w:style w:type="character" w:styleId="Heading2Char">
    <w:name w:val="Heading 2 Char"/>
    <w:basedOn w:val="DefaultParagraphFont"/>
    <w:qFormat/>
    <w:rPr>
      <w:rFonts w:ascii="Calibri" w:hAnsi="Calibri" w:eastAsia="Arial Unicode MS" w:cs="Arial Unicode MS"/>
      <w:b/>
      <w:bCs/>
      <w:i/>
      <w:iCs/>
      <w:color w:val="000000"/>
      <w:sz w:val="28"/>
      <w:szCs w:val="28"/>
      <w:u w:val="none" w:color="000000"/>
      <w:lang w:eastAsia="en-GB"/>
    </w:rPr>
  </w:style>
  <w:style w:type="character" w:styleId="HeaderChar">
    <w:name w:val="Header Char"/>
    <w:basedOn w:val="DefaultParagraphFont"/>
    <w:qFormat/>
    <w:rPr>
      <w:rFonts w:ascii="Times New Roman" w:hAnsi="Times New Roman" w:eastAsia="Arial Unicode MS" w:cs="Arial Unicode MS"/>
      <w:color w:val="000000"/>
      <w:sz w:val="24"/>
      <w:szCs w:val="24"/>
      <w:u w:val="none" w:color="000000"/>
      <w:lang w:val="en-GB" w:eastAsia="en-GB"/>
    </w:rPr>
  </w:style>
  <w:style w:type="character" w:styleId="Hyperlink0">
    <w:name w:val="Hyperlink.0"/>
    <w:basedOn w:val="DefaultParagraphFont"/>
    <w:qFormat/>
    <w:rPr>
      <w:rFonts w:ascii="Calibri" w:hAnsi="Calibri" w:eastAsia="Calibri" w:cs="Calibri"/>
      <w:color w:val="0563C1"/>
      <w:u w:val="single" w:color="0563C1"/>
    </w:rPr>
  </w:style>
  <w:style w:type="character" w:styleId="BalloonTextChar">
    <w:name w:val="Balloon Text Char"/>
    <w:basedOn w:val="DefaultParagraphFont"/>
    <w:qFormat/>
    <w:rPr>
      <w:rFonts w:ascii="Tahoma" w:hAnsi="Tahoma" w:eastAsia="Arial Unicode MS" w:cs="Tahoma"/>
      <w:color w:val="000000"/>
      <w:sz w:val="16"/>
      <w:szCs w:val="16"/>
      <w:u w:val="none" w:color="000000"/>
      <w:lang w:eastAsia="en-GB"/>
    </w:rPr>
  </w:style>
  <w:style w:type="character" w:styleId="FooterChar">
    <w:name w:val="Footer Char"/>
    <w:basedOn w:val="DefaultParagraphFont"/>
    <w:qFormat/>
    <w:rPr>
      <w:rFonts w:ascii="Times New Roman" w:hAnsi="Times New Roman" w:eastAsia="Arial Unicode MS" w:cs="Arial Unicode MS"/>
      <w:color w:val="000000"/>
      <w:sz w:val="24"/>
      <w:szCs w:val="24"/>
      <w:u w:val="none" w:color="000000"/>
      <w:lang w:eastAsia="en-GB"/>
    </w:rPr>
  </w:style>
  <w:style w:type="character" w:styleId="InternetLink">
    <w:name w:val="Internet Link"/>
    <w:basedOn w:val="DefaultParagraphFont"/>
    <w:rPr>
      <w:color w:val="0000FF"/>
      <w:u w:val="single"/>
    </w:rPr>
  </w:style>
  <w:style w:type="character" w:styleId="CommentTextChar">
    <w:name w:val="Comment Text Char"/>
    <w:basedOn w:val="DefaultParagraphFont"/>
    <w:qFormat/>
    <w:rPr>
      <w:rFonts w:eastAsia="Times New Roman"/>
      <w:sz w:val="20"/>
      <w:szCs w:val="20"/>
      <w:lang w:val="en-GB"/>
    </w:rPr>
  </w:style>
  <w:style w:type="character" w:styleId="Annotationreference">
    <w:name w:val="annotation reference"/>
    <w:basedOn w:val="DefaultParagraphFont"/>
    <w:qFormat/>
    <w:rPr>
      <w:sz w:val="16"/>
      <w:szCs w:val="16"/>
    </w:rPr>
  </w:style>
  <w:style w:type="character" w:styleId="PlainTextChar">
    <w:name w:val="Plain Text Char"/>
    <w:basedOn w:val="DefaultParagraphFont"/>
    <w:qFormat/>
    <w:rPr>
      <w:rFonts w:ascii="Calibri" w:hAnsi="Calibri" w:eastAsia="Calibri" w:cs="Times New Roman"/>
      <w:szCs w:val="21"/>
      <w:lang w:val="en-GB"/>
    </w:rPr>
  </w:style>
  <w:style w:type="character" w:styleId="ListParagraphChar">
    <w:name w:val="List Paragraph Char"/>
    <w:qFormat/>
    <w:rPr>
      <w:rFonts w:ascii="Calibri" w:hAnsi="Calibri" w:eastAsia="Arial Unicode MS" w:cs="Arial Unicode MS"/>
      <w:color w:val="000000"/>
      <w:u w:val="none" w:color="000000"/>
      <w:lang w:eastAsia="en-GB"/>
    </w:rPr>
  </w:style>
  <w:style w:type="character" w:styleId="NoSpacingChar">
    <w:name w:val="No Spacing Char"/>
    <w:basedOn w:val="DefaultParagraphFont"/>
    <w:qFormat/>
    <w:rPr>
      <w:rFonts w:eastAsia="Times New Roman"/>
      <w:lang w:val="en-GB"/>
    </w:rPr>
  </w:style>
  <w:style w:type="character" w:styleId="Normaltextrun">
    <w:name w:val="normaltextrun"/>
    <w:basedOn w:val="DefaultParagraphFont"/>
    <w:qFormat/>
    <w:rPr/>
  </w:style>
  <w:style w:type="character" w:styleId="Eop">
    <w:name w:val="eop"/>
    <w:basedOn w:val="DefaultParagraphFont"/>
    <w:qFormat/>
    <w:rPr/>
  </w:style>
  <w:style w:type="character" w:styleId="UnresolvedMention">
    <w:name w:val="Unresolved Mention"/>
    <w:basedOn w:val="DefaultParagraphFont"/>
    <w:qFormat/>
    <w:rPr>
      <w:color w:val="605E5C"/>
      <w:shd w:fill="E1DFDD" w:val="clear"/>
    </w:rPr>
  </w:style>
  <w:style w:type="character" w:styleId="Markedcontent">
    <w:name w:val="markedcontent"/>
    <w:basedOn w:val="DefaultParagraphFont"/>
    <w:qFormat/>
    <w:rPr/>
  </w:style>
  <w:style w:type="character" w:styleId="FollowedHyperlink">
    <w:name w:val="FollowedHyperlink"/>
    <w:basedOn w:val="DefaultParagraphFont"/>
    <w:qFormat/>
    <w:rPr>
      <w:color w:val="800080"/>
      <w:u w:val="single"/>
    </w:rPr>
  </w:style>
  <w:style w:type="paragraph" w:styleId="Heading">
    <w:name w:val="Heading"/>
    <w:next w:val="Body"/>
    <w:qFormat/>
    <w:pPr>
      <w:keepNext w:val="true"/>
      <w:widowControl/>
      <w:pBdr/>
      <w:suppressAutoHyphens w:val="true"/>
      <w:bidi w:val="0"/>
      <w:spacing w:lineRule="auto" w:line="240" w:before="0" w:after="0"/>
      <w:jc w:val="left"/>
    </w:pPr>
    <w:rPr>
      <w:rFonts w:ascii="Helvetica Neue" w:hAnsi="Helvetica Neue" w:eastAsia="Helvetica Neue" w:cs="Helvetica Neue"/>
      <w:b/>
      <w:bCs/>
      <w:color w:val="000000"/>
      <w:kern w:val="0"/>
      <w:sz w:val="36"/>
      <w:szCs w:val="36"/>
      <w:u w:val="none" w:color="000000"/>
      <w:lang w:val="en-US" w:eastAsia="en-GB" w:bidi="ar-SA"/>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pPr>
      <w:widowControl/>
      <w:pBdr/>
      <w:tabs>
        <w:tab w:val="clear" w:pos="720"/>
        <w:tab w:val="center" w:pos="4513" w:leader="none"/>
        <w:tab w:val="right" w:pos="9026" w:leader="none"/>
      </w:tabs>
      <w:suppressAutoHyphens w:val="true"/>
      <w:bidi w:val="0"/>
      <w:spacing w:lineRule="auto" w:line="240" w:before="0" w:after="0"/>
      <w:jc w:val="left"/>
    </w:pPr>
    <w:rPr>
      <w:rFonts w:ascii="Times New Roman" w:hAnsi="Times New Roman" w:eastAsia="Arial Unicode MS" w:cs="Arial Unicode MS"/>
      <w:color w:val="000000"/>
      <w:kern w:val="0"/>
      <w:sz w:val="24"/>
      <w:szCs w:val="24"/>
      <w:u w:val="none" w:color="000000"/>
      <w:lang w:val="en-GB" w:eastAsia="en-GB" w:bidi="ar-SA"/>
    </w:rPr>
  </w:style>
  <w:style w:type="paragraph" w:styleId="Body">
    <w:name w:val="Body"/>
    <w:qFormat/>
    <w:pPr>
      <w:widowControl/>
      <w:pBdr/>
      <w:suppressAutoHyphens w:val="true"/>
      <w:bidi w:val="0"/>
      <w:spacing w:lineRule="auto" w:line="240" w:before="160" w:after="0"/>
      <w:jc w:val="left"/>
    </w:pPr>
    <w:rPr>
      <w:rFonts w:ascii="Helvetica Neue" w:hAnsi="Helvetica Neue" w:eastAsia="Arial Unicode MS" w:cs="Arial Unicode MS"/>
      <w:color w:val="000000"/>
      <w:kern w:val="0"/>
      <w:sz w:val="24"/>
      <w:szCs w:val="24"/>
      <w:u w:val="none" w:color="000000"/>
      <w:lang w:val="en-US" w:eastAsia="en-GB" w:bidi="ar-SA"/>
    </w:rPr>
  </w:style>
  <w:style w:type="paragraph" w:styleId="ListParagraph">
    <w:name w:val="List Paragraph"/>
    <w:qFormat/>
    <w:pPr>
      <w:widowControl/>
      <w:pBdr/>
      <w:suppressAutoHyphens w:val="true"/>
      <w:bidi w:val="0"/>
      <w:spacing w:lineRule="auto" w:line="256" w:before="0" w:after="160"/>
      <w:ind w:left="720" w:right="0" w:hanging="0"/>
      <w:jc w:val="left"/>
    </w:pPr>
    <w:rPr>
      <w:rFonts w:ascii="Calibri" w:hAnsi="Calibri" w:eastAsia="Arial Unicode MS" w:cs="Arial Unicode MS"/>
      <w:color w:val="000000"/>
      <w:kern w:val="0"/>
      <w:sz w:val="24"/>
      <w:szCs w:val="22"/>
      <w:u w:val="none" w:color="000000"/>
      <w:lang w:val="en-US" w:eastAsia="en-GB" w:bidi="ar-SA"/>
    </w:rPr>
  </w:style>
  <w:style w:type="paragraph" w:styleId="TableText">
    <w:name w:val="Table Text"/>
    <w:qFormat/>
    <w:pPr>
      <w:widowControl/>
      <w:pBdr/>
      <w:suppressAutoHyphens w:val="true"/>
      <w:bidi w:val="0"/>
      <w:spacing w:lineRule="auto" w:line="240" w:before="0" w:after="0"/>
      <w:jc w:val="left"/>
    </w:pPr>
    <w:rPr>
      <w:rFonts w:ascii="Times New Roman" w:hAnsi="Times New Roman" w:eastAsia="Arial Unicode MS" w:cs="Arial Unicode MS"/>
      <w:color w:val="000000"/>
      <w:kern w:val="0"/>
      <w:sz w:val="24"/>
      <w:szCs w:val="24"/>
      <w:u w:val="none" w:color="000000"/>
      <w:lang w:val="en-US" w:eastAsia="en-GB" w:bidi="ar-SA"/>
    </w:rPr>
  </w:style>
  <w:style w:type="paragraph" w:styleId="Default">
    <w:name w:val="Default"/>
    <w:qFormat/>
    <w:pPr>
      <w:widowControl/>
      <w:pBdr/>
      <w:suppressAutoHyphens w:val="true"/>
      <w:bidi w:val="0"/>
      <w:spacing w:lineRule="auto" w:line="240" w:before="160" w:after="0"/>
      <w:jc w:val="left"/>
    </w:pPr>
    <w:rPr>
      <w:rFonts w:ascii="Helvetica Neue" w:hAnsi="Helvetica Neue" w:eastAsia="Helvetica Neue" w:cs="Helvetica Neue"/>
      <w:color w:val="000000"/>
      <w:kern w:val="0"/>
      <w:sz w:val="24"/>
      <w:szCs w:val="24"/>
      <w:lang w:val="en-GB" w:eastAsia="en-GB" w:bidi="ar-SA"/>
    </w:rPr>
  </w:style>
  <w:style w:type="paragraph" w:styleId="BalloonText">
    <w:name w:val="Balloon Text"/>
    <w:basedOn w:val="Normal"/>
    <w:qFormat/>
    <w:pPr/>
    <w:rPr>
      <w:rFonts w:ascii="Tahoma" w:hAnsi="Tahoma" w:cs="Tahoma"/>
      <w:sz w:val="16"/>
      <w:szCs w:val="16"/>
    </w:rPr>
  </w:style>
  <w:style w:type="paragraph" w:styleId="Footer">
    <w:name w:val="Footer"/>
    <w:basedOn w:val="Normal"/>
    <w:pPr>
      <w:tabs>
        <w:tab w:val="clear" w:pos="720"/>
        <w:tab w:val="center" w:pos="4513" w:leader="none"/>
        <w:tab w:val="right" w:pos="9026" w:leader="none"/>
      </w:tabs>
    </w:pPr>
    <w:rPr/>
  </w:style>
  <w:style w:type="paragraph" w:styleId="Annotationtext">
    <w:name w:val="annotation text"/>
    <w:basedOn w:val="Normal"/>
    <w:qFormat/>
    <w:pPr>
      <w:pBdr/>
      <w:spacing w:before="0" w:after="160"/>
    </w:pPr>
    <w:rPr>
      <w:rFonts w:ascii="Calibri" w:hAnsi="Calibri" w:eastAsia="Times New Roman" w:cs=""/>
      <w:color w:val="auto"/>
      <w:sz w:val="20"/>
      <w:szCs w:val="20"/>
      <w:lang w:val="en-GB" w:eastAsia="en-US"/>
    </w:rPr>
  </w:style>
  <w:style w:type="paragraph" w:styleId="PlainText">
    <w:name w:val="Plain Text"/>
    <w:basedOn w:val="Normal"/>
    <w:qFormat/>
    <w:pPr>
      <w:pBdr/>
    </w:pPr>
    <w:rPr>
      <w:rFonts w:ascii="Calibri" w:hAnsi="Calibri" w:eastAsia="Calibri" w:cs="Times New Roman"/>
      <w:color w:val="auto"/>
      <w:sz w:val="22"/>
      <w:szCs w:val="21"/>
      <w:lang w:val="en-GB" w:eastAsia="en-US"/>
    </w:rPr>
  </w:style>
  <w:style w:type="paragraph" w:styleId="NoSpacing">
    <w:name w:val="No Spacing"/>
    <w:qFormat/>
    <w:pPr>
      <w:widowControl/>
      <w:suppressAutoHyphens w:val="true"/>
      <w:bidi w:val="0"/>
      <w:spacing w:lineRule="auto" w:line="240" w:before="0" w:after="0"/>
      <w:jc w:val="left"/>
    </w:pPr>
    <w:rPr>
      <w:rFonts w:ascii="Calibri" w:hAnsi="Calibri" w:eastAsia="Times New Roman" w:cs=""/>
      <w:color w:val="auto"/>
      <w:kern w:val="0"/>
      <w:sz w:val="24"/>
      <w:szCs w:val="22"/>
      <w:lang w:val="en-GB" w:eastAsia="en-US" w:bidi="ar-SA"/>
    </w:rPr>
  </w:style>
  <w:style w:type="paragraph" w:styleId="NormalWeb">
    <w:name w:val="Normal (Web)"/>
    <w:basedOn w:val="Normal"/>
    <w:qFormat/>
    <w:pPr>
      <w:pBdr/>
      <w:spacing w:before="280" w:after="280"/>
    </w:pPr>
    <w:rPr>
      <w:rFonts w:eastAsia="Times New Roman" w:cs="Times New Roman"/>
      <w:color w:val="auto"/>
      <w:lang w:val="en-GB"/>
    </w:rPr>
  </w:style>
  <w:style w:type="paragraph" w:styleId="DefaultText">
    <w:name w:val="Default Text"/>
    <w:basedOn w:val="Normal"/>
    <w:qFormat/>
    <w:pPr>
      <w:pBdr/>
    </w:pPr>
    <w:rPr>
      <w:rFonts w:ascii="Arial" w:hAnsi="Arial" w:eastAsia="Times New Roman" w:cs="Arial"/>
      <w:color w:val="auto"/>
      <w:lang w:val="en-GB"/>
    </w:rPr>
  </w:style>
  <w:style w:type="paragraph" w:styleId="Paragraph">
    <w:name w:val="paragraph"/>
    <w:basedOn w:val="Normal"/>
    <w:qFormat/>
    <w:pPr>
      <w:pBdr/>
      <w:spacing w:before="280" w:after="280"/>
    </w:pPr>
    <w:rPr>
      <w:rFonts w:eastAsia="Times New Roman" w:cs="Times New Roman"/>
      <w:color w:val="auto"/>
      <w:lang w:val="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