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360" w:before="0" w:after="0"/>
        <w:rPr/>
      </w:pPr>
      <w:r>
        <w:rPr>
          <w:rFonts w:cs="Calibri Light" w:ascii="Calibri Light" w:hAnsi="Calibri Light"/>
          <w:b/>
          <w:bCs/>
        </w:rPr>
        <w:t>JOB TITLE:</w:t>
      </w:r>
      <w:r>
        <w:rPr>
          <w:rFonts w:cs="Calibri Light" w:ascii="Calibri Light" w:hAnsi="Calibri Light"/>
        </w:rPr>
        <w:tab/>
        <w:tab/>
      </w:r>
      <w:r>
        <w:rPr>
          <w:rFonts w:cs="Calibri Light" w:ascii="Calibri Light" w:hAnsi="Calibri Light"/>
          <w:b/>
          <w:bCs/>
        </w:rPr>
        <w:t>Attendance &amp; Family Liaison Officer</w:t>
      </w:r>
      <w:r>
        <w:rPr>
          <w:rFonts w:cs="Calibri Light" w:ascii="Calibri Light" w:hAnsi="Calibri Light"/>
        </w:rPr>
        <w:tab/>
      </w:r>
      <w:bookmarkStart w:id="0" w:name="_Hlk127434151"/>
      <w:bookmarkEnd w:id="0"/>
    </w:p>
    <w:p>
      <w:pPr>
        <w:pStyle w:val="Normal"/>
        <w:spacing w:lineRule="auto" w:line="360" w:before="0" w:after="0"/>
        <w:rPr>
          <w:rFonts w:ascii="Calibri Light" w:hAnsi="Calibri Light" w:cs="Calibri Light"/>
          <w:b/>
          <w:bCs/>
        </w:rPr>
      </w:pPr>
      <w:r>
        <w:rPr>
          <w:rFonts w:cs="Calibri Light" w:ascii="Calibri Light" w:hAnsi="Calibri Light"/>
          <w:b/>
          <w:bCs/>
        </w:rPr>
        <w:t>SCHOOL:</w:t>
        <w:tab/>
        <w:tab/>
        <w:t>Longdendale High School</w:t>
      </w:r>
    </w:p>
    <w:p>
      <w:pPr>
        <w:pStyle w:val="Normal"/>
        <w:spacing w:lineRule="auto" w:line="360" w:before="0" w:after="0"/>
        <w:rPr/>
      </w:pPr>
      <w:r>
        <w:rPr>
          <w:rFonts w:cs="Calibri Light" w:ascii="Calibri Light" w:hAnsi="Calibri Light"/>
          <w:b/>
          <w:bCs/>
        </w:rPr>
        <w:t>RESPONSIBLE TO:</w:t>
      </w:r>
      <w:r>
        <w:rPr>
          <w:rFonts w:cs="Calibri Light" w:ascii="Calibri Light" w:hAnsi="Calibri Light"/>
        </w:rPr>
        <w:tab/>
      </w:r>
      <w:r>
        <w:rPr>
          <w:rFonts w:cs="Calibri Light" w:ascii="Calibri Light" w:hAnsi="Calibri Light"/>
          <w:b/>
          <w:bCs/>
        </w:rPr>
        <w:t>Attendance Manager</w:t>
      </w:r>
    </w:p>
    <w:p>
      <w:pPr>
        <w:pStyle w:val="Normal"/>
        <w:spacing w:lineRule="auto" w:line="360" w:before="0" w:after="240"/>
        <w:rPr/>
      </w:pPr>
      <w:r>
        <w:rPr>
          <w:rFonts w:cs="Calibri Light" w:ascii="Calibri Light" w:hAnsi="Calibri Light"/>
          <w:b/>
          <w:bCs/>
        </w:rPr>
        <w:t>GRADE:</w:t>
      </w:r>
      <w:r>
        <w:rPr>
          <w:rFonts w:cs="Calibri Light" w:ascii="Calibri Light" w:hAnsi="Calibri Light"/>
        </w:rPr>
        <w:tab/>
        <w:tab/>
        <w:tab/>
      </w:r>
      <w:r>
        <w:rPr>
          <w:rFonts w:cs="Calibri Light" w:ascii="Calibri Light" w:hAnsi="Calibri Light"/>
          <w:b/>
          <w:bCs/>
        </w:rPr>
        <w:t>NJC Grade E SCP 11 – 16 £28,142 -£30,518  (to be pro rated to reflect TTO)</w:t>
      </w:r>
    </w:p>
    <w:p>
      <w:pPr>
        <w:pStyle w:val="Normal"/>
        <w:rPr>
          <w:rFonts w:ascii="Calibri Light" w:hAnsi="Calibri Light" w:cs="Calibri Light"/>
          <w:b/>
          <w:bCs/>
        </w:rPr>
      </w:pPr>
      <w:r>
        <w:rPr>
          <w:rFonts w:cs="Calibri Light" w:ascii="Calibri Light" w:hAnsi="Calibri Light"/>
          <w:b/>
          <w:bCs/>
        </w:rPr>
        <w:t>PURPOSE OF POST:</w:t>
      </w:r>
    </w:p>
    <w:p>
      <w:pPr>
        <w:pStyle w:val="ListParagraph"/>
        <w:numPr>
          <w:ilvl w:val="0"/>
          <w:numId w:val="6"/>
        </w:numPr>
        <w:spacing w:lineRule="auto" w:line="240" w:before="0" w:after="120"/>
        <w:ind w:hanging="357" w:left="357" w:right="0"/>
        <w:contextualSpacing/>
        <w:rPr/>
      </w:pPr>
      <w:r>
        <w:rPr>
          <w:rFonts w:cs="Calibri Light" w:ascii="Calibri Light" w:hAnsi="Calibri Light"/>
          <w:spacing w:val="-2"/>
        </w:rPr>
        <w:t>The core purpose of the role is to provide a professional and effective service that improves student attendance to school. To will work closely with families and outside agencies to support and monitor attendance in line with school policy.</w:t>
      </w:r>
    </w:p>
    <w:p>
      <w:pPr>
        <w:pStyle w:val="ListParagraph"/>
        <w:numPr>
          <w:ilvl w:val="0"/>
          <w:numId w:val="6"/>
        </w:numPr>
        <w:spacing w:lineRule="auto" w:line="240" w:before="0" w:after="120"/>
        <w:ind w:hanging="357" w:left="357" w:right="0"/>
        <w:contextualSpacing/>
        <w:rPr/>
      </w:pPr>
      <w:r>
        <w:rPr>
          <w:rFonts w:cs="Calibri Light" w:ascii="Calibri Light" w:hAnsi="Calibri Light"/>
          <w:spacing w:val="-2"/>
        </w:rPr>
        <w:t>To manage and improve student attendance and punctuality to school</w:t>
      </w:r>
    </w:p>
    <w:p>
      <w:pPr>
        <w:pStyle w:val="ListParagraph"/>
        <w:numPr>
          <w:ilvl w:val="0"/>
          <w:numId w:val="6"/>
        </w:numPr>
        <w:spacing w:lineRule="auto" w:line="240" w:before="0" w:after="120"/>
        <w:ind w:hanging="357" w:left="357" w:right="0"/>
        <w:contextualSpacing/>
        <w:rPr/>
      </w:pPr>
      <w:r>
        <w:rPr>
          <w:rFonts w:cs="Calibri Light" w:ascii="Calibri Light" w:hAnsi="Calibri Light"/>
          <w:spacing w:val="-2"/>
        </w:rPr>
        <w:t>Support the implementation of the school’s vision and values</w:t>
      </w:r>
    </w:p>
    <w:p>
      <w:pPr>
        <w:pStyle w:val="ListParagraph"/>
        <w:numPr>
          <w:ilvl w:val="0"/>
          <w:numId w:val="6"/>
        </w:numPr>
        <w:spacing w:lineRule="auto" w:line="240" w:before="0" w:after="120"/>
        <w:ind w:hanging="357" w:left="357" w:right="0"/>
        <w:contextualSpacing/>
        <w:rPr/>
      </w:pPr>
      <w:r>
        <w:rPr>
          <w:rFonts w:cs="Calibri Light" w:ascii="Calibri Light" w:hAnsi="Calibri Light"/>
          <w:spacing w:val="-2"/>
        </w:rPr>
        <w:t xml:space="preserve">Ensure that the school’s policies are promoted </w:t>
      </w:r>
    </w:p>
    <w:p>
      <w:pPr>
        <w:pStyle w:val="ListParagraph"/>
        <w:numPr>
          <w:ilvl w:val="0"/>
          <w:numId w:val="6"/>
        </w:numPr>
        <w:spacing w:lineRule="auto" w:line="240" w:before="0" w:after="120"/>
        <w:ind w:hanging="357" w:left="357" w:right="0"/>
        <w:contextualSpacing/>
        <w:rPr/>
      </w:pPr>
      <w:r>
        <w:rPr>
          <w:rFonts w:cs="Calibri Light" w:ascii="Calibri Light" w:hAnsi="Calibri Light"/>
          <w:spacing w:val="-2"/>
        </w:rPr>
        <w:t>Contribute to developing a culture of high expectations in a safe and secure learning environment</w:t>
      </w:r>
    </w:p>
    <w:p>
      <w:pPr>
        <w:pStyle w:val="ListParagraph"/>
        <w:numPr>
          <w:ilvl w:val="0"/>
          <w:numId w:val="6"/>
        </w:numPr>
        <w:spacing w:lineRule="auto" w:line="240" w:before="0" w:after="240"/>
        <w:ind w:hanging="357" w:left="357" w:right="0"/>
        <w:contextualSpacing/>
        <w:rPr/>
      </w:pPr>
      <w:r>
        <w:rPr>
          <w:rFonts w:cs="Calibri Light" w:ascii="Calibri Light" w:hAnsi="Calibri Light"/>
          <w:spacing w:val="-2"/>
        </w:rPr>
        <w:t xml:space="preserve">Foster effective relationships with families and students in the school </w:t>
      </w:r>
    </w:p>
    <w:p>
      <w:pPr>
        <w:pStyle w:val="ListParagraph"/>
        <w:spacing w:lineRule="auto" w:line="240" w:before="0" w:after="240"/>
        <w:ind w:hanging="357" w:left="357" w:right="0"/>
        <w:contextualSpacing/>
        <w:rPr>
          <w:rFonts w:ascii="Calibri Light" w:hAnsi="Calibri Light" w:cs="Calibri Light"/>
        </w:rPr>
      </w:pPr>
      <w:r>
        <w:rPr>
          <w:rFonts w:cs="Calibri Light" w:ascii="Calibri Light" w:hAnsi="Calibri Light"/>
        </w:rPr>
      </w:r>
    </w:p>
    <w:tbl>
      <w:tblPr>
        <w:tblW w:w="10198" w:type="dxa"/>
        <w:jc w:val="left"/>
        <w:tblInd w:w="108" w:type="dxa"/>
        <w:tblLayout w:type="fixed"/>
        <w:tblCellMar>
          <w:top w:w="0" w:type="dxa"/>
          <w:left w:w="108" w:type="dxa"/>
          <w:bottom w:w="0" w:type="dxa"/>
          <w:right w:w="108" w:type="dxa"/>
        </w:tblCellMar>
      </w:tblPr>
      <w:tblGrid>
        <w:gridCol w:w="10198"/>
      </w:tblGrid>
      <w:tr>
        <w:trPr/>
        <w:tc>
          <w:tcPr>
            <w:tcW w:w="10198" w:type="dxa"/>
            <w:tcBorders>
              <w:top w:val="single" w:sz="6" w:space="0" w:color="192F57"/>
              <w:left w:val="single" w:sz="6" w:space="0" w:color="192F57"/>
              <w:right w:val="single" w:sz="6" w:space="0" w:color="192F57"/>
            </w:tcBorders>
            <w:shd w:fill="192F57" w:val="clear"/>
          </w:tcPr>
          <w:p>
            <w:pPr>
              <w:pStyle w:val="Heading9"/>
              <w:tabs>
                <w:tab w:val="clear" w:pos="720"/>
                <w:tab w:val="left" w:pos="3375" w:leader="none"/>
              </w:tabs>
              <w:spacing w:before="80" w:after="80"/>
              <w:ind w:hanging="0" w:left="57" w:right="113"/>
              <w:rPr>
                <w:rFonts w:cs="Calibri Light"/>
                <w:i w:val="false"/>
                <w:i w:val="false"/>
                <w:color w:val="FFFFFF"/>
                <w:sz w:val="28"/>
                <w:szCs w:val="28"/>
              </w:rPr>
            </w:pPr>
            <w:r>
              <w:rPr>
                <w:rFonts w:cs="Calibri Light"/>
                <w:i w:val="false"/>
                <w:color w:val="FFFFFF"/>
                <w:sz w:val="28"/>
                <w:szCs w:val="28"/>
              </w:rPr>
              <w:t>Key Roles and Responsibilities</w:t>
            </w:r>
          </w:p>
        </w:tc>
      </w:tr>
      <w:tr>
        <w:trPr/>
        <w:tc>
          <w:tcPr>
            <w:tcW w:w="10198" w:type="dxa"/>
            <w:tcBorders>
              <w:left w:val="single" w:sz="6" w:space="0" w:color="192F57"/>
              <w:right w:val="single" w:sz="6" w:space="0" w:color="192F57"/>
            </w:tcBorders>
            <w:shd w:fill="E6DED5" w:val="clear"/>
          </w:tcPr>
          <w:p>
            <w:pPr>
              <w:pStyle w:val="BodyTextIndent"/>
              <w:numPr>
                <w:ilvl w:val="0"/>
                <w:numId w:val="3"/>
              </w:numPr>
              <w:spacing w:lineRule="auto" w:line="240" w:before="120" w:after="0"/>
              <w:rPr/>
            </w:pPr>
            <w:r>
              <w:rPr>
                <w:rFonts w:cs="Calibri Light" w:ascii="Calibri Light" w:hAnsi="Calibri Light"/>
              </w:rPr>
              <w:t>To carry out the functions of a school attendance officer, in line with DfE guidance: Working together to improve school attendance (July 2026)</w:t>
            </w:r>
          </w:p>
          <w:p>
            <w:pPr>
              <w:pStyle w:val="BodyTextIndent"/>
              <w:numPr>
                <w:ilvl w:val="0"/>
                <w:numId w:val="3"/>
              </w:numPr>
              <w:spacing w:lineRule="auto" w:line="240" w:before="120" w:after="0"/>
              <w:rPr/>
            </w:pPr>
            <w:r>
              <w:rPr>
                <w:rFonts w:cs="Calibri Light" w:ascii="Calibri Light" w:hAnsi="Calibri Light"/>
              </w:rPr>
              <w:t>To assist the school in identifying the underlying causes of poor attendance and punctuality in individual cases and target resources by effective intervention to maximise attendance and improve punctuality</w:t>
            </w:r>
          </w:p>
          <w:p>
            <w:pPr>
              <w:pStyle w:val="BodyTextIndent"/>
              <w:numPr>
                <w:ilvl w:val="0"/>
                <w:numId w:val="3"/>
              </w:numPr>
              <w:spacing w:lineRule="auto" w:line="240" w:before="120" w:after="0"/>
              <w:rPr/>
            </w:pPr>
            <w:r>
              <w:rPr>
                <w:rFonts w:cs="Calibri Light" w:ascii="Calibri Light" w:hAnsi="Calibri Light"/>
              </w:rPr>
              <w:t>To visit families or invite families into the school, and to keep a record of these visits, in order to pursue concerns about attendance and other welfare issues. To formulate during such visits strategies for dealing with the issue, to propose an appropriate strategy to the family and to deal with the consequences</w:t>
            </w:r>
          </w:p>
          <w:p>
            <w:pPr>
              <w:pStyle w:val="BodyTextIndent"/>
              <w:numPr>
                <w:ilvl w:val="0"/>
                <w:numId w:val="3"/>
              </w:numPr>
              <w:spacing w:lineRule="auto" w:line="240" w:before="120" w:after="0"/>
              <w:rPr/>
            </w:pPr>
            <w:r>
              <w:rPr>
                <w:rFonts w:cs="Calibri Light" w:ascii="Calibri Light" w:hAnsi="Calibri Light"/>
              </w:rPr>
              <w:t>To provide students and families with an effective advice and support service</w:t>
            </w:r>
          </w:p>
          <w:p>
            <w:pPr>
              <w:pStyle w:val="BodyTextIndent"/>
              <w:numPr>
                <w:ilvl w:val="0"/>
                <w:numId w:val="3"/>
              </w:numPr>
              <w:spacing w:lineRule="auto" w:line="240" w:before="120" w:after="0"/>
              <w:rPr/>
            </w:pPr>
            <w:r>
              <w:rPr>
                <w:rFonts w:cs="Calibri Light" w:ascii="Calibri Light" w:hAnsi="Calibri Light"/>
              </w:rPr>
              <w:t>To work collaboratively with senior leaders to establish a working relationship between a student’s home and school, involving other support agencies as appropriate, including social services, educational psychologists, the Tuition Service, and medical and counselling services</w:t>
            </w:r>
          </w:p>
          <w:p>
            <w:pPr>
              <w:pStyle w:val="BodyTextIndent"/>
              <w:numPr>
                <w:ilvl w:val="0"/>
                <w:numId w:val="3"/>
              </w:numPr>
              <w:spacing w:lineRule="auto" w:line="240" w:before="120" w:after="120"/>
              <w:rPr/>
            </w:pPr>
            <w:r>
              <w:rPr>
                <w:rFonts w:cs="Calibri Light" w:ascii="Calibri Light" w:hAnsi="Calibri Light"/>
              </w:rPr>
              <w:t>To represent the school at multi-agency/CAF case conferences convened under the Children Act 1989, where attendance concerns exist. Participate in core group meetings to plan and advise on future action. Implement core group recommendations in the field of attendance and education. Assist with the administration of CAF records for all year groups.</w:t>
            </w:r>
          </w:p>
          <w:p>
            <w:pPr>
              <w:pStyle w:val="BodyTextIndent"/>
              <w:numPr>
                <w:ilvl w:val="0"/>
                <w:numId w:val="3"/>
              </w:numPr>
              <w:spacing w:lineRule="auto" w:line="240" w:before="120" w:after="0"/>
              <w:rPr/>
            </w:pPr>
            <w:r>
              <w:rPr>
                <w:rFonts w:cs="Calibri Light" w:ascii="Calibri Light" w:hAnsi="Calibri Light"/>
              </w:rPr>
              <w:t>To develop and promote a good working relationship with the local authority staff with responsibilities for attendance</w:t>
            </w:r>
          </w:p>
          <w:p>
            <w:pPr>
              <w:pStyle w:val="BodyTextIndent"/>
              <w:numPr>
                <w:ilvl w:val="0"/>
                <w:numId w:val="3"/>
              </w:numPr>
              <w:spacing w:lineRule="auto" w:line="240" w:before="120" w:after="0"/>
              <w:rPr/>
            </w:pPr>
            <w:r>
              <w:rPr>
                <w:rFonts w:cs="Calibri Light" w:ascii="Calibri Light" w:hAnsi="Calibri Light"/>
              </w:rPr>
              <w:t>To maintain high standards in record keeping, letter writing and report writing for provision to court and multi-agency forums</w:t>
            </w:r>
          </w:p>
          <w:p>
            <w:pPr>
              <w:pStyle w:val="BodyTextIndent"/>
              <w:numPr>
                <w:ilvl w:val="0"/>
                <w:numId w:val="3"/>
              </w:numPr>
              <w:spacing w:lineRule="auto" w:line="240" w:before="120" w:after="0"/>
              <w:rPr/>
            </w:pPr>
            <w:r>
              <w:rPr>
                <w:rFonts w:cs="Calibri Light" w:ascii="Calibri Light" w:hAnsi="Calibri Light"/>
              </w:rPr>
              <w:t>To support any students accessing alternative provision and monitor their attendance regularly</w:t>
            </w:r>
          </w:p>
          <w:p>
            <w:pPr>
              <w:pStyle w:val="BodyTextIndent"/>
              <w:numPr>
                <w:ilvl w:val="0"/>
                <w:numId w:val="3"/>
              </w:numPr>
              <w:spacing w:lineRule="auto" w:line="240" w:before="120" w:after="0"/>
              <w:rPr/>
            </w:pPr>
            <w:r>
              <w:rPr>
                <w:rFonts w:cs="Calibri Light" w:ascii="Calibri Light" w:hAnsi="Calibri Light"/>
              </w:rPr>
              <w:t>To help the responsible officer to make value judgements in circumstances where pursuing legal action would be considered detrimental to the child’s welfare</w:t>
            </w:r>
          </w:p>
          <w:p>
            <w:pPr>
              <w:pStyle w:val="BodyTextIndent"/>
              <w:numPr>
                <w:ilvl w:val="0"/>
                <w:numId w:val="3"/>
              </w:numPr>
              <w:spacing w:lineRule="auto" w:line="240" w:before="120" w:after="0"/>
              <w:rPr/>
            </w:pPr>
            <w:r>
              <w:rPr>
                <w:rFonts w:cs="Calibri Light" w:ascii="Calibri Light" w:hAnsi="Calibri Light"/>
              </w:rPr>
              <w:t>To undertake regular training in order to keep relevant areas of expertise up to date with changes in legislation and current practice</w:t>
            </w:r>
          </w:p>
          <w:p>
            <w:pPr>
              <w:pStyle w:val="BodyTextIndent"/>
              <w:numPr>
                <w:ilvl w:val="0"/>
                <w:numId w:val="3"/>
              </w:numPr>
              <w:spacing w:lineRule="auto" w:line="240" w:before="120" w:after="0"/>
              <w:rPr/>
            </w:pPr>
            <w:r>
              <w:rPr>
                <w:rFonts w:cs="Calibri Light" w:ascii="Calibri Light" w:hAnsi="Calibri Light"/>
              </w:rPr>
              <w:t>To support with the administration and recording of attendance in Arbor</w:t>
            </w:r>
          </w:p>
          <w:p>
            <w:pPr>
              <w:pStyle w:val="BodyTextIndent"/>
              <w:numPr>
                <w:ilvl w:val="0"/>
                <w:numId w:val="3"/>
              </w:numPr>
              <w:spacing w:lineRule="auto" w:line="240" w:before="120" w:after="0"/>
              <w:rPr/>
            </w:pPr>
            <w:r>
              <w:rPr>
                <w:rFonts w:cs="Calibri Light" w:ascii="Calibri Light" w:hAnsi="Calibri Light"/>
              </w:rPr>
              <w:t>To maintain records and liaise with senior staff regarding in-year transfers</w:t>
            </w:r>
          </w:p>
          <w:p>
            <w:pPr>
              <w:pStyle w:val="BodyTextIndent"/>
              <w:numPr>
                <w:ilvl w:val="0"/>
                <w:numId w:val="3"/>
              </w:numPr>
              <w:spacing w:lineRule="auto" w:line="240" w:before="120" w:after="120"/>
              <w:rPr>
                <w:rFonts w:ascii="Calibri Light" w:hAnsi="Calibri Light" w:cs="Calibri Light"/>
              </w:rPr>
            </w:pPr>
            <w:r>
              <w:rPr>
                <w:rFonts w:cs="Calibri Light" w:ascii="Calibri Light" w:hAnsi="Calibri Light"/>
              </w:rPr>
              <w:t>To have a working knowledge of the relevant legislation which has a significant influence on the functions of the Education Welfare Service. Be able to support Senior staff, on the implications of such legislation and its practical application to Academy’s, students and their parents / carers. The current relevant legislation includes The Children Act, The Education Act, and Children and Young Persons Act</w:t>
            </w:r>
          </w:p>
        </w:tc>
      </w:tr>
      <w:tr>
        <w:trPr/>
        <w:tc>
          <w:tcPr>
            <w:tcW w:w="10198" w:type="dxa"/>
            <w:tcBorders>
              <w:left w:val="single" w:sz="6" w:space="0" w:color="192F57"/>
              <w:right w:val="single" w:sz="6" w:space="0" w:color="192F57"/>
            </w:tcBorders>
            <w:shd w:fill="192F57" w:val="clear"/>
          </w:tcPr>
          <w:p>
            <w:pPr>
              <w:pStyle w:val="Heading9"/>
              <w:numPr>
                <w:ilvl w:val="0"/>
                <w:numId w:val="0"/>
              </w:numPr>
              <w:tabs>
                <w:tab w:val="clear" w:pos="720"/>
                <w:tab w:val="left" w:pos="873" w:leader="none"/>
              </w:tabs>
              <w:spacing w:before="80" w:after="80"/>
              <w:ind w:hanging="198" w:left="255" w:right="113"/>
              <w:jc w:val="both"/>
              <w:rPr>
                <w:rFonts w:cs="Calibri Light"/>
                <w:i w:val="false"/>
                <w:i w:val="false"/>
                <w:color w:val="FFFFFF"/>
                <w:sz w:val="28"/>
                <w:szCs w:val="22"/>
              </w:rPr>
            </w:pPr>
            <w:r>
              <w:rPr>
                <w:rFonts w:cs="Calibri Light"/>
                <w:i w:val="false"/>
                <w:color w:val="FFFFFF"/>
                <w:sz w:val="28"/>
                <w:szCs w:val="22"/>
              </w:rPr>
              <w:t>Developing Self and Working with Others</w:t>
            </w:r>
          </w:p>
        </w:tc>
      </w:tr>
      <w:tr>
        <w:trPr/>
        <w:tc>
          <w:tcPr>
            <w:tcW w:w="10198" w:type="dxa"/>
            <w:tcBorders>
              <w:left w:val="single" w:sz="6" w:space="0" w:color="192F57"/>
              <w:right w:val="single" w:sz="6" w:space="0" w:color="192F57"/>
            </w:tcBorders>
            <w:shd w:fill="E6DED5" w:val="clear"/>
          </w:tcPr>
          <w:p>
            <w:pPr>
              <w:pStyle w:val="Normal"/>
              <w:numPr>
                <w:ilvl w:val="0"/>
                <w:numId w:val="2"/>
              </w:numPr>
              <w:tabs>
                <w:tab w:val="left" w:pos="720" w:leader="none"/>
              </w:tabs>
              <w:spacing w:lineRule="auto" w:line="240" w:before="120" w:after="0"/>
              <w:rPr/>
            </w:pPr>
            <w:r>
              <w:rPr>
                <w:rFonts w:cs="Calibri Light" w:ascii="Calibri Light" w:hAnsi="Calibri Light"/>
              </w:rPr>
              <w:t>Take part in an annual staff performance review with line manger</w:t>
            </w:r>
          </w:p>
          <w:p>
            <w:pPr>
              <w:pStyle w:val="Normal"/>
              <w:numPr>
                <w:ilvl w:val="0"/>
                <w:numId w:val="2"/>
              </w:numPr>
              <w:tabs>
                <w:tab w:val="left" w:pos="720" w:leader="none"/>
              </w:tabs>
              <w:spacing w:lineRule="auto" w:line="240" w:before="120" w:after="0"/>
              <w:rPr/>
            </w:pPr>
            <w:r>
              <w:rPr>
                <w:rFonts w:cs="Calibri Light" w:ascii="Calibri Light" w:hAnsi="Calibri Light"/>
              </w:rPr>
              <w:t>To engage in professional development and further reading to develop your knowledge and practice in this role</w:t>
            </w:r>
          </w:p>
          <w:p>
            <w:pPr>
              <w:pStyle w:val="Normal"/>
              <w:numPr>
                <w:ilvl w:val="0"/>
                <w:numId w:val="2"/>
              </w:numPr>
              <w:tabs>
                <w:tab w:val="left" w:pos="720" w:leader="none"/>
              </w:tabs>
              <w:spacing w:lineRule="auto" w:line="240" w:before="120" w:after="0"/>
              <w:rPr/>
            </w:pPr>
            <w:r>
              <w:rPr>
                <w:rFonts w:cs="Calibri Light" w:ascii="Calibri Light" w:hAnsi="Calibri Light"/>
              </w:rPr>
              <w:t>To create and maintain good working relationships among all members of the school community</w:t>
            </w:r>
          </w:p>
          <w:p>
            <w:pPr>
              <w:pStyle w:val="Normal"/>
              <w:numPr>
                <w:ilvl w:val="0"/>
                <w:numId w:val="2"/>
              </w:numPr>
              <w:tabs>
                <w:tab w:val="left" w:pos="720" w:leader="none"/>
              </w:tabs>
              <w:spacing w:lineRule="auto" w:line="240" w:before="120" w:after="0"/>
              <w:rPr/>
            </w:pPr>
            <w:r>
              <w:rPr>
                <w:rFonts w:cs="Calibri Light" w:ascii="Calibri Light" w:hAnsi="Calibri Light"/>
              </w:rPr>
              <w:t>To set an example to students in work ethic, conduct, dress code, punctuality and attendance</w:t>
            </w:r>
          </w:p>
          <w:p>
            <w:pPr>
              <w:pStyle w:val="Normal"/>
              <w:numPr>
                <w:ilvl w:val="0"/>
                <w:numId w:val="2"/>
              </w:numPr>
              <w:tabs>
                <w:tab w:val="left" w:pos="720" w:leader="none"/>
              </w:tabs>
              <w:spacing w:lineRule="auto" w:line="240" w:before="120" w:after="0"/>
              <w:rPr/>
            </w:pPr>
            <w:r>
              <w:rPr>
                <w:rFonts w:cs="Calibri Light" w:ascii="Calibri Light" w:hAnsi="Calibri Light"/>
              </w:rPr>
              <w:t>Recognise own strengths and areas of expertise and use these to advise and support others</w:t>
            </w:r>
          </w:p>
          <w:p>
            <w:pPr>
              <w:pStyle w:val="Normal"/>
              <w:numPr>
                <w:ilvl w:val="0"/>
                <w:numId w:val="2"/>
              </w:numPr>
              <w:tabs>
                <w:tab w:val="left" w:pos="720" w:leader="none"/>
              </w:tabs>
              <w:spacing w:lineRule="auto" w:line="240" w:before="120" w:after="0"/>
              <w:rPr/>
            </w:pPr>
            <w:r>
              <w:rPr>
                <w:rFonts w:cs="Calibri Light" w:ascii="Calibri Light" w:hAnsi="Calibri Light"/>
              </w:rPr>
              <w:t xml:space="preserve">Show a duty of care and take appropriate action to comply with Health &amp; Safety requirements at </w:t>
              <w:br/>
              <w:t>all times</w:t>
            </w:r>
          </w:p>
          <w:p>
            <w:pPr>
              <w:pStyle w:val="Normal"/>
              <w:numPr>
                <w:ilvl w:val="0"/>
                <w:numId w:val="2"/>
              </w:numPr>
              <w:tabs>
                <w:tab w:val="left" w:pos="720" w:leader="none"/>
              </w:tabs>
              <w:spacing w:lineRule="auto" w:line="240" w:before="120" w:after="0"/>
              <w:rPr/>
            </w:pPr>
            <w:r>
              <w:rPr>
                <w:rFonts w:cs="Calibri Light" w:ascii="Calibri Light" w:hAnsi="Calibri Light"/>
              </w:rPr>
              <w:t>To commit to the safeguarding of all children and young people</w:t>
            </w:r>
          </w:p>
          <w:p>
            <w:pPr>
              <w:pStyle w:val="Normal"/>
              <w:numPr>
                <w:ilvl w:val="0"/>
                <w:numId w:val="2"/>
              </w:numPr>
              <w:tabs>
                <w:tab w:val="left" w:pos="720" w:leader="none"/>
              </w:tabs>
              <w:spacing w:lineRule="auto" w:line="240" w:before="120" w:after="0"/>
              <w:rPr/>
            </w:pPr>
            <w:r>
              <w:rPr>
                <w:rFonts w:cs="Calibri Light" w:ascii="Calibri Light" w:hAnsi="Calibri Light"/>
              </w:rPr>
              <w:t>Demonstrate and promote commitment to Equal Opportunities and to the elimination of behaviour and practices that could be discriminatory</w:t>
            </w:r>
          </w:p>
          <w:p>
            <w:pPr>
              <w:pStyle w:val="Normal"/>
              <w:numPr>
                <w:ilvl w:val="0"/>
                <w:numId w:val="2"/>
              </w:numPr>
              <w:tabs>
                <w:tab w:val="left" w:pos="720" w:leader="none"/>
              </w:tabs>
              <w:spacing w:lineRule="auto" w:line="240" w:before="120" w:after="0"/>
              <w:rPr/>
            </w:pPr>
            <w:r>
              <w:rPr>
                <w:rFonts w:cs="Calibri Light" w:ascii="Calibri Light" w:hAnsi="Calibri Light"/>
              </w:rPr>
              <w:t>Such other duties as reasonably correspond to the general character of the post and its level of responsibility</w:t>
            </w:r>
          </w:p>
          <w:p>
            <w:pPr>
              <w:pStyle w:val="Normal"/>
              <w:numPr>
                <w:ilvl w:val="0"/>
                <w:numId w:val="2"/>
              </w:numPr>
              <w:tabs>
                <w:tab w:val="left" w:pos="720" w:leader="none"/>
              </w:tabs>
              <w:spacing w:lineRule="auto" w:line="240" w:before="120" w:after="120"/>
              <w:rPr/>
            </w:pPr>
            <w:r>
              <w:rPr>
                <w:rFonts w:cs="Calibri Light" w:ascii="Calibri Light" w:hAnsi="Calibri Light"/>
              </w:rPr>
              <w:t>To play a full and active part in the life of the school</w:t>
            </w:r>
          </w:p>
          <w:p>
            <w:pPr>
              <w:pStyle w:val="Normal"/>
              <w:numPr>
                <w:ilvl w:val="0"/>
                <w:numId w:val="2"/>
              </w:numPr>
              <w:tabs>
                <w:tab w:val="left" w:pos="720" w:leader="none"/>
              </w:tabs>
              <w:spacing w:lineRule="auto" w:line="240" w:before="120" w:after="120"/>
              <w:rPr>
                <w:rFonts w:ascii="Calibri Light" w:hAnsi="Calibri Light" w:cs="Calibri Light"/>
              </w:rPr>
            </w:pPr>
            <w:r>
              <w:rPr>
                <w:rFonts w:cs="Calibri Light" w:ascii="Calibri Light" w:hAnsi="Calibri Light"/>
              </w:rPr>
              <w:t xml:space="preserve">To undertake any other responsibility commensurate with this role as per the direction of the </w:t>
              <w:br/>
              <w:t>Head of School.</w:t>
            </w:r>
          </w:p>
        </w:tc>
      </w:tr>
      <w:tr>
        <w:trPr/>
        <w:tc>
          <w:tcPr>
            <w:tcW w:w="10198" w:type="dxa"/>
            <w:tcBorders>
              <w:left w:val="single" w:sz="6" w:space="0" w:color="192F57"/>
              <w:right w:val="single" w:sz="6" w:space="0" w:color="192F57"/>
            </w:tcBorders>
            <w:shd w:fill="192F57" w:val="clear"/>
          </w:tcPr>
          <w:p>
            <w:pPr>
              <w:pStyle w:val="Heading9"/>
              <w:numPr>
                <w:ilvl w:val="0"/>
                <w:numId w:val="0"/>
              </w:numPr>
              <w:spacing w:before="120" w:after="120"/>
              <w:ind w:hanging="0" w:left="57" w:right="113"/>
              <w:jc w:val="both"/>
              <w:rPr>
                <w:rFonts w:cs="Calibri Light"/>
                <w:i w:val="false"/>
                <w:i w:val="false"/>
                <w:color w:val="FFFFFF"/>
                <w:sz w:val="28"/>
                <w:szCs w:val="22"/>
              </w:rPr>
            </w:pPr>
            <w:r>
              <w:rPr>
                <w:rFonts w:cs="Calibri Light"/>
                <w:i w:val="false"/>
                <w:color w:val="FFFFFF"/>
                <w:sz w:val="28"/>
                <w:szCs w:val="22"/>
              </w:rPr>
              <w:t>GDPR</w:t>
            </w:r>
          </w:p>
        </w:tc>
      </w:tr>
      <w:tr>
        <w:trPr/>
        <w:tc>
          <w:tcPr>
            <w:tcW w:w="10198" w:type="dxa"/>
            <w:tcBorders>
              <w:left w:val="single" w:sz="6" w:space="0" w:color="192F57"/>
              <w:right w:val="single" w:sz="6" w:space="0" w:color="192F57"/>
            </w:tcBorders>
            <w:shd w:fill="E6DED5" w:val="clear"/>
          </w:tcPr>
          <w:p>
            <w:pPr>
              <w:pStyle w:val="Normal"/>
              <w:numPr>
                <w:ilvl w:val="0"/>
                <w:numId w:val="4"/>
              </w:numPr>
              <w:tabs>
                <w:tab w:val="left" w:pos="720" w:leader="none"/>
              </w:tabs>
              <w:spacing w:lineRule="auto" w:line="240" w:before="120" w:after="120"/>
              <w:rPr/>
            </w:pPr>
            <w:r>
              <w:rPr>
                <w:rFonts w:cs="Calibri Light" w:ascii="Calibri Light" w:hAnsi="Calibri Light"/>
              </w:rPr>
              <w:t>To adhere to GDPR and Data Protection Regulations, whilst maintaining confidentiality.</w:t>
            </w:r>
          </w:p>
          <w:p>
            <w:pPr>
              <w:pStyle w:val="Normal"/>
              <w:tabs>
                <w:tab w:val="left" w:pos="720" w:leader="none"/>
              </w:tabs>
              <w:spacing w:lineRule="auto" w:line="240" w:before="120" w:after="120"/>
              <w:ind w:left="360" w:right="0"/>
              <w:rPr>
                <w:rFonts w:ascii="Calibri Light" w:hAnsi="Calibri Light" w:cs="Calibri Light"/>
              </w:rPr>
            </w:pPr>
            <w:r>
              <w:rPr>
                <w:rFonts w:cs="Calibri Light" w:ascii="Calibri Light" w:hAnsi="Calibri Light"/>
              </w:rPr>
            </w:r>
          </w:p>
        </w:tc>
      </w:tr>
      <w:tr>
        <w:trPr/>
        <w:tc>
          <w:tcPr>
            <w:tcW w:w="10198" w:type="dxa"/>
            <w:tcBorders>
              <w:left w:val="single" w:sz="6" w:space="0" w:color="192F57"/>
              <w:right w:val="single" w:sz="6" w:space="0" w:color="192F57"/>
            </w:tcBorders>
            <w:shd w:fill="192F57" w:val="clear"/>
          </w:tcPr>
          <w:p>
            <w:pPr>
              <w:pStyle w:val="Heading9"/>
              <w:keepLines w:val="false"/>
              <w:overflowPunct w:val="true"/>
              <w:spacing w:lineRule="auto" w:line="240" w:before="120" w:after="120"/>
              <w:ind w:hanging="0" w:left="57" w:right="113"/>
              <w:jc w:val="both"/>
              <w:textAlignment w:val="baseline"/>
              <w:rPr>
                <w:rFonts w:cs="Calibri Light"/>
                <w:i w:val="false"/>
                <w:i w:val="false"/>
                <w:color w:val="FFFFFF"/>
                <w:sz w:val="28"/>
                <w:szCs w:val="22"/>
              </w:rPr>
            </w:pPr>
            <w:r>
              <w:rPr>
                <w:rFonts w:cs="Calibri Light"/>
                <w:i w:val="false"/>
                <w:color w:val="FFFFFF"/>
                <w:sz w:val="28"/>
                <w:szCs w:val="22"/>
              </w:rPr>
              <w:t>Other Specific Duties</w:t>
            </w:r>
          </w:p>
        </w:tc>
      </w:tr>
      <w:tr>
        <w:trPr/>
        <w:tc>
          <w:tcPr>
            <w:tcW w:w="10198" w:type="dxa"/>
            <w:tcBorders>
              <w:left w:val="single" w:sz="6" w:space="0" w:color="192F57"/>
              <w:bottom w:val="single" w:sz="6" w:space="0" w:color="192F57"/>
              <w:right w:val="single" w:sz="6" w:space="0" w:color="192F57"/>
            </w:tcBorders>
            <w:shd w:fill="E6DED5" w:val="clear"/>
          </w:tcPr>
          <w:p>
            <w:pPr>
              <w:pStyle w:val="Normal"/>
              <w:numPr>
                <w:ilvl w:val="0"/>
                <w:numId w:val="5"/>
              </w:numPr>
              <w:spacing w:lineRule="auto" w:line="240" w:before="120" w:after="120"/>
              <w:rPr>
                <w:rFonts w:ascii="Calibri Light" w:hAnsi="Calibri Light" w:cs="Calibri Light"/>
              </w:rPr>
            </w:pPr>
            <w:r>
              <w:rPr>
                <w:rFonts w:cs="Calibri Light" w:ascii="Calibri Light" w:hAnsi="Calibri Light"/>
              </w:rPr>
              <w:t xml:space="preserve">Whilst every effort has been made to explain the main duties and responsibilities of the post, each individual task undertaken may not be identified. </w:t>
            </w:r>
            <w:bookmarkStart w:id="1" w:name="_Hlk127364788"/>
            <w:bookmarkStart w:id="2" w:name="_Hlk127364616"/>
            <w:bookmarkEnd w:id="1"/>
            <w:bookmarkEnd w:id="2"/>
          </w:p>
        </w:tc>
      </w:tr>
    </w:tbl>
    <w:p>
      <w:pPr>
        <w:pStyle w:val="Normal"/>
        <w:rPr>
          <w:rFonts w:ascii="Calibri Light" w:hAnsi="Calibri Light" w:cs="Calibri Light"/>
          <w:i/>
          <w:i/>
          <w:iCs/>
        </w:rPr>
      </w:pPr>
      <w:r>
        <w:rPr>
          <w:rFonts w:cs="Calibri Light" w:ascii="Calibri Light" w:hAnsi="Calibri Light"/>
          <w:i/>
          <w:iCs/>
        </w:rPr>
      </w:r>
    </w:p>
    <w:p>
      <w:pPr>
        <w:pStyle w:val="BodyTextIndent"/>
        <w:spacing w:lineRule="auto" w:line="240" w:before="0" w:after="0"/>
        <w:ind w:left="0" w:right="0"/>
        <w:rPr>
          <w:rFonts w:ascii="Calibri Light" w:hAnsi="Calibri Light" w:eastAsia="Times New Roman" w:cs="Calibri Light"/>
          <w:lang w:eastAsia="en-GB"/>
        </w:rPr>
      </w:pPr>
      <w:r>
        <w:rPr>
          <w:rFonts w:eastAsia="Times New Roman" w:cs="Calibri Light" w:ascii="Calibri Light" w:hAnsi="Calibri Light"/>
          <w:lang w:eastAsia="en-GB"/>
        </w:rPr>
        <w:t>This job description is current at the date shown, but following consultation with you, may be changed by Management to reflect or anticipate changes in the job which are commensurate with the salary and job title. The post holder will be expected to participate in the school appraisal programme for staff and to participate in appropriate staff training and development activities.</w:t>
      </w:r>
    </w:p>
    <w:p>
      <w:pPr>
        <w:pStyle w:val="BodyTextIndent"/>
        <w:spacing w:lineRule="auto" w:line="240" w:before="0" w:after="0"/>
        <w:ind w:left="0" w:right="0"/>
        <w:rPr>
          <w:rFonts w:ascii="Calibri Light" w:hAnsi="Calibri Light" w:eastAsia="Times New Roman" w:cs="Calibri Light"/>
          <w:lang w:eastAsia="en-GB"/>
        </w:rPr>
      </w:pPr>
      <w:r>
        <w:rPr>
          <w:rFonts w:eastAsia="Times New Roman" w:cs="Calibri Light" w:ascii="Calibri Light" w:hAnsi="Calibri Light"/>
          <w:lang w:eastAsia="en-GB"/>
        </w:rPr>
      </w:r>
    </w:p>
    <w:p>
      <w:pPr>
        <w:pStyle w:val="Normal"/>
        <w:jc w:val="both"/>
        <w:rPr>
          <w:rFonts w:ascii="Calibri Light" w:hAnsi="Calibri Light" w:cs="Calibri Light"/>
        </w:rPr>
      </w:pPr>
      <w:r>
        <w:rPr>
          <w:rFonts w:cs="Calibri Light" w:ascii="Calibri Light" w:hAnsi="Calibri Light"/>
        </w:rPr>
        <w:t>Stamford Park Trust is committed to safeguarding and promoting the welfare of children and young people. We expect all staff to share this commitment and to undergo appropriate checks, including an enhanced DBS check.</w:t>
      </w:r>
    </w:p>
    <w:p>
      <w:pPr>
        <w:pStyle w:val="Normal"/>
        <w:rPr>
          <w:rFonts w:ascii="Calibri Light" w:hAnsi="Calibri Light" w:cs="Calibri Light"/>
        </w:rPr>
      </w:pPr>
      <w:r>
        <w:rPr>
          <w:rFonts w:cs="Calibri Light" w:ascii="Calibri Light" w:hAnsi="Calibri Light"/>
        </w:rPr>
        <w:t>The person appointed must at all times work within the requirement of the Health and Safety at Work Act 1974, current Health and Safety legislation and the school’s policies and procedures.</w:t>
      </w:r>
    </w:p>
    <w:p>
      <w:pPr>
        <w:pStyle w:val="Normal"/>
        <w:widowControl/>
        <w:bidi w:val="0"/>
        <w:spacing w:lineRule="auto" w:line="256" w:before="0" w:after="160"/>
        <w:jc w:val="left"/>
        <w:rPr/>
      </w:pPr>
      <w:bookmarkStart w:id="3" w:name="_Hlk127351840"/>
      <w:r>
        <w:rPr>
          <w:rFonts w:cs="Calibri Light" w:ascii="Calibri Light" w:hAnsi="Calibri Light"/>
          <w:spacing w:val="-3"/>
        </w:rPr>
        <w:t>Longdendale High School is part of the Multi Academy Trust, Stamford Park Trust who is the employer for</w:t>
      </w:r>
      <w:r>
        <w:rPr>
          <w:rFonts w:cs="Arial" w:ascii="Arial" w:hAnsi="Arial"/>
          <w:spacing w:val="-3"/>
        </w:rPr>
        <w:t xml:space="preserve"> all staff. </w:t>
      </w:r>
      <w:bookmarkEnd w:id="3"/>
    </w:p>
    <w:sectPr>
      <w:headerReference w:type="default" r:id="rId2"/>
      <w:footerReference w:type="default" r:id="rId3"/>
      <w:type w:val="nextPage"/>
      <w:pgSz w:w="11906" w:h="16838"/>
      <w:pgMar w:left="851" w:right="851" w:gutter="0" w:header="851" w:top="3119" w:footer="34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Courier New">
    <w:charset w:val="00"/>
    <w:family w:val="roman"/>
    <w:pitch w:val="variable"/>
  </w:font>
  <w:font w:name="Arial Narrow">
    <w:charset w:val="00"/>
    <w:family w:val="swiss"/>
    <w:pitch w:val="variable"/>
  </w:font>
  <w:font w:name="Liberation Sans">
    <w:altName w:val="Arial"/>
    <w:charset w:val="00"/>
    <w:family w:val="swiss"/>
    <w:pitch w:val="variable"/>
  </w:font>
  <w:font w:name="Century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drawing>
        <wp:anchor behindDoc="1" distT="0" distB="0" distL="0" distR="0" simplePos="0" locked="0" layoutInCell="0" allowOverlap="1" relativeHeight="7">
          <wp:simplePos x="0" y="0"/>
          <wp:positionH relativeFrom="margin">
            <wp:posOffset>-60325</wp:posOffset>
          </wp:positionH>
          <wp:positionV relativeFrom="paragraph">
            <wp:posOffset>-205105</wp:posOffset>
          </wp:positionV>
          <wp:extent cx="859155" cy="523240"/>
          <wp:effectExtent l="0" t="0" r="0" b="0"/>
          <wp:wrapNone/>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3" t="-5" r="-3" b="-5"/>
                  <a:stretch>
                    <a:fillRect/>
                  </a:stretch>
                </pic:blipFill>
                <pic:spPr bwMode="auto">
                  <a:xfrm>
                    <a:off x="0" y="0"/>
                    <a:ext cx="859155" cy="523240"/>
                  </a:xfrm>
                  <a:prstGeom prst="rect">
                    <a:avLst/>
                  </a:prstGeom>
                </pic:spPr>
              </pic:pic>
            </a:graphicData>
          </a:graphic>
        </wp:anchor>
      </w:drawing>
    </w:r>
    <w:r>
      <w:rPr>
        <w:rFonts w:eastAsia="Arial" w:cs="Arial" w:ascii="Arial" w:hAnsi="Arial"/>
        <w:sz w:val="14"/>
        <w:szCs w:val="14"/>
      </w:rPr>
      <w:t xml:space="preserve">                                                        </w:t>
    </w:r>
    <w:bookmarkStart w:id="8" w:name="_Hlk160608649"/>
    <w:r>
      <w:rPr>
        <w:rFonts w:eastAsia="Arial" w:cs="Arial" w:ascii="Arial" w:hAnsi="Arial"/>
        <w:sz w:val="16"/>
        <w:szCs w:val="16"/>
      </w:rPr>
      <w:t xml:space="preserve"> </w:t>
    </w:r>
    <w:r>
      <w:rPr>
        <w:rFonts w:cs="Arial" w:ascii="Arial" w:hAnsi="Arial"/>
        <w:sz w:val="16"/>
        <w:szCs w:val="16"/>
      </w:rPr>
      <w:t>Stamford Park Trust, a company limited by guarantee registered</w:t>
      <w:br/>
      <w:t xml:space="preserve"> in England and Wales, company registration number 11736886</w:t>
    </w:r>
    <w:bookmarkEnd w:id="8"/>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ing1"/>
      <w:spacing w:before="240" w:after="0"/>
      <w:ind w:hanging="0" w:left="0"/>
      <w:rPr>
        <w:rFonts w:ascii="Century Gothic" w:hAnsi="Century Gothic" w:cs="Century Gothic"/>
        <w:b w:val="false"/>
        <w:color w:val="14355B"/>
        <w:sz w:val="48"/>
      </w:rPr>
    </w:pPr>
    <w:r>
      <w:rPr>
        <w:rFonts w:cs="Century Gothic" w:ascii="Century Gothic" w:hAnsi="Century Gothic"/>
        <w:b w:val="false"/>
        <w:color w:val="14355B"/>
        <w:sz w:val="48"/>
      </w:rPr>
      <w:drawing>
        <wp:anchor behindDoc="1" distT="0" distB="0" distL="0" distR="0" simplePos="0" locked="0" layoutInCell="0" allowOverlap="1" relativeHeight="10">
          <wp:simplePos x="0" y="0"/>
          <wp:positionH relativeFrom="margin">
            <wp:posOffset>-180340</wp:posOffset>
          </wp:positionH>
          <wp:positionV relativeFrom="page">
            <wp:posOffset>288290</wp:posOffset>
          </wp:positionV>
          <wp:extent cx="1845945" cy="1320800"/>
          <wp:effectExtent l="0" t="0" r="0" b="0"/>
          <wp:wrapNone/>
          <wp:docPr id="1"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descr=""/>
                  <pic:cNvPicPr>
                    <a:picLocks noChangeAspect="1" noChangeArrowheads="1"/>
                  </pic:cNvPicPr>
                </pic:nvPicPr>
                <pic:blipFill>
                  <a:blip r:embed="rId1"/>
                  <a:srcRect l="-15" t="-21" r="-15" b="-21"/>
                  <a:stretch>
                    <a:fillRect/>
                  </a:stretch>
                </pic:blipFill>
                <pic:spPr bwMode="auto">
                  <a:xfrm>
                    <a:off x="0" y="0"/>
                    <a:ext cx="1845945" cy="1320800"/>
                  </a:xfrm>
                  <a:prstGeom prst="rect">
                    <a:avLst/>
                  </a:prstGeom>
                </pic:spPr>
              </pic:pic>
            </a:graphicData>
          </a:graphic>
        </wp:anchor>
      </w:drawing>
    </w:r>
  </w:p>
  <w:p>
    <w:pPr>
      <w:pStyle w:val="Style11"/>
      <w:rPr>
        <w:rFonts w:ascii="Century Gothic" w:hAnsi="Century Gothic" w:cs="Century Gothic"/>
        <w:b w:val="false"/>
        <w:color w:val="14355B"/>
        <w:sz w:val="48"/>
      </w:rPr>
    </w:pPr>
    <w:r>
      <w:rPr>
        <w:rFonts w:cs="Century Gothic" w:ascii="Century Gothic" w:hAnsi="Century Gothic"/>
        <w:b w:val="false"/>
        <w:color w:val="14355B"/>
        <w:sz w:val="48"/>
      </w:rPr>
      <mc:AlternateContent>
        <mc:Choice Requires="wps">
          <w:drawing>
            <wp:anchor behindDoc="1" distT="0" distB="0" distL="114935" distR="114935" simplePos="0" locked="0" layoutInCell="0" allowOverlap="1" relativeHeight="4">
              <wp:simplePos x="0" y="0"/>
              <wp:positionH relativeFrom="margin">
                <wp:align>center</wp:align>
              </wp:positionH>
              <wp:positionV relativeFrom="page">
                <wp:posOffset>1728470</wp:posOffset>
              </wp:positionV>
              <wp:extent cx="6551930" cy="0"/>
              <wp:effectExtent l="0" t="9525" r="0" b="9525"/>
              <wp:wrapNone/>
              <wp:docPr id="2" name="Straight Connector 1"/>
              <a:graphic xmlns:a="http://schemas.openxmlformats.org/drawingml/2006/main">
                <a:graphicData uri="http://schemas.microsoft.com/office/word/2010/wordprocessingShape">
                  <wps:wsp>
                    <wps:cNvSpPr/>
                    <wps:spPr>
                      <a:xfrm>
                        <a:off x="0" y="0"/>
                        <a:ext cx="6552000" cy="0"/>
                      </a:xfrm>
                      <a:prstGeom prst="line">
                        <a:avLst/>
                      </a:prstGeom>
                      <a:ln w="19080">
                        <a:solidFill>
                          <a:srgbClr val="e6ded5"/>
                        </a:solidFill>
                        <a:miter/>
                      </a:ln>
                    </wps:spPr>
                    <wps:style>
                      <a:lnRef idx="0"/>
                      <a:fillRef idx="0"/>
                      <a:effectRef idx="0"/>
                      <a:fontRef idx="minor"/>
                    </wps:style>
                    <wps:bodyPr/>
                  </wps:wsp>
                </a:graphicData>
              </a:graphic>
            </wp:anchor>
          </w:drawing>
        </mc:Choice>
        <mc:Fallback>
          <w:pict>
            <v:line id="shape_0" from="-2.85pt,136.1pt" to="513pt,136.1pt" ID="Straight Connector 1" stroked="t" o:allowincell="f" style="position:absolute;mso-position-horizontal:center;mso-position-horizontal-relative:margin;mso-position-vertical-relative:page">
              <v:stroke color="#e6ded5" weight="19080" joinstyle="miter" endcap="flat"/>
              <v:fill o:detectmouseclick="t" on="false"/>
              <w10:wrap type="none"/>
            </v:line>
          </w:pict>
        </mc:Fallback>
      </mc:AlternateContent>
    </w:r>
    <w:bookmarkStart w:id="4" w:name="_Hlk127440737"/>
    <w:bookmarkStart w:id="5" w:name="_Hlk127440738"/>
    <w:bookmarkStart w:id="6" w:name="_Hlk127440737"/>
    <w:bookmarkStart w:id="7" w:name="_Hlk127440738"/>
    <w:bookmarkEnd w:id="6"/>
    <w:bookmarkEnd w:id="7"/>
  </w:p>
  <w:p>
    <w:pPr>
      <w:pStyle w:val="Style11"/>
      <w:rPr/>
    </w:pPr>
    <w:r>
      <w:rPr/>
      <w:t>JOB DESCRIPTION</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color w:val="2E5687"/>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360"/>
        </w:tabs>
        <w:ind w:left="360" w:hanging="360"/>
      </w:pPr>
      <w:rPr>
        <w:rFonts w:ascii="Symbol" w:hAnsi="Symbol" w:cs="Symbol" w:hint="default"/>
        <w:color w:val="2E5687"/>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360" w:hanging="360"/>
      </w:pPr>
      <w:rPr>
        <w:rFonts w:ascii="Symbol" w:hAnsi="Symbol" w:cs="Symbol" w:hint="default"/>
        <w:color w:val="2E5687"/>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lvl w:ilvl="0">
      <w:start w:val="1"/>
      <w:numFmt w:val="bullet"/>
      <w:lvlText w:val=""/>
      <w:lvlJc w:val="left"/>
      <w:pPr>
        <w:tabs>
          <w:tab w:val="num" w:pos="0"/>
        </w:tabs>
        <w:ind w:left="360" w:hanging="360"/>
      </w:pPr>
      <w:rPr>
        <w:rFonts w:ascii="Symbol" w:hAnsi="Symbol" w:cs="Symbol" w:hint="default"/>
        <w:color w:val="2E5687"/>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Symbol" w:hAnsi="Symbol" w:cs="Symbol" w:hint="default"/>
        <w:color w:val="2E5687"/>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eastAsia="" w:cs=""/>
      <w:b/>
      <w:color w:val="7A0843"/>
      <w:sz w:val="44"/>
      <w:szCs w:val="32"/>
    </w:rPr>
  </w:style>
  <w:style w:type="paragraph" w:styleId="Heading2">
    <w:name w:val="Heading 2"/>
    <w:basedOn w:val="Normal"/>
    <w:next w:val="Normal"/>
    <w:qFormat/>
    <w:pPr>
      <w:keepNext w:val="true"/>
      <w:keepLines/>
      <w:numPr>
        <w:ilvl w:val="1"/>
        <w:numId w:val="1"/>
      </w:numPr>
      <w:spacing w:before="40" w:after="0"/>
      <w:outlineLvl w:val="1"/>
    </w:pPr>
    <w:rPr>
      <w:rFonts w:eastAsia="" w:cs=""/>
      <w:b/>
      <w:color w:val="944762"/>
      <w:sz w:val="32"/>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B17889"/>
      <w:sz w:val="32"/>
      <w:szCs w:val="24"/>
    </w:rPr>
  </w:style>
  <w:style w:type="paragraph" w:styleId="Heading9">
    <w:name w:val="Heading 9"/>
    <w:basedOn w:val="Normal"/>
    <w:next w:val="Normal"/>
    <w:qFormat/>
    <w:pPr>
      <w:keepNext w:val="true"/>
      <w:keepLines/>
      <w:numPr>
        <w:ilvl w:val="8"/>
        <w:numId w:val="1"/>
      </w:numPr>
      <w:spacing w:before="40" w:after="0"/>
      <w:outlineLvl w:val="8"/>
    </w:pPr>
    <w:rPr>
      <w:rFonts w:ascii="Calibri Light" w:hAnsi="Calibri Light" w:eastAsia="" w:cs=""/>
      <w:i/>
      <w:iCs/>
      <w:color w:val="272727"/>
      <w:sz w:val="21"/>
      <w:szCs w:val="21"/>
    </w:rPr>
  </w:style>
  <w:style w:type="character" w:styleId="WW8Num1z0">
    <w:name w:val="WW8Num1z0"/>
    <w:qFormat/>
    <w:rPr>
      <w:rFonts w:ascii="Symbol" w:hAnsi="Symbol" w:cs="Symbol"/>
      <w:color w:val="2E5687"/>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1z3">
    <w:name w:val="WW8Num1z3"/>
    <w:qFormat/>
    <w:rPr>
      <w:rFonts w:ascii="Symbol" w:hAnsi="Symbol" w:cs="Symbol"/>
    </w:rPr>
  </w:style>
  <w:style w:type="character" w:styleId="WW8Num2z0">
    <w:name w:val="WW8Num2z0"/>
    <w:qFormat/>
    <w:rPr>
      <w:rFonts w:ascii="Symbol" w:hAnsi="Symbol" w:cs="Symbol"/>
      <w:color w:val="2E5687"/>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color w:val="2E5687"/>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color w:val="2E5687"/>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rFonts w:ascii="Symbol" w:hAnsi="Symbol" w:cs="Symbol"/>
      <w:color w:val="2E5687"/>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eastAsia="" w:cs=""/>
      <w:b/>
      <w:color w:val="7A0843"/>
      <w:sz w:val="44"/>
      <w:szCs w:val="32"/>
    </w:rPr>
  </w:style>
  <w:style w:type="character" w:styleId="Heading2Char">
    <w:name w:val="Heading 2 Char"/>
    <w:basedOn w:val="DefaultParagraphFont"/>
    <w:qFormat/>
    <w:rPr>
      <w:rFonts w:eastAsia="" w:cs=""/>
      <w:b/>
      <w:color w:val="944762"/>
      <w:sz w:val="32"/>
      <w:szCs w:val="26"/>
    </w:rPr>
  </w:style>
  <w:style w:type="character" w:styleId="Heading3Char">
    <w:name w:val="Heading 3 Char"/>
    <w:basedOn w:val="DefaultParagraphFont"/>
    <w:qFormat/>
    <w:rPr>
      <w:rFonts w:ascii="Calibri Light" w:hAnsi="Calibri Light" w:eastAsia="" w:cs=""/>
      <w:color w:val="B17889"/>
      <w:sz w:val="32"/>
      <w:szCs w:val="24"/>
    </w:rPr>
  </w:style>
  <w:style w:type="character" w:styleId="Heading9Char">
    <w:name w:val="Heading 9 Char"/>
    <w:basedOn w:val="DefaultParagraphFont"/>
    <w:qFormat/>
    <w:rPr>
      <w:rFonts w:ascii="Calibri Light" w:hAnsi="Calibri Light" w:eastAsia="" w:cs=""/>
      <w:i/>
      <w:iCs/>
      <w:color w:val="272727"/>
      <w:sz w:val="21"/>
      <w:szCs w:val="21"/>
    </w:rPr>
  </w:style>
  <w:style w:type="character" w:styleId="Hyperlink">
    <w:name w:val="Hyperlink"/>
    <w:rPr>
      <w:color w:val="0000FF"/>
      <w:u w:val="single"/>
    </w:rPr>
  </w:style>
  <w:style w:type="character" w:styleId="TitleChar">
    <w:name w:val="Title Char"/>
    <w:basedOn w:val="DefaultParagraphFont"/>
    <w:qFormat/>
    <w:rPr>
      <w:rFonts w:ascii="Arial" w:hAnsi="Arial" w:eastAsia="Times New Roman" w:cs="Arial"/>
      <w:b/>
      <w:bCs/>
      <w:sz w:val="20"/>
      <w:szCs w:val="24"/>
    </w:rPr>
  </w:style>
  <w:style w:type="character" w:styleId="PlainTextChar">
    <w:name w:val="Plain Text Char"/>
    <w:basedOn w:val="DefaultParagraphFont"/>
    <w:qFormat/>
    <w:rPr>
      <w:rFonts w:ascii="Courier New" w:hAnsi="Courier New" w:eastAsia="Times New Roman" w:cs="Times New Roman"/>
      <w:sz w:val="20"/>
      <w:szCs w:val="20"/>
      <w:lang w:eastAsia="en-GB"/>
    </w:rPr>
  </w:style>
  <w:style w:type="character" w:styleId="BodyTextChar">
    <w:name w:val="Body Text Char"/>
    <w:basedOn w:val="DefaultParagraphFont"/>
    <w:qFormat/>
    <w:rPr>
      <w:rFonts w:ascii="Arial Narrow" w:hAnsi="Arial Narrow" w:eastAsia="Arial Narrow" w:cs="Arial Narrow"/>
      <w:sz w:val="17"/>
      <w:szCs w:val="17"/>
      <w:lang w:val="en-US"/>
    </w:rPr>
  </w:style>
  <w:style w:type="character" w:styleId="BodyTextIndentChar">
    <w:name w:val="Body Text Indent Char"/>
    <w:basedOn w:val="DefaultParagraphFont"/>
    <w:qFormat/>
    <w:rPr/>
  </w:style>
  <w:style w:type="character" w:styleId="Style1Char">
    <w:name w:val="Style1 Char"/>
    <w:basedOn w:val="Heading1Char"/>
    <w:qFormat/>
    <w:rPr>
      <w:rFonts w:ascii="Arial" w:hAnsi="Arial" w:eastAsia="" w:cs="Arial"/>
      <w:b w:val="false"/>
      <w:color w:val="2E5687"/>
      <w:sz w:val="48"/>
      <w:szCs w:val="32"/>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widowControl w:val="false"/>
      <w:spacing w:lineRule="auto" w:line="240" w:before="0" w:after="0"/>
    </w:pPr>
    <w:rPr>
      <w:rFonts w:ascii="Arial Narrow" w:hAnsi="Arial Narrow" w:eastAsia="Arial Narrow" w:cs="Arial Narrow"/>
      <w:sz w:val="17"/>
      <w:szCs w:val="17"/>
      <w:lang w:val="en-US"/>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Title">
    <w:name w:val="Title"/>
    <w:basedOn w:val="Normal"/>
    <w:next w:val="BodyText"/>
    <w:qFormat/>
    <w:pPr>
      <w:spacing w:lineRule="auto" w:line="240" w:before="0" w:after="0"/>
      <w:jc w:val="center"/>
    </w:pPr>
    <w:rPr>
      <w:rFonts w:ascii="Arial" w:hAnsi="Arial" w:eastAsia="Times New Roman" w:cs="Arial"/>
      <w:b/>
      <w:bCs/>
      <w:sz w:val="20"/>
      <w:szCs w:val="24"/>
    </w:rPr>
  </w:style>
  <w:style w:type="paragraph" w:styleId="PlainText">
    <w:name w:val="Plain Text"/>
    <w:basedOn w:val="Normal"/>
    <w:qFormat/>
    <w:pPr>
      <w:overflowPunct w:val="true"/>
      <w:spacing w:lineRule="auto" w:line="240" w:before="0" w:after="0"/>
      <w:textAlignment w:val="baseline"/>
    </w:pPr>
    <w:rPr>
      <w:rFonts w:ascii="Courier New" w:hAnsi="Courier New" w:eastAsia="Times New Roman" w:cs="Times New Roman"/>
      <w:sz w:val="20"/>
      <w:szCs w:val="20"/>
      <w:lang w:eastAsia="en-GB"/>
    </w:rPr>
  </w:style>
  <w:style w:type="paragraph" w:styleId="ListParagraph">
    <w:name w:val="List Paragraph"/>
    <w:basedOn w:val="Normal"/>
    <w:qFormat/>
    <w:pPr>
      <w:spacing w:lineRule="auto" w:line="276" w:before="0" w:after="0"/>
      <w:ind w:hanging="0" w:left="720" w:right="0"/>
      <w:contextualSpacing/>
    </w:pPr>
    <w:rPr>
      <w:rFonts w:ascii="Calibri" w:hAnsi="Calibri" w:eastAsia="Calibri" w:cs="Times New Roman"/>
    </w:rPr>
  </w:style>
  <w:style w:type="paragraph" w:styleId="BodyTextIndent">
    <w:name w:val="Body Text Indent"/>
    <w:basedOn w:val="Normal"/>
    <w:pPr>
      <w:spacing w:before="0" w:after="120"/>
      <w:ind w:hanging="0" w:left="283" w:right="0"/>
    </w:pPr>
    <w:rPr/>
  </w:style>
  <w:style w:type="paragraph" w:styleId="NoSpacing">
    <w:name w:val="No Spacing"/>
    <w:qFormat/>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en-GB" w:eastAsia="en-US" w:bidi="ar-SA"/>
    </w:rPr>
  </w:style>
  <w:style w:type="paragraph" w:styleId="Style11">
    <w:name w:val="Style1"/>
    <w:basedOn w:val="Heading1"/>
    <w:qFormat/>
    <w:pPr>
      <w:numPr>
        <w:ilvl w:val="0"/>
        <w:numId w:val="0"/>
      </w:numPr>
      <w:jc w:val="right"/>
      <w:outlineLvl w:val="9"/>
    </w:pPr>
    <w:rPr>
      <w:rFonts w:ascii="Arial" w:hAnsi="Arial" w:cs="Arial"/>
      <w:b w:val="false"/>
      <w:color w:val="2E5687"/>
      <w:sz w:val="4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