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rFonts w:ascii="Arial" w:hAnsi="Arial" w:cs="Arial"/>
          <w:color w:val="auto"/>
        </w:rPr>
      </w:pPr>
      <w:r>
        <w:rPr>
          <w:rFonts w:cs="Arial" w:ascii="Arial" w:hAnsi="Arial"/>
          <w:color w:val="auto"/>
        </w:rPr>
        <w:t>Business Operations Manager</w:t>
      </w:r>
    </w:p>
    <w:p>
      <w:pPr>
        <w:pStyle w:val="Subtitle"/>
        <w:rPr>
          <w:rFonts w:ascii="Arial" w:hAnsi="Arial" w:cs="Arial"/>
          <w:color w:val="auto"/>
        </w:rPr>
      </w:pPr>
      <w:r>
        <w:rPr>
          <w:rFonts w:cs="Arial" w:ascii="Arial" w:hAnsi="Arial"/>
          <w:color w:val="auto"/>
        </w:rPr>
        <w:t>Role Description &amp; Person Specification</w:t>
      </w:r>
    </w:p>
    <w:p>
      <w:pPr>
        <w:pStyle w:val="Normal"/>
        <w:rPr>
          <w:rFonts w:ascii="Arial" w:hAnsi="Arial" w:cs="Arial"/>
          <w:i/>
          <w:i/>
          <w:iCs/>
          <w:color w:val="auto"/>
        </w:rPr>
      </w:pPr>
      <w:r>
        <w:rPr>
          <w:rFonts w:cs="Arial" w:ascii="Arial" w:hAnsi="Arial"/>
          <w:i/>
          <w:iCs/>
          <w:color w:val="auto"/>
        </w:rPr>
        <w:t>Catalyst Psychology Community Interest Company</w:t>
      </w:r>
    </w:p>
    <w:p>
      <w:pPr>
        <w:pStyle w:val="Normal"/>
        <w:spacing w:before="0" w:after="300"/>
        <w:rPr>
          <w:rFonts w:ascii="Arial" w:hAnsi="Arial" w:cs="Arial"/>
          <w:color w:val="auto"/>
        </w:rPr>
      </w:pPr>
      <w:r>
        <w:rPr>
          <w:rFonts w:cs="Arial" w:ascii="Arial" w:hAnsi="Arial"/>
          <w:color w:val="auto"/>
        </w:rPr>
      </w:r>
    </w:p>
    <w:p>
      <w:pPr>
        <w:pStyle w:val="Heading1"/>
        <w:rPr>
          <w:rFonts w:ascii="Arial" w:hAnsi="Arial" w:cs="Arial"/>
          <w:color w:val="auto"/>
        </w:rPr>
      </w:pPr>
      <w:r>
        <w:rPr>
          <w:rFonts w:cs="Arial" w:ascii="Arial" w:hAnsi="Arial"/>
          <w:color w:val="auto"/>
        </w:rPr>
        <w:t>About Catalyst Psychology</w:t>
      </w:r>
    </w:p>
    <w:p>
      <w:pPr>
        <w:pStyle w:val="Normal"/>
        <w:rPr>
          <w:rFonts w:ascii="Arial" w:hAnsi="Arial" w:cs="Arial"/>
          <w:color w:val="auto"/>
        </w:rPr>
      </w:pPr>
      <w:r>
        <w:rPr>
          <w:rFonts w:cs="Arial" w:ascii="Arial" w:hAnsi="Arial"/>
          <w:color w:val="auto"/>
        </w:rPr>
        <w:t>Catalyst Psychology Community Interest Company is a social enterprise established in 2011 delivering publicly funded educational psychology services primarily within the City of Manchester. Every pound of profit is reinvested into the communities we serve. We have no shareholders and our Directors work on a voluntary basis, receiving no monetary benefit or benefits in kind.</w:t>
      </w:r>
    </w:p>
    <w:p>
      <w:pPr>
        <w:pStyle w:val="Normal"/>
        <w:rPr>
          <w:rFonts w:ascii="Arial" w:hAnsi="Arial" w:cs="Arial"/>
          <w:color w:val="auto"/>
        </w:rPr>
      </w:pPr>
      <w:r>
        <w:rPr>
          <w:rFonts w:cs="Arial" w:ascii="Arial" w:hAnsi="Arial"/>
          <w:color w:val="auto"/>
        </w:rPr>
        <w:t>Our team comprises Directors, Administrative Staff, Managers, Educational Psychologists, Assistant Psychologists, and Partner Psychologists. We earn income through providing services to schools, commissions from public bodies, and grant-funded work. The Company does not undertake privately funded work.</w:t>
      </w:r>
    </w:p>
    <w:p>
      <w:pPr>
        <w:pStyle w:val="Heading2"/>
        <w:rPr>
          <w:rFonts w:ascii="Arial" w:hAnsi="Arial" w:cs="Arial"/>
          <w:color w:val="auto"/>
        </w:rPr>
      </w:pPr>
      <w:r>
        <w:rPr>
          <w:rFonts w:cs="Arial" w:ascii="Arial" w:hAnsi="Arial"/>
          <w:color w:val="auto"/>
        </w:rPr>
        <w:t>Our Mission</w:t>
      </w:r>
    </w:p>
    <w:p>
      <w:pPr>
        <w:pStyle w:val="Normal"/>
        <w:rPr>
          <w:rFonts w:ascii="Arial" w:hAnsi="Arial" w:cs="Arial"/>
          <w:color w:val="auto"/>
        </w:rPr>
      </w:pPr>
      <w:r>
        <w:rPr>
          <w:rFonts w:cs="Arial" w:ascii="Arial" w:hAnsi="Arial"/>
          <w:color w:val="auto"/>
        </w:rPr>
        <w:t>Everything we do grows out of our passionate belief in social justice and social inclusion. All children are wonderful. We believe in creating opportunities for them to enjoy their learning and fulfil their potential. We do this by working collaboratively to get the best for children and their families, delivering psychology that is accessible, makes sense, and promotes positive change.</w:t>
      </w:r>
    </w:p>
    <w:p>
      <w:pPr>
        <w:pStyle w:val="Heading2"/>
        <w:rPr>
          <w:rFonts w:ascii="Arial" w:hAnsi="Arial" w:cs="Arial"/>
          <w:color w:val="auto"/>
        </w:rPr>
      </w:pPr>
      <w:r>
        <w:rPr>
          <w:rFonts w:cs="Arial" w:ascii="Arial" w:hAnsi="Arial"/>
          <w:color w:val="auto"/>
        </w:rPr>
        <w:t>Our Values</w:t>
      </w:r>
    </w:p>
    <w:p>
      <w:pPr>
        <w:pStyle w:val="Normal"/>
        <w:spacing w:before="0" w:after="80"/>
        <w:rPr/>
      </w:pPr>
      <w:r>
        <w:rPr>
          <w:rFonts w:cs="Arial" w:ascii="Arial" w:hAnsi="Arial"/>
          <w:b/>
          <w:bCs/>
          <w:color w:val="auto"/>
        </w:rPr>
        <w:t xml:space="preserve">Being Open: </w:t>
      </w:r>
      <w:r>
        <w:rPr>
          <w:rFonts w:cs="Arial" w:ascii="Arial" w:hAnsi="Arial"/>
          <w:color w:val="auto"/>
        </w:rPr>
        <w:t>We share our views honestly and thoughtfully. We encourage new ideas and appreciate feedback.</w:t>
      </w:r>
    </w:p>
    <w:p>
      <w:pPr>
        <w:pStyle w:val="Normal"/>
        <w:spacing w:before="0" w:after="80"/>
        <w:rPr/>
      </w:pPr>
      <w:r>
        <w:rPr>
          <w:rFonts w:cs="Arial" w:ascii="Arial" w:hAnsi="Arial"/>
          <w:b/>
          <w:bCs/>
          <w:color w:val="auto"/>
        </w:rPr>
        <w:t xml:space="preserve">Being Supportive: </w:t>
      </w:r>
      <w:r>
        <w:rPr>
          <w:rFonts w:cs="Arial" w:ascii="Arial" w:hAnsi="Arial"/>
          <w:color w:val="auto"/>
        </w:rPr>
        <w:t>We drive success by making sure colleagues are supported. We encourage others and help each other do our jobs.</w:t>
      </w:r>
    </w:p>
    <w:p>
      <w:pPr>
        <w:pStyle w:val="Normal"/>
        <w:spacing w:before="0" w:after="200"/>
        <w:rPr/>
      </w:pPr>
      <w:r>
        <w:rPr>
          <w:rFonts w:cs="Arial" w:ascii="Arial" w:hAnsi="Arial"/>
          <w:b/>
          <w:bCs/>
          <w:color w:val="auto"/>
        </w:rPr>
        <w:t xml:space="preserve">Being Positive: </w:t>
      </w:r>
      <w:r>
        <w:rPr>
          <w:rFonts w:cs="Arial" w:ascii="Arial" w:hAnsi="Arial"/>
          <w:color w:val="auto"/>
        </w:rPr>
        <w:t>We keep goals in mind and look for ways to achieve them. We listen constructively and help others see opportunities and the way forward.</w:t>
      </w:r>
    </w:p>
    <w:p>
      <w:pPr>
        <w:pStyle w:val="Heading1"/>
        <w:rPr>
          <w:rFonts w:ascii="Arial" w:hAnsi="Arial" w:cs="Arial"/>
          <w:color w:val="auto"/>
        </w:rPr>
      </w:pPr>
      <w:r>
        <w:rPr>
          <w:rFonts w:cs="Arial" w:ascii="Arial" w:hAnsi="Arial"/>
          <w:color w:val="auto"/>
        </w:rPr>
        <w:t>The Role at a Glance</w:t>
      </w:r>
    </w:p>
    <w:tbl>
      <w:tblPr>
        <w:tblW w:w="9025" w:type="dxa"/>
        <w:jc w:val="left"/>
        <w:tblInd w:w="0" w:type="dxa"/>
        <w:tblCellMar>
          <w:top w:w="0" w:type="dxa"/>
          <w:left w:w="10" w:type="dxa"/>
          <w:bottom w:w="0" w:type="dxa"/>
          <w:right w:w="10" w:type="dxa"/>
        </w:tblCellMar>
      </w:tblPr>
      <w:tblGrid>
        <w:gridCol w:w="3490"/>
        <w:gridCol w:w="5535"/>
      </w:tblGrid>
      <w:tr>
        <w:trPr/>
        <w:tc>
          <w:tcPr>
            <w:tcW w:w="3490" w:type="dxa"/>
            <w:tcBorders>
              <w:top w:val="single" w:sz="2" w:space="0" w:color="CCCCCC"/>
              <w:left w:val="single" w:sz="2" w:space="0" w:color="CCCCCC"/>
              <w:bottom w:val="single" w:sz="2" w:space="0" w:color="CCCCCC"/>
            </w:tcBorders>
            <w:shd w:fill="FFC000" w:val="clear"/>
            <w:vAlign w:val="center"/>
          </w:tcPr>
          <w:p>
            <w:pPr>
              <w:pStyle w:val="Normal"/>
              <w:spacing w:before="60" w:after="60"/>
              <w:rPr>
                <w:rFonts w:ascii="Arial" w:hAnsi="Arial" w:cs="Arial"/>
                <w:b/>
                <w:b/>
                <w:bCs/>
                <w:color w:val="auto"/>
              </w:rPr>
            </w:pPr>
            <w:r>
              <w:rPr>
                <w:rFonts w:cs="Arial" w:ascii="Arial" w:hAnsi="Arial"/>
                <w:b/>
                <w:bCs/>
                <w:color w:val="auto"/>
              </w:rPr>
              <w:t>Post Title</w:t>
            </w:r>
          </w:p>
        </w:tc>
        <w:tc>
          <w:tcPr>
            <w:tcW w:w="5535" w:type="dxa"/>
            <w:tcBorders>
              <w:top w:val="single" w:sz="2" w:space="0" w:color="CCCCCC"/>
              <w:left w:val="single" w:sz="2" w:space="0" w:color="CCCCCC"/>
              <w:bottom w:val="single" w:sz="2" w:space="0" w:color="CCCCCC"/>
              <w:right w:val="single" w:sz="2" w:space="0" w:color="CCCCCC"/>
            </w:tcBorders>
            <w:shd w:fill="FFFFFF" w:val="clear"/>
          </w:tcPr>
          <w:p>
            <w:pPr>
              <w:pStyle w:val="Normal"/>
              <w:spacing w:before="60" w:after="60"/>
              <w:rPr>
                <w:rFonts w:ascii="Arial" w:hAnsi="Arial" w:cs="Arial"/>
                <w:b/>
                <w:b/>
                <w:bCs/>
                <w:color w:val="auto"/>
              </w:rPr>
            </w:pPr>
            <w:r>
              <w:rPr>
                <w:rFonts w:cs="Arial" w:ascii="Arial" w:hAnsi="Arial"/>
                <w:b/>
                <w:bCs/>
                <w:color w:val="auto"/>
              </w:rPr>
              <w:t>Business Operations Manager</w:t>
            </w:r>
          </w:p>
        </w:tc>
      </w:tr>
      <w:tr>
        <w:trPr/>
        <w:tc>
          <w:tcPr>
            <w:tcW w:w="3490" w:type="dxa"/>
            <w:tcBorders>
              <w:top w:val="single" w:sz="2" w:space="0" w:color="CCCCCC"/>
              <w:left w:val="single" w:sz="2" w:space="0" w:color="CCCCCC"/>
              <w:bottom w:val="single" w:sz="2" w:space="0" w:color="CCCCCC"/>
            </w:tcBorders>
            <w:shd w:fill="FFC000" w:val="clear"/>
            <w:vAlign w:val="center"/>
          </w:tcPr>
          <w:p>
            <w:pPr>
              <w:pStyle w:val="Normal"/>
              <w:spacing w:before="60" w:after="60"/>
              <w:rPr>
                <w:rFonts w:ascii="Arial" w:hAnsi="Arial" w:cs="Arial"/>
                <w:b/>
                <w:b/>
                <w:bCs/>
                <w:color w:val="auto"/>
              </w:rPr>
            </w:pPr>
            <w:r>
              <w:rPr>
                <w:rFonts w:cs="Arial" w:ascii="Arial" w:hAnsi="Arial"/>
                <w:b/>
                <w:bCs/>
                <w:color w:val="auto"/>
              </w:rPr>
              <w:t>Grade / Salary</w:t>
            </w:r>
          </w:p>
        </w:tc>
        <w:tc>
          <w:tcPr>
            <w:tcW w:w="5535" w:type="dxa"/>
            <w:tcBorders>
              <w:top w:val="single" w:sz="2" w:space="0" w:color="CCCCCC"/>
              <w:left w:val="single" w:sz="2" w:space="0" w:color="CCCCCC"/>
              <w:bottom w:val="single" w:sz="2" w:space="0" w:color="CCCCCC"/>
              <w:right w:val="single" w:sz="2" w:space="0" w:color="CCCCCC"/>
            </w:tcBorders>
            <w:shd w:fill="FFFFFF" w:val="clear"/>
          </w:tcPr>
          <w:p>
            <w:pPr>
              <w:pStyle w:val="Normal"/>
              <w:spacing w:before="60" w:after="60"/>
              <w:rPr/>
            </w:pPr>
            <w:r>
              <w:rPr>
                <w:rFonts w:eastAsia="Arial" w:cs="Arial" w:ascii="Arial" w:hAnsi="Arial"/>
                <w:color w:val="auto"/>
              </w:rPr>
              <w:t xml:space="preserve"> </w:t>
            </w:r>
            <w:r>
              <w:rPr>
                <w:rFonts w:cs="Arial" w:ascii="Arial" w:hAnsi="Arial"/>
                <w:color w:val="auto"/>
              </w:rPr>
              <w:t>FTE £46,142 - £51,356 (Catalyst pay scales, equivalent to NJC Points 35-40)</w:t>
            </w:r>
          </w:p>
        </w:tc>
      </w:tr>
      <w:tr>
        <w:trPr/>
        <w:tc>
          <w:tcPr>
            <w:tcW w:w="3490" w:type="dxa"/>
            <w:tcBorders>
              <w:top w:val="single" w:sz="2" w:space="0" w:color="CCCCCC"/>
              <w:left w:val="single" w:sz="2" w:space="0" w:color="CCCCCC"/>
              <w:bottom w:val="single" w:sz="2" w:space="0" w:color="CCCCCC"/>
            </w:tcBorders>
            <w:shd w:fill="FFC000" w:val="clear"/>
            <w:vAlign w:val="center"/>
          </w:tcPr>
          <w:p>
            <w:pPr>
              <w:pStyle w:val="Normal"/>
              <w:spacing w:before="60" w:after="60"/>
              <w:rPr>
                <w:rFonts w:ascii="Arial" w:hAnsi="Arial" w:cs="Arial"/>
                <w:b/>
                <w:b/>
                <w:bCs/>
                <w:color w:val="auto"/>
              </w:rPr>
            </w:pPr>
            <w:r>
              <w:rPr>
                <w:rFonts w:cs="Arial" w:ascii="Arial" w:hAnsi="Arial"/>
                <w:b/>
                <w:bCs/>
                <w:color w:val="auto"/>
              </w:rPr>
              <w:t>Hours</w:t>
            </w:r>
          </w:p>
        </w:tc>
        <w:tc>
          <w:tcPr>
            <w:tcW w:w="5535" w:type="dxa"/>
            <w:tcBorders>
              <w:top w:val="single" w:sz="2" w:space="0" w:color="CCCCCC"/>
              <w:left w:val="single" w:sz="2" w:space="0" w:color="CCCCCC"/>
              <w:bottom w:val="single" w:sz="2" w:space="0" w:color="CCCCCC"/>
              <w:right w:val="single" w:sz="2" w:space="0" w:color="CCCCCC"/>
            </w:tcBorders>
            <w:shd w:fill="FFFFFF" w:val="clear"/>
          </w:tcPr>
          <w:p>
            <w:pPr>
              <w:pStyle w:val="Normal"/>
              <w:spacing w:before="60" w:after="60"/>
              <w:rPr>
                <w:rFonts w:ascii="Arial" w:hAnsi="Arial" w:cs="Arial"/>
                <w:color w:val="auto"/>
              </w:rPr>
            </w:pPr>
            <w:r>
              <w:rPr>
                <w:rFonts w:cs="Arial" w:ascii="Arial" w:hAnsi="Arial"/>
                <w:color w:val="auto"/>
              </w:rPr>
              <w:t>0.6 FTE / 22.2 hours per week</w:t>
            </w:r>
          </w:p>
        </w:tc>
      </w:tr>
      <w:tr>
        <w:trPr/>
        <w:tc>
          <w:tcPr>
            <w:tcW w:w="3490" w:type="dxa"/>
            <w:tcBorders>
              <w:top w:val="single" w:sz="2" w:space="0" w:color="CCCCCC"/>
              <w:left w:val="single" w:sz="2" w:space="0" w:color="CCCCCC"/>
              <w:bottom w:val="single" w:sz="2" w:space="0" w:color="CCCCCC"/>
            </w:tcBorders>
            <w:shd w:fill="FFC000" w:val="clear"/>
            <w:vAlign w:val="center"/>
          </w:tcPr>
          <w:p>
            <w:pPr>
              <w:pStyle w:val="Normal"/>
              <w:spacing w:before="60" w:after="60"/>
              <w:rPr>
                <w:rFonts w:ascii="Arial" w:hAnsi="Arial" w:cs="Arial"/>
                <w:b/>
                <w:b/>
                <w:bCs/>
                <w:color w:val="auto"/>
              </w:rPr>
            </w:pPr>
            <w:r>
              <w:rPr>
                <w:rFonts w:cs="Arial" w:ascii="Arial" w:hAnsi="Arial"/>
                <w:b/>
                <w:bCs/>
                <w:color w:val="auto"/>
              </w:rPr>
              <w:t>Reports to</w:t>
            </w:r>
          </w:p>
        </w:tc>
        <w:tc>
          <w:tcPr>
            <w:tcW w:w="5535" w:type="dxa"/>
            <w:tcBorders>
              <w:top w:val="single" w:sz="2" w:space="0" w:color="CCCCCC"/>
              <w:left w:val="single" w:sz="2" w:space="0" w:color="CCCCCC"/>
              <w:bottom w:val="single" w:sz="2" w:space="0" w:color="CCCCCC"/>
              <w:right w:val="single" w:sz="2" w:space="0" w:color="CCCCCC"/>
            </w:tcBorders>
            <w:shd w:fill="FFFFFF" w:val="clear"/>
          </w:tcPr>
          <w:p>
            <w:pPr>
              <w:pStyle w:val="Normal"/>
              <w:spacing w:before="60" w:after="60"/>
              <w:rPr>
                <w:rFonts w:ascii="Arial" w:hAnsi="Arial" w:cs="Arial"/>
                <w:color w:val="auto"/>
              </w:rPr>
            </w:pPr>
            <w:r>
              <w:rPr>
                <w:rFonts w:cs="Arial" w:ascii="Arial" w:hAnsi="Arial"/>
                <w:color w:val="auto"/>
              </w:rPr>
              <w:t>Chief Executive Officer</w:t>
            </w:r>
          </w:p>
        </w:tc>
      </w:tr>
      <w:tr>
        <w:trPr/>
        <w:tc>
          <w:tcPr>
            <w:tcW w:w="3490" w:type="dxa"/>
            <w:tcBorders>
              <w:top w:val="single" w:sz="2" w:space="0" w:color="CCCCCC"/>
              <w:left w:val="single" w:sz="2" w:space="0" w:color="CCCCCC"/>
              <w:bottom w:val="single" w:sz="2" w:space="0" w:color="CCCCCC"/>
            </w:tcBorders>
            <w:shd w:fill="FFC000" w:val="clear"/>
            <w:vAlign w:val="center"/>
          </w:tcPr>
          <w:p>
            <w:pPr>
              <w:pStyle w:val="Normal"/>
              <w:spacing w:before="60" w:after="60"/>
              <w:rPr>
                <w:rFonts w:ascii="Arial" w:hAnsi="Arial" w:cs="Arial"/>
                <w:b/>
                <w:b/>
                <w:bCs/>
                <w:color w:val="auto"/>
              </w:rPr>
            </w:pPr>
            <w:r>
              <w:rPr>
                <w:rFonts w:cs="Arial" w:ascii="Arial" w:hAnsi="Arial"/>
                <w:b/>
                <w:bCs/>
                <w:color w:val="auto"/>
              </w:rPr>
              <w:t>Location</w:t>
            </w:r>
          </w:p>
        </w:tc>
        <w:tc>
          <w:tcPr>
            <w:tcW w:w="5535" w:type="dxa"/>
            <w:tcBorders>
              <w:top w:val="single" w:sz="2" w:space="0" w:color="CCCCCC"/>
              <w:left w:val="single" w:sz="2" w:space="0" w:color="CCCCCC"/>
              <w:bottom w:val="single" w:sz="2" w:space="0" w:color="CCCCCC"/>
              <w:right w:val="single" w:sz="2" w:space="0" w:color="CCCCCC"/>
            </w:tcBorders>
            <w:shd w:fill="FFFFFF" w:val="clear"/>
          </w:tcPr>
          <w:p>
            <w:pPr>
              <w:pStyle w:val="Normal"/>
              <w:spacing w:before="60" w:after="60"/>
              <w:rPr>
                <w:rFonts w:ascii="Arial" w:hAnsi="Arial" w:cs="Arial"/>
                <w:color w:val="auto"/>
              </w:rPr>
            </w:pPr>
            <w:r>
              <w:rPr>
                <w:rFonts w:cs="Arial" w:ascii="Arial" w:hAnsi="Arial"/>
                <w:color w:val="auto"/>
              </w:rPr>
              <w:t>The Old Parsonage, Stenner Lane, Didsbury, Manchester</w:t>
            </w:r>
          </w:p>
        </w:tc>
      </w:tr>
      <w:tr>
        <w:trPr/>
        <w:tc>
          <w:tcPr>
            <w:tcW w:w="3490" w:type="dxa"/>
            <w:tcBorders>
              <w:top w:val="single" w:sz="2" w:space="0" w:color="CCCCCC"/>
              <w:left w:val="single" w:sz="2" w:space="0" w:color="CCCCCC"/>
              <w:bottom w:val="single" w:sz="2" w:space="0" w:color="CCCCCC"/>
            </w:tcBorders>
            <w:shd w:fill="FFC000" w:val="clear"/>
            <w:vAlign w:val="center"/>
          </w:tcPr>
          <w:p>
            <w:pPr>
              <w:pStyle w:val="Normal"/>
              <w:spacing w:before="60" w:after="60"/>
              <w:rPr>
                <w:rFonts w:ascii="Arial" w:hAnsi="Arial" w:cs="Arial"/>
                <w:b/>
                <w:b/>
                <w:bCs/>
                <w:color w:val="auto"/>
              </w:rPr>
            </w:pPr>
            <w:r>
              <w:rPr>
                <w:rFonts w:cs="Arial" w:ascii="Arial" w:hAnsi="Arial"/>
                <w:b/>
                <w:bCs/>
                <w:color w:val="auto"/>
              </w:rPr>
              <w:t>DBS Requirement</w:t>
            </w:r>
          </w:p>
        </w:tc>
        <w:tc>
          <w:tcPr>
            <w:tcW w:w="5535" w:type="dxa"/>
            <w:tcBorders>
              <w:top w:val="single" w:sz="2" w:space="0" w:color="CCCCCC"/>
              <w:left w:val="single" w:sz="2" w:space="0" w:color="CCCCCC"/>
              <w:bottom w:val="single" w:sz="2" w:space="0" w:color="CCCCCC"/>
              <w:right w:val="single" w:sz="2" w:space="0" w:color="CCCCCC"/>
            </w:tcBorders>
            <w:shd w:fill="FFFFFF" w:val="clear"/>
          </w:tcPr>
          <w:p>
            <w:pPr>
              <w:pStyle w:val="Normal"/>
              <w:spacing w:before="60" w:after="60"/>
              <w:rPr>
                <w:rFonts w:ascii="Arial" w:hAnsi="Arial" w:cs="Arial"/>
                <w:color w:val="auto"/>
              </w:rPr>
            </w:pPr>
            <w:r>
              <w:rPr>
                <w:rFonts w:cs="Arial" w:ascii="Arial" w:hAnsi="Arial"/>
                <w:color w:val="auto"/>
              </w:rPr>
              <w:t xml:space="preserve">Standard DBS </w:t>
            </w:r>
          </w:p>
        </w:tc>
      </w:tr>
      <w:tr>
        <w:trPr/>
        <w:tc>
          <w:tcPr>
            <w:tcW w:w="3490" w:type="dxa"/>
            <w:tcBorders>
              <w:top w:val="single" w:sz="2" w:space="0" w:color="CCCCCC"/>
              <w:left w:val="single" w:sz="2" w:space="0" w:color="CCCCCC"/>
              <w:bottom w:val="single" w:sz="2" w:space="0" w:color="CCCCCC"/>
            </w:tcBorders>
            <w:shd w:fill="FFC000" w:val="clear"/>
            <w:vAlign w:val="center"/>
          </w:tcPr>
          <w:p>
            <w:pPr>
              <w:pStyle w:val="Normal"/>
              <w:spacing w:before="60" w:after="60"/>
              <w:rPr>
                <w:rFonts w:ascii="Arial" w:hAnsi="Arial" w:cs="Arial"/>
                <w:b/>
                <w:b/>
                <w:bCs/>
                <w:color w:val="auto"/>
              </w:rPr>
            </w:pPr>
            <w:r>
              <w:rPr>
                <w:rFonts w:cs="Arial" w:ascii="Arial" w:hAnsi="Arial"/>
                <w:b/>
                <w:bCs/>
                <w:color w:val="auto"/>
              </w:rPr>
              <w:t>Closing Date</w:t>
            </w:r>
          </w:p>
        </w:tc>
        <w:tc>
          <w:tcPr>
            <w:tcW w:w="5535" w:type="dxa"/>
            <w:tcBorders>
              <w:top w:val="single" w:sz="2" w:space="0" w:color="CCCCCC"/>
              <w:left w:val="single" w:sz="2" w:space="0" w:color="CCCCCC"/>
              <w:bottom w:val="single" w:sz="2" w:space="0" w:color="CCCCCC"/>
              <w:right w:val="single" w:sz="2" w:space="0" w:color="CCCCCC"/>
            </w:tcBorders>
            <w:shd w:fill="FFFFFF" w:val="clear"/>
          </w:tcPr>
          <w:p>
            <w:pPr>
              <w:pStyle w:val="Normal"/>
              <w:spacing w:before="60" w:after="60"/>
              <w:rPr>
                <w:rFonts w:ascii="Arial" w:hAnsi="Arial" w:cs="Arial"/>
                <w:color w:val="auto"/>
              </w:rPr>
            </w:pPr>
            <w:r>
              <w:rPr>
                <w:rFonts w:cs="Arial" w:ascii="Arial" w:hAnsi="Arial"/>
                <w:color w:val="auto"/>
              </w:rPr>
              <w:t>17th July 2026</w:t>
            </w:r>
          </w:p>
        </w:tc>
      </w:tr>
    </w:tbl>
    <w:p>
      <w:pPr>
        <w:pStyle w:val="Normal"/>
        <w:spacing w:before="200" w:after="200"/>
        <w:rPr>
          <w:rFonts w:ascii="Arial" w:hAnsi="Arial" w:cs="Arial"/>
          <w:color w:val="auto"/>
        </w:rPr>
      </w:pPr>
      <w:r>
        <w:rPr>
          <w:rFonts w:cs="Arial" w:ascii="Arial" w:hAnsi="Arial"/>
          <w:color w:val="auto"/>
        </w:rPr>
        <w:t>This is a senior leadership role within a small, values-driven organisation. You will own the operational backbone of a social enterprise that exists to improve outcomes for children across Manchester — spanning HR, finance, governance and administrative leadership. The Board is looking for someone who brings rigour, initiative, and a genuine commitment to social impact.</w:t>
      </w:r>
    </w:p>
    <w:p>
      <w:pPr>
        <w:pStyle w:val="Heading1"/>
        <w:rPr>
          <w:rFonts w:ascii="Arial" w:hAnsi="Arial" w:cs="Arial"/>
          <w:color w:val="auto"/>
        </w:rPr>
      </w:pPr>
      <w:r>
        <w:rPr>
          <w:rFonts w:cs="Arial" w:ascii="Arial" w:hAnsi="Arial"/>
          <w:color w:val="auto"/>
        </w:rPr>
        <w:t>Key Priorities in Year One</w:t>
      </w:r>
    </w:p>
    <w:p>
      <w:pPr>
        <w:pStyle w:val="Normal"/>
        <w:rPr>
          <w:rFonts w:ascii="Arial" w:hAnsi="Arial" w:cs="Arial"/>
          <w:color w:val="auto"/>
        </w:rPr>
      </w:pPr>
      <w:r>
        <w:rPr>
          <w:rFonts w:cs="Arial" w:ascii="Arial" w:hAnsi="Arial"/>
          <w:color w:val="auto"/>
        </w:rPr>
        <w:t>The Board has identified the following priorities for the first 12 months. These signal what success looks like early in the role and should help you assess whether this opportunity is right for you.</w:t>
      </w:r>
    </w:p>
    <w:p>
      <w:pPr>
        <w:pStyle w:val="Normal"/>
        <w:spacing w:before="0" w:after="80"/>
        <w:rPr/>
      </w:pPr>
      <w:r>
        <w:rPr>
          <w:rFonts w:cs="Arial" w:ascii="Arial" w:hAnsi="Arial"/>
          <w:b/>
          <w:bCs/>
          <w:color w:val="auto"/>
        </w:rPr>
        <w:t xml:space="preserve">1. Workforce compliance assurance: </w:t>
      </w:r>
      <w:r>
        <w:rPr>
          <w:rFonts w:cs="Arial" w:ascii="Arial" w:hAnsi="Arial"/>
          <w:color w:val="auto"/>
        </w:rPr>
        <w:t>Audit and strengthen recruitment, onboarding, and safer recruitment processes to ensure the organisation can demonstrate full workforce compliance at any point. Identify gaps, implement fixes, and build sustainable monitoring mechanisms.</w:t>
      </w:r>
    </w:p>
    <w:p>
      <w:pPr>
        <w:pStyle w:val="Normal"/>
        <w:spacing w:before="0" w:after="80"/>
        <w:rPr/>
      </w:pPr>
      <w:r>
        <w:rPr>
          <w:rFonts w:cs="Arial" w:ascii="Arial" w:hAnsi="Arial"/>
          <w:b/>
          <w:bCs/>
          <w:color w:val="auto"/>
        </w:rPr>
        <w:t xml:space="preserve">2. Financial confidence and reporting: </w:t>
      </w:r>
      <w:r>
        <w:rPr>
          <w:rFonts w:cs="Arial" w:ascii="Arial" w:hAnsi="Arial"/>
          <w:color w:val="auto"/>
        </w:rPr>
        <w:t>Building on existing systems,</w:t>
      </w:r>
      <w:r>
        <w:rPr>
          <w:rFonts w:cs="Arial" w:ascii="Arial" w:hAnsi="Arial"/>
          <w:b/>
          <w:bCs/>
          <w:color w:val="auto"/>
        </w:rPr>
        <w:t xml:space="preserve"> </w:t>
      </w:r>
      <w:r>
        <w:rPr>
          <w:rFonts w:cs="Arial" w:ascii="Arial" w:hAnsi="Arial"/>
          <w:color w:val="auto"/>
        </w:rPr>
        <w:t>establish clear, timely financial reporting that gives the CEO and Directors full visibility of the organisation's financial health. Strengthen internal controls, streamline QuickBooks processes, and ensure the Board can make informed decisions with accurate data.</w:t>
      </w:r>
    </w:p>
    <w:p>
      <w:pPr>
        <w:pStyle w:val="Normal"/>
        <w:spacing w:before="0" w:after="200"/>
        <w:rPr/>
      </w:pPr>
      <w:r>
        <w:rPr>
          <w:rFonts w:cs="Arial" w:ascii="Arial" w:hAnsi="Arial"/>
          <w:b/>
          <w:bCs/>
          <w:color w:val="auto"/>
        </w:rPr>
        <w:t xml:space="preserve">3. Governance assurance and compliance reporting: </w:t>
      </w:r>
      <w:r>
        <w:rPr>
          <w:rFonts w:cs="Arial" w:ascii="Arial" w:hAnsi="Arial"/>
          <w:color w:val="auto"/>
        </w:rPr>
        <w:t>Establish a clear governance assurance framework that enables the CEO, Senior Management and Board to understand organisational compliance, risk and improvement priorities. In year one, this will include reviewing key policies and procedures and maintaining oversight of compliance so that Catalyst can demonstrate its legislative responsibilities, statutory duties and organisational commitments are being met.</w:t>
      </w:r>
    </w:p>
    <w:p>
      <w:pPr>
        <w:pStyle w:val="Heading1"/>
        <w:rPr>
          <w:rFonts w:ascii="Arial" w:hAnsi="Arial" w:cs="Arial"/>
          <w:color w:val="auto"/>
        </w:rPr>
      </w:pPr>
      <w:r>
        <w:rPr>
          <w:rFonts w:cs="Arial" w:ascii="Arial" w:hAnsi="Arial"/>
          <w:color w:val="auto"/>
        </w:rPr>
        <w:t>Role Description</w:t>
      </w:r>
    </w:p>
    <w:p>
      <w:pPr>
        <w:pStyle w:val="Normal"/>
        <w:rPr>
          <w:rFonts w:ascii="Arial" w:hAnsi="Arial" w:cs="Arial"/>
          <w:color w:val="auto"/>
        </w:rPr>
      </w:pPr>
      <w:r>
        <w:rPr>
          <w:rFonts w:cs="Arial" w:ascii="Arial" w:hAnsi="Arial"/>
          <w:color w:val="auto"/>
        </w:rPr>
        <w:t>The responsibilities below are grouped by theme. The role description outlines broad areas of accountability; you will be expected to undertake any duties that fall within the level of responsibility and competence of the position.</w:t>
      </w:r>
    </w:p>
    <w:p>
      <w:pPr>
        <w:pStyle w:val="Heading2"/>
        <w:rPr>
          <w:rFonts w:ascii="Arial" w:hAnsi="Arial" w:cs="Arial"/>
          <w:color w:val="auto"/>
        </w:rPr>
      </w:pPr>
      <w:r>
        <w:rPr>
          <w:rFonts w:cs="Arial" w:ascii="Arial" w:hAnsi="Arial"/>
          <w:color w:val="auto"/>
        </w:rPr>
        <w:t>Finances</w:t>
      </w:r>
    </w:p>
    <w:p>
      <w:pPr>
        <w:pStyle w:val="Normal"/>
        <w:rPr>
          <w:rFonts w:ascii="Arial" w:hAnsi="Arial" w:cs="Arial"/>
          <w:color w:val="auto"/>
        </w:rPr>
      </w:pPr>
      <w:r>
        <w:rPr>
          <w:rFonts w:cs="Arial" w:ascii="Arial" w:hAnsi="Arial"/>
          <w:color w:val="auto"/>
        </w:rPr>
        <w:t>You will lead the financial operations of the organisation, ensuring robust controls that support safe, sustainable service delivery. This includes:</w:t>
      </w:r>
    </w:p>
    <w:p>
      <w:pPr>
        <w:pStyle w:val="ListParagraph"/>
        <w:numPr>
          <w:ilvl w:val="0"/>
          <w:numId w:val="2"/>
        </w:numPr>
        <w:spacing w:before="0" w:after="80"/>
        <w:rPr>
          <w:rFonts w:ascii="Arial" w:hAnsi="Arial" w:cs="Arial"/>
          <w:color w:val="auto"/>
        </w:rPr>
      </w:pPr>
      <w:r>
        <w:rPr>
          <w:rFonts w:cs="Arial" w:ascii="Arial" w:hAnsi="Arial"/>
          <w:color w:val="auto"/>
        </w:rPr>
        <w:t>Managing all internal finance functions: QuickBooks records and reporting, bank payments, aged payables, and management accounts.</w:t>
      </w:r>
    </w:p>
    <w:p>
      <w:pPr>
        <w:pStyle w:val="ListParagraph"/>
        <w:numPr>
          <w:ilvl w:val="0"/>
          <w:numId w:val="2"/>
        </w:numPr>
        <w:spacing w:before="0" w:after="80"/>
        <w:rPr>
          <w:rFonts w:ascii="Arial" w:hAnsi="Arial" w:cs="Arial"/>
          <w:color w:val="auto"/>
        </w:rPr>
      </w:pPr>
      <w:r>
        <w:rPr>
          <w:rFonts w:cs="Arial" w:ascii="Arial" w:hAnsi="Arial"/>
          <w:color w:val="auto"/>
        </w:rPr>
        <w:t>Managing the end-to-end payroll process, including liaison with the external payroll provider and initiating monthly bank payments.</w:t>
      </w:r>
    </w:p>
    <w:p>
      <w:pPr>
        <w:pStyle w:val="ListParagraph"/>
        <w:numPr>
          <w:ilvl w:val="0"/>
          <w:numId w:val="2"/>
        </w:numPr>
        <w:spacing w:before="0" w:after="80"/>
        <w:rPr>
          <w:rFonts w:ascii="Arial" w:hAnsi="Arial" w:cs="Arial"/>
          <w:color w:val="auto"/>
        </w:rPr>
      </w:pPr>
      <w:r>
        <w:rPr>
          <w:rFonts w:cs="Arial" w:ascii="Arial" w:hAnsi="Arial"/>
          <w:color w:val="auto"/>
        </w:rPr>
        <w:t>Working closely with external accountants to ensure accurate management accounts and year-end accounts.</w:t>
      </w:r>
    </w:p>
    <w:p>
      <w:pPr>
        <w:pStyle w:val="ListParagraph"/>
        <w:numPr>
          <w:ilvl w:val="0"/>
          <w:numId w:val="2"/>
        </w:numPr>
        <w:spacing w:before="0" w:after="80"/>
        <w:rPr>
          <w:rFonts w:ascii="Arial" w:hAnsi="Arial" w:cs="Arial"/>
          <w:color w:val="auto"/>
        </w:rPr>
      </w:pPr>
      <w:r>
        <w:rPr>
          <w:rFonts w:cs="Arial" w:ascii="Arial" w:hAnsi="Arial"/>
          <w:color w:val="auto"/>
        </w:rPr>
        <w:t>Procuring external services and products using strong negotiation skills and a cost-conscious approach.</w:t>
      </w:r>
    </w:p>
    <w:p>
      <w:pPr>
        <w:pStyle w:val="ListParagraph"/>
        <w:numPr>
          <w:ilvl w:val="0"/>
          <w:numId w:val="2"/>
        </w:numPr>
        <w:spacing w:before="0" w:after="80"/>
        <w:rPr>
          <w:rFonts w:ascii="Arial" w:hAnsi="Arial" w:cs="Arial"/>
          <w:color w:val="auto"/>
        </w:rPr>
      </w:pPr>
      <w:r>
        <w:rPr>
          <w:rFonts w:cs="Arial" w:ascii="Arial" w:hAnsi="Arial"/>
          <w:color w:val="auto"/>
        </w:rPr>
        <w:t>Leading financial reporting to the CEO and Directors, ensuring risks are identified at the earliest opportunity.</w:t>
      </w:r>
    </w:p>
    <w:p>
      <w:pPr>
        <w:pStyle w:val="ListParagraph"/>
        <w:numPr>
          <w:ilvl w:val="0"/>
          <w:numId w:val="2"/>
        </w:numPr>
        <w:spacing w:before="0" w:after="80"/>
        <w:rPr>
          <w:rFonts w:ascii="Arial" w:hAnsi="Arial" w:cs="Arial"/>
          <w:color w:val="auto"/>
        </w:rPr>
      </w:pPr>
      <w:r>
        <w:rPr>
          <w:rFonts w:cs="Arial" w:ascii="Arial" w:hAnsi="Arial"/>
          <w:color w:val="auto"/>
        </w:rPr>
        <w:t>Managing the pension process for The Pensions Trust.</w:t>
      </w:r>
    </w:p>
    <w:p>
      <w:pPr>
        <w:pStyle w:val="ListParagraph"/>
        <w:numPr>
          <w:ilvl w:val="0"/>
          <w:numId w:val="2"/>
        </w:numPr>
        <w:spacing w:before="0" w:after="80"/>
        <w:rPr>
          <w:rFonts w:ascii="Arial" w:hAnsi="Arial" w:cs="Arial"/>
          <w:color w:val="auto"/>
        </w:rPr>
      </w:pPr>
      <w:r>
        <w:rPr>
          <w:rFonts w:cs="Arial" w:ascii="Arial" w:hAnsi="Arial"/>
          <w:color w:val="auto"/>
        </w:rPr>
        <w:t>Ensuring a business continuity plan is written, maintained, and fit for purpose.</w:t>
      </w:r>
    </w:p>
    <w:p>
      <w:pPr>
        <w:pStyle w:val="Heading2"/>
        <w:rPr>
          <w:rFonts w:ascii="Arial" w:hAnsi="Arial" w:cs="Arial"/>
          <w:color w:val="auto"/>
        </w:rPr>
      </w:pPr>
      <w:r>
        <w:rPr>
          <w:rFonts w:cs="Arial" w:ascii="Arial" w:hAnsi="Arial"/>
          <w:color w:val="auto"/>
        </w:rPr>
        <w:t>Human Resources</w:t>
      </w:r>
    </w:p>
    <w:p>
      <w:pPr>
        <w:pStyle w:val="Normal"/>
        <w:rPr>
          <w:rFonts w:ascii="Arial" w:hAnsi="Arial" w:cs="Arial"/>
          <w:color w:val="auto"/>
        </w:rPr>
      </w:pPr>
      <w:r>
        <w:rPr>
          <w:rFonts w:cs="Arial" w:ascii="Arial" w:hAnsi="Arial"/>
          <w:color w:val="auto"/>
        </w:rPr>
        <w:t>You will act as the organisational lead for workforce compliance assurance, ensuring Catalyst can demonstrate at all times that staff are appropriately recruited, vetted, trained, and authorised. Specifically:</w:t>
      </w:r>
    </w:p>
    <w:p>
      <w:pPr>
        <w:pStyle w:val="ListParagraph"/>
        <w:numPr>
          <w:ilvl w:val="0"/>
          <w:numId w:val="2"/>
        </w:numPr>
        <w:spacing w:before="0" w:after="80"/>
        <w:rPr>
          <w:rFonts w:ascii="Arial" w:hAnsi="Arial" w:cs="Arial"/>
          <w:color w:val="auto"/>
        </w:rPr>
      </w:pPr>
      <w:r>
        <w:rPr>
          <w:rFonts w:cs="Arial" w:ascii="Arial" w:hAnsi="Arial"/>
          <w:color w:val="auto"/>
        </w:rPr>
        <w:t>Ensuring compliance with HR processes and documentation, highlighting non-compliance where necessary.</w:t>
      </w:r>
    </w:p>
    <w:p>
      <w:pPr>
        <w:pStyle w:val="ListParagraph"/>
        <w:numPr>
          <w:ilvl w:val="0"/>
          <w:numId w:val="2"/>
        </w:numPr>
        <w:spacing w:before="0" w:after="80"/>
        <w:rPr>
          <w:rFonts w:ascii="Arial" w:hAnsi="Arial" w:cs="Arial"/>
          <w:color w:val="auto"/>
        </w:rPr>
      </w:pPr>
      <w:r>
        <w:rPr>
          <w:rFonts w:cs="Arial" w:ascii="Arial" w:hAnsi="Arial"/>
          <w:color w:val="auto"/>
        </w:rPr>
        <w:t>Regularly auditing recruitment and onboarding processes, identifying themes, gaps or risks, and implementing improvements.</w:t>
      </w:r>
    </w:p>
    <w:p>
      <w:pPr>
        <w:pStyle w:val="ListParagraph"/>
        <w:numPr>
          <w:ilvl w:val="0"/>
          <w:numId w:val="2"/>
        </w:numPr>
        <w:spacing w:before="0" w:after="80"/>
        <w:rPr>
          <w:rFonts w:ascii="Arial" w:hAnsi="Arial" w:cs="Arial"/>
          <w:color w:val="auto"/>
        </w:rPr>
      </w:pPr>
      <w:r>
        <w:rPr>
          <w:rFonts w:cs="Arial" w:ascii="Arial" w:hAnsi="Arial"/>
          <w:color w:val="auto"/>
        </w:rPr>
        <w:t>Ensuring implementation, monitoring, and compliance with safer recruitment policy and contractual requirements.</w:t>
      </w:r>
    </w:p>
    <w:p>
      <w:pPr>
        <w:pStyle w:val="Heading2"/>
        <w:rPr>
          <w:rFonts w:ascii="Arial" w:hAnsi="Arial" w:cs="Arial"/>
          <w:color w:val="auto"/>
        </w:rPr>
      </w:pPr>
      <w:r>
        <w:rPr>
          <w:rFonts w:cs="Arial" w:ascii="Arial" w:hAnsi="Arial"/>
          <w:color w:val="auto"/>
        </w:rPr>
        <w:t>Governance</w:t>
      </w:r>
    </w:p>
    <w:p>
      <w:pPr>
        <w:pStyle w:val="Normal"/>
        <w:rPr>
          <w:rFonts w:ascii="Arial" w:hAnsi="Arial" w:cs="Arial"/>
          <w:color w:val="auto"/>
        </w:rPr>
      </w:pPr>
      <w:r>
        <w:rPr>
          <w:rFonts w:cs="Arial" w:ascii="Arial" w:hAnsi="Arial"/>
          <w:color w:val="auto"/>
        </w:rPr>
        <w:t>You will provide organisational assurance through clear compliance and governance reporting ensuring Catalyst meets its legislative responsibilities, organisational commitments, and statutory duties. This means:</w:t>
      </w:r>
    </w:p>
    <w:p>
      <w:pPr>
        <w:pStyle w:val="ListParagraph"/>
        <w:numPr>
          <w:ilvl w:val="0"/>
          <w:numId w:val="2"/>
        </w:numPr>
        <w:spacing w:before="0" w:after="80"/>
        <w:rPr>
          <w:rFonts w:ascii="Arial" w:hAnsi="Arial" w:cs="Arial"/>
          <w:color w:val="auto"/>
        </w:rPr>
      </w:pPr>
      <w:r>
        <w:rPr>
          <w:rFonts w:cs="Arial" w:ascii="Arial" w:hAnsi="Arial"/>
          <w:color w:val="auto"/>
        </w:rPr>
        <w:t>Writing, maintaining, and updating policies and procedures as required.</w:t>
      </w:r>
    </w:p>
    <w:p>
      <w:pPr>
        <w:pStyle w:val="ListParagraph"/>
        <w:numPr>
          <w:ilvl w:val="0"/>
          <w:numId w:val="2"/>
        </w:numPr>
        <w:spacing w:before="0" w:after="80"/>
        <w:rPr>
          <w:rFonts w:ascii="Arial" w:hAnsi="Arial" w:cs="Arial"/>
          <w:color w:val="auto"/>
        </w:rPr>
      </w:pPr>
      <w:r>
        <w:rPr>
          <w:rFonts w:cs="Arial" w:ascii="Arial" w:hAnsi="Arial"/>
          <w:color w:val="auto"/>
        </w:rPr>
        <w:t>Producing performance reports that highlight areas of risk, non-compliance, and required improvement actions.</w:t>
      </w:r>
    </w:p>
    <w:p>
      <w:pPr>
        <w:pStyle w:val="ListParagraph"/>
        <w:numPr>
          <w:ilvl w:val="0"/>
          <w:numId w:val="2"/>
        </w:numPr>
        <w:spacing w:before="0" w:after="80"/>
        <w:rPr>
          <w:rFonts w:ascii="Arial" w:hAnsi="Arial" w:cs="Arial"/>
          <w:color w:val="auto"/>
        </w:rPr>
      </w:pPr>
      <w:r>
        <w:rPr>
          <w:rFonts w:cs="Arial" w:ascii="Arial" w:hAnsi="Arial"/>
          <w:color w:val="auto"/>
        </w:rPr>
        <w:t>Contributing to risk management processes, ensuring risks affecting service delivery, workforce sustainability, or regulatory compliance are actively managed.</w:t>
      </w:r>
    </w:p>
    <w:p>
      <w:pPr>
        <w:pStyle w:val="ListParagraph"/>
        <w:numPr>
          <w:ilvl w:val="0"/>
          <w:numId w:val="2"/>
        </w:numPr>
        <w:spacing w:before="0" w:after="80"/>
        <w:rPr>
          <w:rFonts w:ascii="Arial" w:hAnsi="Arial" w:cs="Arial"/>
          <w:color w:val="auto"/>
        </w:rPr>
      </w:pPr>
      <w:r>
        <w:rPr>
          <w:rFonts w:cs="Arial" w:ascii="Arial" w:hAnsi="Arial"/>
          <w:color w:val="auto"/>
        </w:rPr>
        <w:t>Monitoring mandatory training compliance across the organisation.</w:t>
      </w:r>
    </w:p>
    <w:p>
      <w:pPr>
        <w:pStyle w:val="ListParagraph"/>
        <w:numPr>
          <w:ilvl w:val="0"/>
          <w:numId w:val="2"/>
        </w:numPr>
        <w:rPr>
          <w:rFonts w:ascii="Arial" w:hAnsi="Arial" w:cs="Arial"/>
          <w:color w:val="auto"/>
        </w:rPr>
      </w:pPr>
      <w:r>
        <w:rPr>
          <w:rFonts w:cs="Arial" w:ascii="Arial" w:hAnsi="Arial"/>
          <w:color w:val="auto"/>
        </w:rPr>
        <w:t>Maintaining oversight of Equality Diversity Inclusion compliance, you will provide assurance to Senior Management and the Board regarding the organisation's adherence to its EDI framework and objectives.</w:t>
      </w:r>
    </w:p>
    <w:p>
      <w:pPr>
        <w:pStyle w:val="Heading2"/>
        <w:rPr>
          <w:rFonts w:ascii="Arial" w:hAnsi="Arial" w:cs="Arial"/>
          <w:color w:val="auto"/>
        </w:rPr>
      </w:pPr>
      <w:r>
        <w:rPr>
          <w:rFonts w:cs="Arial" w:ascii="Arial" w:hAnsi="Arial"/>
          <w:color w:val="auto"/>
        </w:rPr>
        <w:t>Systems Management</w:t>
      </w:r>
    </w:p>
    <w:p>
      <w:pPr>
        <w:pStyle w:val="Normal"/>
        <w:rPr>
          <w:rFonts w:ascii="Arial" w:hAnsi="Arial" w:cs="Arial"/>
          <w:color w:val="auto"/>
        </w:rPr>
      </w:pPr>
      <w:r>
        <w:rPr>
          <w:rFonts w:cs="Arial" w:ascii="Arial" w:hAnsi="Arial"/>
          <w:color w:val="auto"/>
        </w:rPr>
        <w:t>Working closely with our full-time office manager, you will lead and develop the administrative systems, providing a high-quality, resilient service that enables the safe and efficient delivery of psychological services. This means:</w:t>
      </w:r>
    </w:p>
    <w:p>
      <w:pPr>
        <w:pStyle w:val="ListParagraph"/>
        <w:numPr>
          <w:ilvl w:val="0"/>
          <w:numId w:val="2"/>
        </w:numPr>
        <w:spacing w:before="0" w:after="80"/>
        <w:rPr>
          <w:rFonts w:ascii="Arial" w:hAnsi="Arial" w:cs="Arial"/>
          <w:color w:val="auto"/>
        </w:rPr>
      </w:pPr>
      <w:r>
        <w:rPr>
          <w:rFonts w:cs="Arial" w:ascii="Arial" w:hAnsi="Arial"/>
          <w:color w:val="auto"/>
        </w:rPr>
        <w:t>Ensuring seamless business support provision across the organisation, fostering collaboration between administrative and operational staff.</w:t>
      </w:r>
    </w:p>
    <w:p>
      <w:pPr>
        <w:pStyle w:val="ListParagraph"/>
        <w:numPr>
          <w:ilvl w:val="0"/>
          <w:numId w:val="2"/>
        </w:numPr>
        <w:spacing w:before="0" w:after="80"/>
        <w:rPr>
          <w:rFonts w:ascii="Arial" w:hAnsi="Arial" w:cs="Arial"/>
          <w:color w:val="auto"/>
        </w:rPr>
      </w:pPr>
      <w:r>
        <w:rPr>
          <w:rFonts w:cs="Arial" w:ascii="Arial" w:hAnsi="Arial"/>
          <w:color w:val="auto"/>
        </w:rPr>
        <w:t>Aligning administrative processes and workflows to service requirements and organisational priorities.</w:t>
      </w:r>
    </w:p>
    <w:p>
      <w:pPr>
        <w:pStyle w:val="ListParagraph"/>
        <w:numPr>
          <w:ilvl w:val="0"/>
          <w:numId w:val="2"/>
        </w:numPr>
        <w:spacing w:before="0" w:after="80"/>
        <w:rPr>
          <w:rFonts w:ascii="Arial" w:hAnsi="Arial" w:cs="Arial"/>
          <w:color w:val="auto"/>
        </w:rPr>
      </w:pPr>
      <w:r>
        <w:rPr>
          <w:rFonts w:cs="Arial" w:ascii="Arial" w:hAnsi="Arial"/>
          <w:color w:val="auto"/>
        </w:rPr>
        <w:t>Managing workloads to maintain appropriate cover and deliver operational priorities effectively.</w:t>
      </w:r>
    </w:p>
    <w:p>
      <w:pPr>
        <w:pStyle w:val="ListParagraph"/>
        <w:numPr>
          <w:ilvl w:val="0"/>
          <w:numId w:val="2"/>
        </w:numPr>
        <w:spacing w:before="0" w:after="80"/>
        <w:rPr>
          <w:rFonts w:ascii="Arial" w:hAnsi="Arial" w:cs="Arial"/>
          <w:color w:val="auto"/>
        </w:rPr>
      </w:pPr>
      <w:r>
        <w:rPr>
          <w:rFonts w:cs="Arial" w:ascii="Arial" w:hAnsi="Arial"/>
          <w:color w:val="auto"/>
        </w:rPr>
        <w:t>Working closely with strategic and operational leaders to keep support functions responsive to service demands.</w:t>
      </w:r>
    </w:p>
    <w:p>
      <w:pPr>
        <w:pStyle w:val="ListParagraph"/>
        <w:numPr>
          <w:ilvl w:val="0"/>
          <w:numId w:val="2"/>
        </w:numPr>
        <w:spacing w:before="0" w:after="80"/>
        <w:rPr>
          <w:rFonts w:ascii="Arial" w:hAnsi="Arial" w:cs="Arial"/>
          <w:color w:val="auto"/>
        </w:rPr>
      </w:pPr>
      <w:r>
        <w:rPr>
          <w:rFonts w:cs="Arial" w:ascii="Arial" w:hAnsi="Arial"/>
          <w:color w:val="auto"/>
        </w:rPr>
        <w:t>Streamlining our CRM system (Nationbuilder) to facilitate effective communication and marketing activity.</w:t>
      </w:r>
    </w:p>
    <w:p>
      <w:pPr>
        <w:pStyle w:val="Heading2"/>
        <w:rPr>
          <w:rFonts w:ascii="Arial" w:hAnsi="Arial" w:cs="Arial"/>
          <w:color w:val="auto"/>
        </w:rPr>
      </w:pPr>
      <w:r>
        <w:rPr>
          <w:rFonts w:cs="Arial" w:ascii="Arial" w:hAnsi="Arial"/>
          <w:color w:val="auto"/>
        </w:rPr>
        <w:t>Information Technology</w:t>
      </w:r>
    </w:p>
    <w:p>
      <w:pPr>
        <w:pStyle w:val="Normal"/>
        <w:rPr>
          <w:rFonts w:ascii="Arial" w:hAnsi="Arial" w:cs="Arial"/>
          <w:color w:val="auto"/>
        </w:rPr>
      </w:pPr>
      <w:r>
        <w:rPr>
          <w:rFonts w:cs="Arial" w:ascii="Arial" w:hAnsi="Arial"/>
          <w:color w:val="auto"/>
        </w:rPr>
        <w:t>Working with the external IT provider, you will ensure critical digital systems remain available, secure, and effective. This includes:</w:t>
      </w:r>
    </w:p>
    <w:p>
      <w:pPr>
        <w:pStyle w:val="ListParagraph"/>
        <w:numPr>
          <w:ilvl w:val="0"/>
          <w:numId w:val="2"/>
        </w:numPr>
        <w:spacing w:before="0" w:after="80"/>
        <w:rPr>
          <w:rFonts w:ascii="Arial" w:hAnsi="Arial" w:cs="Arial"/>
          <w:color w:val="auto"/>
        </w:rPr>
      </w:pPr>
      <w:r>
        <w:rPr>
          <w:rFonts w:cs="Arial" w:ascii="Arial" w:hAnsi="Arial"/>
          <w:color w:val="auto"/>
        </w:rPr>
        <w:t>Ensuring appropriate system access, security controls, and data protection measures are maintained.</w:t>
      </w:r>
    </w:p>
    <w:p>
      <w:pPr>
        <w:pStyle w:val="ListParagraph"/>
        <w:numPr>
          <w:ilvl w:val="0"/>
          <w:numId w:val="2"/>
        </w:numPr>
        <w:spacing w:before="0" w:after="80"/>
        <w:rPr>
          <w:rFonts w:ascii="Arial" w:hAnsi="Arial" w:cs="Arial"/>
          <w:color w:val="auto"/>
        </w:rPr>
      </w:pPr>
      <w:r>
        <w:rPr>
          <w:rFonts w:cs="Arial" w:ascii="Arial" w:hAnsi="Arial"/>
          <w:color w:val="auto"/>
        </w:rPr>
        <w:t>Monitoring IT performance and identifying risks that may impact service delivery.</w:t>
      </w:r>
    </w:p>
    <w:p>
      <w:pPr>
        <w:pStyle w:val="Heading2"/>
        <w:rPr>
          <w:rFonts w:ascii="Arial" w:hAnsi="Arial" w:cs="Arial"/>
          <w:color w:val="auto"/>
        </w:rPr>
      </w:pPr>
      <w:r>
        <w:rPr>
          <w:rFonts w:cs="Arial" w:ascii="Arial" w:hAnsi="Arial"/>
          <w:color w:val="auto"/>
        </w:rPr>
        <w:t>Health, Safety &amp; Compliance</w:t>
      </w:r>
    </w:p>
    <w:p>
      <w:pPr>
        <w:pStyle w:val="Normal"/>
        <w:rPr>
          <w:rFonts w:ascii="Arial" w:hAnsi="Arial" w:cs="Arial"/>
          <w:color w:val="auto"/>
        </w:rPr>
      </w:pPr>
      <w:r>
        <w:rPr>
          <w:rFonts w:cs="Arial" w:ascii="Arial" w:hAnsi="Arial"/>
          <w:color w:val="auto"/>
        </w:rPr>
        <w:t>You will be the Health and Safety Lead for the organisation. This includes:</w:t>
      </w:r>
    </w:p>
    <w:p>
      <w:pPr>
        <w:pStyle w:val="ListParagraph"/>
        <w:numPr>
          <w:ilvl w:val="0"/>
          <w:numId w:val="2"/>
        </w:numPr>
        <w:spacing w:before="0" w:after="80"/>
        <w:rPr>
          <w:rFonts w:ascii="Arial" w:hAnsi="Arial" w:cs="Arial"/>
          <w:color w:val="auto"/>
        </w:rPr>
      </w:pPr>
      <w:r>
        <w:rPr>
          <w:rFonts w:cs="Arial" w:ascii="Arial" w:hAnsi="Arial"/>
          <w:color w:val="auto"/>
        </w:rPr>
        <w:t>Providing information to support external audits and conducting internal audits as required.</w:t>
      </w:r>
    </w:p>
    <w:p>
      <w:pPr>
        <w:pStyle w:val="ListParagraph"/>
        <w:numPr>
          <w:ilvl w:val="0"/>
          <w:numId w:val="2"/>
        </w:numPr>
        <w:spacing w:before="0" w:after="80"/>
        <w:rPr>
          <w:rFonts w:ascii="Arial" w:hAnsi="Arial" w:cs="Arial"/>
          <w:color w:val="auto"/>
        </w:rPr>
      </w:pPr>
      <w:r>
        <w:rPr>
          <w:rFonts w:cs="Arial" w:ascii="Arial" w:hAnsi="Arial"/>
          <w:color w:val="auto"/>
        </w:rPr>
        <w:t>Ensuring compliance with the Health and Safety at Work Act 1974 and subsequent legislation.</w:t>
      </w:r>
    </w:p>
    <w:p>
      <w:pPr>
        <w:pStyle w:val="ListParagraph"/>
        <w:numPr>
          <w:ilvl w:val="0"/>
          <w:numId w:val="2"/>
        </w:numPr>
        <w:spacing w:before="0" w:after="80"/>
        <w:rPr>
          <w:rFonts w:ascii="Arial" w:hAnsi="Arial" w:cs="Arial"/>
          <w:color w:val="auto"/>
        </w:rPr>
      </w:pPr>
      <w:r>
        <w:rPr>
          <w:rFonts w:cs="Arial" w:ascii="Arial" w:hAnsi="Arial"/>
          <w:color w:val="auto"/>
        </w:rPr>
        <w:t>Managing risks proactively, including risk assessments and incident reporting.</w:t>
      </w:r>
    </w:p>
    <w:p>
      <w:pPr>
        <w:pStyle w:val="ListParagraph"/>
        <w:numPr>
          <w:ilvl w:val="0"/>
          <w:numId w:val="2"/>
        </w:numPr>
        <w:spacing w:before="0" w:after="80"/>
        <w:rPr>
          <w:rFonts w:ascii="Arial" w:hAnsi="Arial" w:cs="Arial"/>
          <w:color w:val="auto"/>
        </w:rPr>
      </w:pPr>
      <w:r>
        <w:rPr>
          <w:rFonts w:cs="Arial" w:ascii="Arial" w:hAnsi="Arial"/>
          <w:color w:val="auto"/>
        </w:rPr>
        <w:t>Ensuring all information processed for clients and staff is accurate, confidential, secure, and compliant with GDPR and data protection legislation.</w:t>
      </w:r>
    </w:p>
    <w:p>
      <w:pPr>
        <w:pStyle w:val="Heading1"/>
        <w:rPr>
          <w:rFonts w:ascii="Arial" w:hAnsi="Arial" w:cs="Arial"/>
          <w:color w:val="auto"/>
        </w:rPr>
      </w:pPr>
      <w:r>
        <w:rPr>
          <w:rFonts w:cs="Arial" w:ascii="Arial" w:hAnsi="Arial"/>
          <w:color w:val="auto"/>
        </w:rPr>
        <w:t>Organisational Responsibilities</w:t>
      </w:r>
    </w:p>
    <w:p>
      <w:pPr>
        <w:pStyle w:val="Normal"/>
        <w:rPr>
          <w:rFonts w:ascii="Arial" w:hAnsi="Arial" w:cs="Arial"/>
          <w:color w:val="auto"/>
        </w:rPr>
      </w:pPr>
      <w:r>
        <w:rPr>
          <w:rFonts w:cs="Arial" w:ascii="Arial" w:hAnsi="Arial"/>
          <w:color w:val="auto"/>
        </w:rPr>
        <w:t>All members of the organisation are expected to contribute to these shared responsibilities:</w:t>
      </w:r>
    </w:p>
    <w:p>
      <w:pPr>
        <w:pStyle w:val="ListParagraph"/>
        <w:numPr>
          <w:ilvl w:val="0"/>
          <w:numId w:val="2"/>
        </w:numPr>
        <w:spacing w:before="0" w:after="80"/>
        <w:rPr>
          <w:rFonts w:ascii="Arial" w:hAnsi="Arial" w:cs="Arial"/>
          <w:color w:val="auto"/>
        </w:rPr>
      </w:pPr>
      <w:r>
        <w:rPr>
          <w:rFonts w:cs="Arial" w:ascii="Arial" w:hAnsi="Arial"/>
          <w:color w:val="auto"/>
        </w:rPr>
        <w:t>Financial management: Contributing to business sustainability by ensuring services are delivered on time and within budget.</w:t>
      </w:r>
    </w:p>
    <w:p>
      <w:pPr>
        <w:pStyle w:val="ListParagraph"/>
        <w:numPr>
          <w:ilvl w:val="0"/>
          <w:numId w:val="2"/>
        </w:numPr>
        <w:spacing w:before="0" w:after="80"/>
        <w:rPr>
          <w:rFonts w:ascii="Arial" w:hAnsi="Arial" w:cs="Arial"/>
          <w:color w:val="auto"/>
        </w:rPr>
      </w:pPr>
      <w:r>
        <w:rPr>
          <w:rFonts w:cs="Arial" w:ascii="Arial" w:hAnsi="Arial"/>
          <w:color w:val="auto"/>
        </w:rPr>
        <w:t>Equality and diversity: Promoting a society that gives everyone an equal chance to learn, work, and live free from discrimination.</w:t>
      </w:r>
    </w:p>
    <w:p>
      <w:pPr>
        <w:pStyle w:val="ListParagraph"/>
        <w:numPr>
          <w:ilvl w:val="0"/>
          <w:numId w:val="2"/>
        </w:numPr>
        <w:spacing w:before="0" w:after="80"/>
        <w:rPr>
          <w:rFonts w:ascii="Arial" w:hAnsi="Arial" w:cs="Arial"/>
          <w:color w:val="auto"/>
        </w:rPr>
      </w:pPr>
      <w:r>
        <w:rPr>
          <w:rFonts w:cs="Arial" w:ascii="Arial" w:hAnsi="Arial"/>
          <w:color w:val="auto"/>
        </w:rPr>
        <w:t>Leadership: Taking responsibility for fulfilling duties to the highest standard and contributing to continuous learning and improvement.</w:t>
      </w:r>
    </w:p>
    <w:p>
      <w:pPr>
        <w:pStyle w:val="ListParagraph"/>
        <w:numPr>
          <w:ilvl w:val="0"/>
          <w:numId w:val="2"/>
        </w:numPr>
        <w:spacing w:before="0" w:after="80"/>
        <w:rPr>
          <w:rFonts w:ascii="Arial" w:hAnsi="Arial" w:cs="Arial"/>
          <w:color w:val="auto"/>
        </w:rPr>
      </w:pPr>
      <w:r>
        <w:rPr>
          <w:rFonts w:cs="Arial" w:ascii="Arial" w:hAnsi="Arial"/>
          <w:color w:val="auto"/>
        </w:rPr>
        <w:t>Confidentiality: Protecting personal and confidential information in line with organisational data protection policies.</w:t>
      </w:r>
    </w:p>
    <w:p>
      <w:pPr>
        <w:pStyle w:val="ListParagraph"/>
        <w:numPr>
          <w:ilvl w:val="0"/>
          <w:numId w:val="2"/>
        </w:numPr>
        <w:spacing w:before="0" w:after="80"/>
        <w:rPr>
          <w:rFonts w:ascii="Arial" w:hAnsi="Arial" w:cs="Arial"/>
          <w:color w:val="auto"/>
        </w:rPr>
      </w:pPr>
      <w:r>
        <w:rPr>
          <w:rFonts w:cs="Arial" w:ascii="Arial" w:hAnsi="Arial"/>
          <w:color w:val="auto"/>
        </w:rPr>
        <w:t>Climate change: Considering and limiting the carbon impact of work activities wherever possible.</w:t>
      </w:r>
    </w:p>
    <w:p>
      <w:pPr>
        <w:pStyle w:val="ListParagraph"/>
        <w:numPr>
          <w:ilvl w:val="0"/>
          <w:numId w:val="2"/>
        </w:numPr>
        <w:spacing w:before="0" w:after="80"/>
        <w:rPr>
          <w:rFonts w:ascii="Arial" w:hAnsi="Arial" w:cs="Arial"/>
          <w:color w:val="auto"/>
        </w:rPr>
      </w:pPr>
      <w:r>
        <w:rPr>
          <w:rFonts w:cs="Arial" w:ascii="Arial" w:hAnsi="Arial"/>
          <w:color w:val="auto"/>
        </w:rPr>
        <w:t>Health, safety and wellbeing: Taking responsibility in accordance with organisational policy and procedures.</w:t>
      </w:r>
    </w:p>
    <w:p>
      <w:pPr>
        <w:pStyle w:val="Heading1"/>
        <w:rPr>
          <w:rFonts w:ascii="Arial" w:hAnsi="Arial" w:cs="Arial"/>
          <w:color w:val="auto"/>
        </w:rPr>
      </w:pPr>
      <w:r>
        <w:rPr>
          <w:rFonts w:cs="Arial" w:ascii="Arial" w:hAnsi="Arial"/>
          <w:color w:val="auto"/>
        </w:rPr>
        <w:t>Person Specification</w:t>
      </w:r>
    </w:p>
    <w:p>
      <w:pPr>
        <w:pStyle w:val="Normal"/>
        <w:rPr>
          <w:rFonts w:ascii="Arial" w:hAnsi="Arial" w:cs="Arial"/>
          <w:color w:val="auto"/>
        </w:rPr>
      </w:pPr>
      <w:r>
        <w:rPr>
          <w:rFonts w:cs="Arial" w:ascii="Arial" w:hAnsi="Arial"/>
          <w:color w:val="auto"/>
        </w:rPr>
        <w:t>The criteria below will be used for shortlisting and interview. Essential criteria must be evidenced in your application. Desirable criteria strengthen your candidacy but are not required.</w:t>
      </w:r>
    </w:p>
    <w:p>
      <w:pPr>
        <w:pStyle w:val="Heading2"/>
        <w:rPr>
          <w:rFonts w:ascii="Arial" w:hAnsi="Arial" w:cs="Arial"/>
          <w:color w:val="auto"/>
        </w:rPr>
      </w:pPr>
      <w:r>
        <w:rPr>
          <w:rFonts w:cs="Arial" w:ascii="Arial" w:hAnsi="Arial"/>
          <w:color w:val="auto"/>
        </w:rPr>
        <w:t>Qualifications</w:t>
      </w:r>
    </w:p>
    <w:p>
      <w:pPr>
        <w:pStyle w:val="Normal"/>
        <w:spacing w:before="0" w:after="80"/>
        <w:rPr>
          <w:rFonts w:ascii="Arial" w:hAnsi="Arial" w:cs="Arial"/>
          <w:b/>
          <w:b/>
          <w:bCs/>
          <w:color w:val="auto"/>
        </w:rPr>
      </w:pPr>
      <w:r>
        <w:rPr>
          <w:rFonts w:cs="Arial" w:ascii="Arial" w:hAnsi="Arial"/>
          <w:b/>
          <w:bCs/>
          <w:color w:val="auto"/>
        </w:rPr>
        <w:t>Essential</w:t>
      </w:r>
    </w:p>
    <w:p>
      <w:pPr>
        <w:pStyle w:val="ListParagraph"/>
        <w:numPr>
          <w:ilvl w:val="0"/>
          <w:numId w:val="2"/>
        </w:numPr>
        <w:spacing w:before="0" w:after="80"/>
        <w:rPr>
          <w:rFonts w:ascii="Arial" w:hAnsi="Arial" w:cs="Arial"/>
          <w:color w:val="auto"/>
        </w:rPr>
      </w:pPr>
      <w:r>
        <w:rPr>
          <w:rFonts w:cs="Arial" w:ascii="Arial" w:hAnsi="Arial"/>
          <w:color w:val="auto"/>
        </w:rPr>
        <w:t>A degree or equivalent professional experience.</w:t>
      </w:r>
    </w:p>
    <w:p>
      <w:pPr>
        <w:pStyle w:val="ListParagraph"/>
        <w:numPr>
          <w:ilvl w:val="0"/>
          <w:numId w:val="2"/>
        </w:numPr>
        <w:spacing w:before="0" w:after="80"/>
        <w:rPr>
          <w:rFonts w:ascii="Arial" w:hAnsi="Arial" w:cs="Arial"/>
          <w:color w:val="auto"/>
        </w:rPr>
      </w:pPr>
      <w:r>
        <w:rPr>
          <w:rFonts w:cs="Arial" w:ascii="Arial" w:hAnsi="Arial"/>
          <w:color w:val="auto"/>
        </w:rPr>
        <w:t>A recognised qualification in at least one of: Human Resources, Business Management, Governance, or Health and Safety.</w:t>
      </w:r>
    </w:p>
    <w:p>
      <w:pPr>
        <w:pStyle w:val="ListParagraph"/>
        <w:numPr>
          <w:ilvl w:val="0"/>
          <w:numId w:val="2"/>
        </w:numPr>
        <w:spacing w:before="0" w:after="80"/>
        <w:rPr>
          <w:rFonts w:ascii="Arial" w:hAnsi="Arial" w:cs="Arial"/>
          <w:color w:val="auto"/>
        </w:rPr>
      </w:pPr>
      <w:r>
        <w:rPr>
          <w:rFonts w:cs="Arial" w:ascii="Arial" w:hAnsi="Arial"/>
          <w:color w:val="auto"/>
        </w:rPr>
        <w:t>Evidence of continuing professional development relevant to the role.</w:t>
      </w:r>
    </w:p>
    <w:p>
      <w:pPr>
        <w:pStyle w:val="Normal"/>
        <w:spacing w:before="120" w:after="80"/>
        <w:rPr>
          <w:rFonts w:ascii="Arial" w:hAnsi="Arial" w:cs="Arial"/>
          <w:b/>
          <w:b/>
          <w:bCs/>
          <w:color w:val="auto"/>
        </w:rPr>
      </w:pPr>
      <w:r>
        <w:rPr>
          <w:rFonts w:cs="Arial" w:ascii="Arial" w:hAnsi="Arial"/>
          <w:b/>
          <w:bCs/>
          <w:color w:val="auto"/>
        </w:rPr>
        <w:t>Desirable</w:t>
      </w:r>
    </w:p>
    <w:p>
      <w:pPr>
        <w:pStyle w:val="ListParagraph"/>
        <w:numPr>
          <w:ilvl w:val="0"/>
          <w:numId w:val="2"/>
        </w:numPr>
        <w:spacing w:before="0" w:after="80"/>
        <w:rPr>
          <w:rFonts w:ascii="Arial" w:hAnsi="Arial" w:cs="Arial"/>
          <w:color w:val="auto"/>
        </w:rPr>
      </w:pPr>
      <w:r>
        <w:rPr>
          <w:rFonts w:cs="Arial" w:ascii="Arial" w:hAnsi="Arial"/>
          <w:color w:val="auto"/>
        </w:rPr>
        <w:t>A leadership or management qualification (e.g. ILM, CMI), or a commitment to obtain one within 12 months of appointment.</w:t>
      </w:r>
    </w:p>
    <w:p>
      <w:pPr>
        <w:pStyle w:val="Heading2"/>
        <w:rPr>
          <w:rFonts w:ascii="Arial" w:hAnsi="Arial" w:cs="Arial"/>
          <w:color w:val="auto"/>
        </w:rPr>
      </w:pPr>
      <w:r>
        <w:rPr>
          <w:rFonts w:cs="Arial" w:ascii="Arial" w:hAnsi="Arial"/>
          <w:color w:val="auto"/>
        </w:rPr>
        <w:t>Experience</w:t>
      </w:r>
    </w:p>
    <w:p>
      <w:pPr>
        <w:pStyle w:val="Normal"/>
        <w:spacing w:before="0" w:after="80"/>
        <w:rPr>
          <w:rFonts w:ascii="Arial" w:hAnsi="Arial" w:cs="Arial"/>
          <w:b/>
          <w:b/>
          <w:bCs/>
          <w:color w:val="auto"/>
        </w:rPr>
      </w:pPr>
      <w:r>
        <w:rPr>
          <w:rFonts w:cs="Arial" w:ascii="Arial" w:hAnsi="Arial"/>
          <w:b/>
          <w:bCs/>
          <w:color w:val="auto"/>
        </w:rPr>
        <w:t>Essential</w:t>
      </w:r>
    </w:p>
    <w:p>
      <w:pPr>
        <w:pStyle w:val="ListParagraph"/>
        <w:numPr>
          <w:ilvl w:val="0"/>
          <w:numId w:val="2"/>
        </w:numPr>
        <w:spacing w:before="0" w:after="80"/>
        <w:rPr>
          <w:rFonts w:ascii="Arial" w:hAnsi="Arial" w:cs="Arial"/>
          <w:color w:val="auto"/>
        </w:rPr>
      </w:pPr>
      <w:r>
        <w:rPr>
          <w:rFonts w:cs="Arial" w:ascii="Arial" w:hAnsi="Arial"/>
          <w:color w:val="auto"/>
        </w:rPr>
        <w:t>A relevant professional background in either HR or finance.</w:t>
      </w:r>
    </w:p>
    <w:p>
      <w:pPr>
        <w:pStyle w:val="ListParagraph"/>
        <w:numPr>
          <w:ilvl w:val="0"/>
          <w:numId w:val="2"/>
        </w:numPr>
        <w:spacing w:before="0" w:after="80"/>
        <w:rPr>
          <w:rFonts w:ascii="Arial" w:hAnsi="Arial" w:cs="Arial"/>
          <w:color w:val="auto"/>
        </w:rPr>
      </w:pPr>
      <w:r>
        <w:rPr>
          <w:rFonts w:cs="Arial" w:ascii="Arial" w:hAnsi="Arial"/>
          <w:color w:val="auto"/>
        </w:rPr>
        <w:t>Experience working at a senior level within an organisation, with accountability for operational outcomes.</w:t>
      </w:r>
    </w:p>
    <w:p>
      <w:pPr>
        <w:pStyle w:val="ListParagraph"/>
        <w:numPr>
          <w:ilvl w:val="0"/>
          <w:numId w:val="2"/>
        </w:numPr>
        <w:spacing w:before="0" w:after="80"/>
        <w:rPr>
          <w:rFonts w:ascii="Arial" w:hAnsi="Arial" w:cs="Arial"/>
          <w:color w:val="auto"/>
        </w:rPr>
      </w:pPr>
      <w:r>
        <w:rPr>
          <w:rFonts w:cs="Arial" w:ascii="Arial" w:hAnsi="Arial"/>
          <w:color w:val="auto"/>
        </w:rPr>
        <w:t>Line management experience including supervision, development planning, and managing HR matters.</w:t>
      </w:r>
    </w:p>
    <w:p>
      <w:pPr>
        <w:pStyle w:val="ListParagraph"/>
        <w:numPr>
          <w:ilvl w:val="0"/>
          <w:numId w:val="2"/>
        </w:numPr>
        <w:spacing w:before="0" w:after="80"/>
        <w:rPr>
          <w:rFonts w:ascii="Arial" w:hAnsi="Arial" w:cs="Arial"/>
          <w:color w:val="auto"/>
        </w:rPr>
      </w:pPr>
      <w:r>
        <w:rPr>
          <w:rFonts w:cs="Arial" w:ascii="Arial" w:hAnsi="Arial"/>
          <w:color w:val="auto"/>
        </w:rPr>
        <w:t>Experience contributing to service development, innovation, or organisational change.</w:t>
      </w:r>
    </w:p>
    <w:p>
      <w:pPr>
        <w:pStyle w:val="ListParagraph"/>
        <w:numPr>
          <w:ilvl w:val="0"/>
          <w:numId w:val="2"/>
        </w:numPr>
        <w:spacing w:before="0" w:after="80"/>
        <w:rPr>
          <w:rFonts w:ascii="Arial" w:hAnsi="Arial" w:cs="Arial"/>
          <w:color w:val="auto"/>
        </w:rPr>
      </w:pPr>
      <w:r>
        <w:rPr>
          <w:rFonts w:cs="Arial" w:ascii="Arial" w:hAnsi="Arial"/>
          <w:color w:val="auto"/>
        </w:rPr>
        <w:t>Experience writing reports, policies, procedures, and business cases for a range of audiences.</w:t>
      </w:r>
    </w:p>
    <w:p>
      <w:pPr>
        <w:pStyle w:val="Normal"/>
        <w:spacing w:before="120" w:after="80"/>
        <w:rPr>
          <w:rFonts w:ascii="Arial" w:hAnsi="Arial" w:cs="Arial"/>
          <w:b/>
          <w:b/>
          <w:bCs/>
          <w:color w:val="auto"/>
        </w:rPr>
      </w:pPr>
      <w:r>
        <w:rPr>
          <w:rFonts w:cs="Arial" w:ascii="Arial" w:hAnsi="Arial"/>
          <w:b/>
          <w:bCs/>
          <w:color w:val="auto"/>
        </w:rPr>
        <w:t>Desirable</w:t>
      </w:r>
    </w:p>
    <w:p>
      <w:pPr>
        <w:pStyle w:val="ListParagraph"/>
        <w:numPr>
          <w:ilvl w:val="0"/>
          <w:numId w:val="2"/>
        </w:numPr>
        <w:spacing w:before="0" w:after="80"/>
        <w:rPr>
          <w:rFonts w:ascii="Arial" w:hAnsi="Arial" w:cs="Arial"/>
          <w:color w:val="auto"/>
        </w:rPr>
      </w:pPr>
      <w:r>
        <w:rPr>
          <w:rFonts w:cs="Arial" w:ascii="Arial" w:hAnsi="Arial"/>
          <w:color w:val="auto"/>
        </w:rPr>
        <w:t>Experience managing budgets at an organisational level.</w:t>
      </w:r>
    </w:p>
    <w:p>
      <w:pPr>
        <w:pStyle w:val="ListParagraph"/>
        <w:numPr>
          <w:ilvl w:val="0"/>
          <w:numId w:val="2"/>
        </w:numPr>
        <w:spacing w:before="0" w:after="80"/>
        <w:rPr>
          <w:rFonts w:ascii="Arial" w:hAnsi="Arial" w:cs="Arial"/>
          <w:color w:val="auto"/>
        </w:rPr>
      </w:pPr>
      <w:r>
        <w:rPr>
          <w:rFonts w:cs="Arial" w:ascii="Arial" w:hAnsi="Arial"/>
          <w:color w:val="auto"/>
        </w:rPr>
        <w:t>Experience leading on health and safety policy and compliance.</w:t>
      </w:r>
    </w:p>
    <w:p>
      <w:pPr>
        <w:pStyle w:val="ListParagraph"/>
        <w:numPr>
          <w:ilvl w:val="0"/>
          <w:numId w:val="2"/>
        </w:numPr>
        <w:spacing w:before="0" w:after="80"/>
        <w:rPr>
          <w:rFonts w:ascii="Arial" w:hAnsi="Arial" w:cs="Arial"/>
          <w:color w:val="auto"/>
        </w:rPr>
      </w:pPr>
      <w:r>
        <w:rPr>
          <w:rFonts w:cs="Arial" w:ascii="Arial" w:hAnsi="Arial"/>
          <w:color w:val="auto"/>
        </w:rPr>
        <w:t>Experience using financial software (e.g. QuickBooks or equivalent).</w:t>
      </w:r>
    </w:p>
    <w:p>
      <w:pPr>
        <w:pStyle w:val="Heading2"/>
        <w:rPr>
          <w:rFonts w:ascii="Arial" w:hAnsi="Arial" w:cs="Arial"/>
          <w:color w:val="auto"/>
        </w:rPr>
      </w:pPr>
      <w:r>
        <w:rPr>
          <w:rFonts w:cs="Arial" w:ascii="Arial" w:hAnsi="Arial"/>
          <w:color w:val="auto"/>
        </w:rPr>
        <w:t>Knowledge &amp; Skills</w:t>
      </w:r>
    </w:p>
    <w:p>
      <w:pPr>
        <w:pStyle w:val="Normal"/>
        <w:spacing w:before="0" w:after="80"/>
        <w:rPr>
          <w:rFonts w:ascii="Arial" w:hAnsi="Arial" w:cs="Arial"/>
          <w:b/>
          <w:b/>
          <w:bCs/>
          <w:color w:val="auto"/>
        </w:rPr>
      </w:pPr>
      <w:r>
        <w:rPr>
          <w:rFonts w:cs="Arial" w:ascii="Arial" w:hAnsi="Arial"/>
          <w:b/>
          <w:bCs/>
          <w:color w:val="auto"/>
        </w:rPr>
        <w:t>Essential</w:t>
      </w:r>
    </w:p>
    <w:p>
      <w:pPr>
        <w:pStyle w:val="ListParagraph"/>
        <w:numPr>
          <w:ilvl w:val="0"/>
          <w:numId w:val="2"/>
        </w:numPr>
        <w:spacing w:before="0" w:after="80"/>
        <w:rPr>
          <w:rFonts w:ascii="Arial" w:hAnsi="Arial" w:cs="Arial"/>
          <w:color w:val="auto"/>
        </w:rPr>
      </w:pPr>
      <w:r>
        <w:rPr>
          <w:rFonts w:cs="Arial" w:ascii="Arial" w:hAnsi="Arial"/>
          <w:color w:val="auto"/>
        </w:rPr>
        <w:t>Strategic thinking: ability to connect operational activity to organisational objectives.</w:t>
      </w:r>
    </w:p>
    <w:p>
      <w:pPr>
        <w:pStyle w:val="ListParagraph"/>
        <w:numPr>
          <w:ilvl w:val="0"/>
          <w:numId w:val="2"/>
        </w:numPr>
        <w:spacing w:before="0" w:after="80"/>
        <w:rPr>
          <w:rFonts w:ascii="Arial" w:hAnsi="Arial" w:cs="Arial"/>
          <w:color w:val="auto"/>
        </w:rPr>
      </w:pPr>
      <w:r>
        <w:rPr>
          <w:rFonts w:cs="Arial" w:ascii="Arial" w:hAnsi="Arial"/>
          <w:color w:val="auto"/>
        </w:rPr>
        <w:t>Financial literacy: budgeting, forecasting, and financial reporting.</w:t>
      </w:r>
    </w:p>
    <w:p>
      <w:pPr>
        <w:pStyle w:val="ListParagraph"/>
        <w:numPr>
          <w:ilvl w:val="0"/>
          <w:numId w:val="2"/>
        </w:numPr>
        <w:spacing w:before="0" w:after="80"/>
        <w:rPr>
          <w:rFonts w:ascii="Arial" w:hAnsi="Arial" w:cs="Arial"/>
          <w:color w:val="auto"/>
        </w:rPr>
      </w:pPr>
      <w:r>
        <w:rPr>
          <w:rFonts w:cs="Arial" w:ascii="Arial" w:hAnsi="Arial"/>
          <w:color w:val="auto"/>
        </w:rPr>
        <w:t>Strong written and verbal communication, including report-writing for Board-level audiences.</w:t>
      </w:r>
    </w:p>
    <w:p>
      <w:pPr>
        <w:pStyle w:val="ListParagraph"/>
        <w:numPr>
          <w:ilvl w:val="0"/>
          <w:numId w:val="2"/>
        </w:numPr>
        <w:spacing w:before="0" w:after="80"/>
        <w:rPr>
          <w:rFonts w:ascii="Arial" w:hAnsi="Arial" w:cs="Arial"/>
          <w:color w:val="auto"/>
        </w:rPr>
      </w:pPr>
      <w:r>
        <w:rPr>
          <w:rFonts w:cs="Arial" w:ascii="Arial" w:hAnsi="Arial"/>
          <w:color w:val="auto"/>
        </w:rPr>
        <w:t>Analytical skills: ability to interpret data, identify trends, and make evidence-based recommendations.</w:t>
      </w:r>
    </w:p>
    <w:p>
      <w:pPr>
        <w:pStyle w:val="ListParagraph"/>
        <w:numPr>
          <w:ilvl w:val="0"/>
          <w:numId w:val="2"/>
        </w:numPr>
        <w:spacing w:before="0" w:after="80"/>
        <w:rPr>
          <w:rFonts w:ascii="Arial" w:hAnsi="Arial" w:cs="Arial"/>
          <w:color w:val="auto"/>
        </w:rPr>
      </w:pPr>
      <w:r>
        <w:rPr>
          <w:rFonts w:cs="Arial" w:ascii="Arial" w:hAnsi="Arial"/>
          <w:color w:val="auto"/>
        </w:rPr>
        <w:t>Collaborative approach: building consensus and working effectively across functions.</w:t>
      </w:r>
    </w:p>
    <w:p>
      <w:pPr>
        <w:pStyle w:val="ListParagraph"/>
        <w:numPr>
          <w:ilvl w:val="0"/>
          <w:numId w:val="2"/>
        </w:numPr>
        <w:spacing w:before="0" w:after="80"/>
        <w:rPr>
          <w:rFonts w:ascii="Arial" w:hAnsi="Arial" w:cs="Arial"/>
          <w:color w:val="auto"/>
        </w:rPr>
      </w:pPr>
      <w:r>
        <w:rPr>
          <w:rFonts w:cs="Arial" w:ascii="Arial" w:hAnsi="Arial"/>
          <w:color w:val="auto"/>
        </w:rPr>
        <w:t>IT proficiency: confident with system setup, data analysis, and advanced Excel.</w:t>
      </w:r>
    </w:p>
    <w:p>
      <w:pPr>
        <w:pStyle w:val="ListParagraph"/>
        <w:numPr>
          <w:ilvl w:val="0"/>
          <w:numId w:val="2"/>
        </w:numPr>
        <w:spacing w:before="0" w:after="80"/>
        <w:rPr>
          <w:rFonts w:ascii="Arial" w:hAnsi="Arial" w:cs="Arial"/>
          <w:color w:val="auto"/>
        </w:rPr>
      </w:pPr>
      <w:r>
        <w:rPr>
          <w:rFonts w:cs="Arial" w:ascii="Arial" w:hAnsi="Arial"/>
          <w:color w:val="auto"/>
        </w:rPr>
        <w:t>Understanding and application of one or more of:</w:t>
      </w:r>
    </w:p>
    <w:p>
      <w:pPr>
        <w:pStyle w:val="ListParagraph"/>
        <w:numPr>
          <w:ilvl w:val="1"/>
          <w:numId w:val="2"/>
        </w:numPr>
        <w:spacing w:before="0" w:after="80"/>
        <w:rPr>
          <w:rFonts w:ascii="Arial" w:hAnsi="Arial" w:cs="Arial"/>
          <w:color w:val="auto"/>
        </w:rPr>
      </w:pPr>
      <w:r>
        <w:rPr>
          <w:rFonts w:cs="Arial" w:ascii="Arial" w:hAnsi="Arial"/>
          <w:color w:val="auto"/>
        </w:rPr>
        <w:t>employment law and HR best practice</w:t>
      </w:r>
    </w:p>
    <w:p>
      <w:pPr>
        <w:pStyle w:val="ListParagraph"/>
        <w:numPr>
          <w:ilvl w:val="1"/>
          <w:numId w:val="2"/>
        </w:numPr>
        <w:spacing w:before="0" w:after="80"/>
        <w:rPr>
          <w:rFonts w:ascii="Arial" w:hAnsi="Arial" w:cs="Arial"/>
          <w:color w:val="auto"/>
        </w:rPr>
      </w:pPr>
      <w:r>
        <w:rPr>
          <w:rFonts w:cs="Arial" w:ascii="Arial" w:hAnsi="Arial"/>
          <w:color w:val="auto"/>
        </w:rPr>
        <w:t>health and safety legislation in a workplace context</w:t>
      </w:r>
    </w:p>
    <w:p>
      <w:pPr>
        <w:pStyle w:val="ListParagraph"/>
        <w:numPr>
          <w:ilvl w:val="1"/>
          <w:numId w:val="2"/>
        </w:numPr>
        <w:spacing w:before="0" w:after="80"/>
        <w:rPr>
          <w:rFonts w:ascii="Arial" w:hAnsi="Arial" w:cs="Arial"/>
          <w:color w:val="auto"/>
        </w:rPr>
      </w:pPr>
      <w:r>
        <w:rPr>
          <w:rFonts w:cs="Arial" w:ascii="Arial" w:hAnsi="Arial"/>
          <w:color w:val="auto"/>
        </w:rPr>
        <w:t>data protection, GDPR, and information governance</w:t>
      </w:r>
    </w:p>
    <w:p>
      <w:pPr>
        <w:pStyle w:val="ListParagraph"/>
        <w:numPr>
          <w:ilvl w:val="0"/>
          <w:numId w:val="2"/>
        </w:numPr>
        <w:spacing w:before="0" w:after="80"/>
        <w:rPr>
          <w:rFonts w:ascii="Arial" w:hAnsi="Arial" w:cs="Arial"/>
          <w:color w:val="auto"/>
        </w:rPr>
      </w:pPr>
      <w:r>
        <w:rPr>
          <w:rFonts w:cs="Arial" w:ascii="Arial" w:hAnsi="Arial"/>
          <w:color w:val="auto"/>
        </w:rPr>
        <w:t>Commitment to undertake all mandatory training within required timelines.</w:t>
      </w:r>
    </w:p>
    <w:p>
      <w:pPr>
        <w:pStyle w:val="Normal"/>
        <w:spacing w:before="120" w:after="80"/>
        <w:rPr>
          <w:rFonts w:ascii="Arial" w:hAnsi="Arial" w:cs="Arial"/>
          <w:b/>
          <w:b/>
          <w:bCs/>
          <w:color w:val="auto"/>
        </w:rPr>
      </w:pPr>
      <w:r>
        <w:rPr>
          <w:rFonts w:cs="Arial" w:ascii="Arial" w:hAnsi="Arial"/>
          <w:b/>
          <w:bCs/>
          <w:color w:val="auto"/>
        </w:rPr>
        <w:t>Desirable</w:t>
      </w:r>
    </w:p>
    <w:p>
      <w:pPr>
        <w:pStyle w:val="ListParagraph"/>
        <w:numPr>
          <w:ilvl w:val="0"/>
          <w:numId w:val="2"/>
        </w:numPr>
        <w:spacing w:before="0" w:after="80"/>
        <w:rPr>
          <w:rFonts w:ascii="Arial" w:hAnsi="Arial" w:cs="Arial"/>
          <w:color w:val="auto"/>
        </w:rPr>
      </w:pPr>
      <w:r>
        <w:rPr>
          <w:rFonts w:cs="Arial" w:ascii="Arial" w:hAnsi="Arial"/>
          <w:color w:val="auto"/>
        </w:rPr>
        <w:t>Influencing skills and political awareness within a multi-stakeholder environment.</w:t>
      </w:r>
    </w:p>
    <w:p>
      <w:pPr>
        <w:pStyle w:val="ListParagraph"/>
        <w:numPr>
          <w:ilvl w:val="0"/>
          <w:numId w:val="2"/>
        </w:numPr>
        <w:spacing w:before="0" w:after="80"/>
        <w:rPr>
          <w:rFonts w:ascii="Arial" w:hAnsi="Arial" w:cs="Arial"/>
          <w:color w:val="auto"/>
        </w:rPr>
      </w:pPr>
      <w:r>
        <w:rPr>
          <w:rFonts w:cs="Arial" w:ascii="Arial" w:hAnsi="Arial"/>
          <w:color w:val="auto"/>
        </w:rPr>
        <w:t>Knowledge of government policy affecting the education and children's services sector.</w:t>
      </w:r>
    </w:p>
    <w:p>
      <w:pPr>
        <w:pStyle w:val="Heading1"/>
        <w:rPr>
          <w:rFonts w:ascii="Arial" w:hAnsi="Arial" w:cs="Arial"/>
          <w:color w:val="auto"/>
        </w:rPr>
      </w:pPr>
      <w:r>
        <w:rPr>
          <w:rFonts w:cs="Arial" w:ascii="Arial" w:hAnsi="Arial"/>
          <w:color w:val="auto"/>
        </w:rPr>
        <w:t>How to Apply</w:t>
      </w:r>
    </w:p>
    <w:p>
      <w:pPr>
        <w:pStyle w:val="Normal"/>
        <w:rPr>
          <w:rFonts w:ascii="Arial" w:hAnsi="Arial" w:cs="Arial"/>
          <w:color w:val="auto"/>
        </w:rPr>
      </w:pPr>
      <w:r>
        <w:rPr>
          <w:rFonts w:cs="Arial" w:ascii="Arial" w:hAnsi="Arial"/>
          <w:color w:val="auto"/>
        </w:rPr>
        <w:t>If you believe you meet the requirements for this role, please submit:</w:t>
      </w:r>
    </w:p>
    <w:p>
      <w:pPr>
        <w:pStyle w:val="ListParagraph"/>
        <w:numPr>
          <w:ilvl w:val="0"/>
          <w:numId w:val="2"/>
        </w:numPr>
        <w:spacing w:before="0" w:after="80"/>
        <w:rPr>
          <w:rFonts w:ascii="Arial" w:hAnsi="Arial" w:cs="Arial"/>
          <w:color w:val="auto"/>
        </w:rPr>
      </w:pPr>
      <w:r>
        <w:rPr>
          <w:rFonts w:cs="Arial" w:ascii="Arial" w:hAnsi="Arial"/>
          <w:color w:val="auto"/>
        </w:rPr>
        <w:t>Your CV (maximum 3 pages).</w:t>
      </w:r>
    </w:p>
    <w:p>
      <w:pPr>
        <w:pStyle w:val="ListParagraph"/>
        <w:numPr>
          <w:ilvl w:val="0"/>
          <w:numId w:val="2"/>
        </w:numPr>
        <w:spacing w:before="0" w:after="80"/>
        <w:rPr>
          <w:rFonts w:ascii="Arial" w:hAnsi="Arial" w:cs="Arial"/>
          <w:color w:val="auto"/>
        </w:rPr>
      </w:pPr>
      <w:r>
        <w:rPr>
          <w:rFonts w:cs="Arial" w:ascii="Arial" w:hAnsi="Arial"/>
          <w:color w:val="auto"/>
        </w:rPr>
        <w:t>A cover letter (maximum 2 pages) explaining how you meet the Essential criteria in the Person Specification.</w:t>
      </w:r>
    </w:p>
    <w:p>
      <w:pPr>
        <w:pStyle w:val="ListParagraph"/>
        <w:numPr>
          <w:ilvl w:val="0"/>
          <w:numId w:val="2"/>
        </w:numPr>
        <w:spacing w:before="0" w:after="80"/>
        <w:rPr>
          <w:rFonts w:ascii="Arial" w:hAnsi="Arial" w:cs="Arial"/>
          <w:color w:val="auto"/>
        </w:rPr>
      </w:pPr>
      <w:r>
        <w:rPr>
          <w:rFonts w:cs="Arial" w:ascii="Arial" w:hAnsi="Arial"/>
          <w:color w:val="auto"/>
        </w:rPr>
        <w:t>Names and contact details for 2 referees. References will be taken up after shortlisting and before interview in accordance with our safer recruitment policy.</w:t>
      </w:r>
    </w:p>
    <w:p>
      <w:pPr>
        <w:pStyle w:val="Normal"/>
        <w:spacing w:before="200" w:after="80"/>
        <w:rPr/>
      </w:pPr>
      <w:r>
        <w:rPr>
          <w:rFonts w:cs="Arial" w:ascii="Arial" w:hAnsi="Arial"/>
          <w:b/>
          <w:bCs/>
          <w:color w:val="auto"/>
        </w:rPr>
        <w:t xml:space="preserve">Closing date: </w:t>
      </w:r>
      <w:r>
        <w:rPr>
          <w:rFonts w:cs="Arial" w:ascii="Arial" w:hAnsi="Arial"/>
          <w:color w:val="auto"/>
        </w:rPr>
        <w:t>16th July 2026 (5pm)</w:t>
      </w:r>
    </w:p>
    <w:p>
      <w:pPr>
        <w:pStyle w:val="Normal"/>
        <w:spacing w:before="0" w:after="80"/>
        <w:rPr/>
      </w:pPr>
      <w:r>
        <w:rPr>
          <w:rFonts w:cs="Arial" w:ascii="Arial" w:hAnsi="Arial"/>
          <w:b/>
          <w:bCs/>
          <w:color w:val="auto"/>
        </w:rPr>
        <w:t xml:space="preserve">Send applications to: </w:t>
      </w:r>
      <w:r>
        <w:rPr>
          <w:rFonts w:cs="Arial" w:ascii="Arial" w:hAnsi="Arial"/>
          <w:color w:val="auto"/>
        </w:rPr>
        <w:t>teresa@catalystpsych.co.uk</w:t>
      </w:r>
    </w:p>
    <w:p>
      <w:pPr>
        <w:pStyle w:val="Normal"/>
        <w:spacing w:before="0" w:after="200"/>
        <w:rPr/>
      </w:pPr>
      <w:r>
        <w:rPr>
          <w:rFonts w:cs="Arial" w:ascii="Arial" w:hAnsi="Arial"/>
          <w:b/>
          <w:bCs/>
          <w:color w:val="auto"/>
        </w:rPr>
        <w:t xml:space="preserve">Questions before applying: </w:t>
      </w:r>
      <w:r>
        <w:rPr>
          <w:rFonts w:cs="Arial" w:ascii="Arial" w:hAnsi="Arial"/>
          <w:color w:val="auto"/>
        </w:rPr>
        <w:t>Contact Teresa Regan at the email above.</w:t>
      </w:r>
    </w:p>
    <w:p>
      <w:pPr>
        <w:pStyle w:val="Normal"/>
        <w:spacing w:before="200" w:after="120"/>
        <w:rPr/>
      </w:pPr>
      <w:r>
        <w:rPr>
          <w:rFonts w:cs="Arial" w:ascii="Arial" w:hAnsi="Arial"/>
          <w:b/>
          <w:bCs/>
          <w:color w:val="auto"/>
        </w:rPr>
        <w:t xml:space="preserve">Disclosure and Barring Service: </w:t>
      </w:r>
      <w:r>
        <w:rPr>
          <w:rFonts w:cs="Arial" w:ascii="Arial" w:hAnsi="Arial"/>
          <w:color w:val="auto"/>
        </w:rPr>
        <w:t>A standard (basic) check will be required.</w:t>
      </w:r>
    </w:p>
    <w:p>
      <w:pPr>
        <w:pStyle w:val="Normal"/>
        <w:spacing w:before="200" w:after="120"/>
        <w:rPr>
          <w:rFonts w:ascii="Arial" w:hAnsi="Arial" w:cs="Arial"/>
          <w:i/>
          <w:i/>
          <w:iCs/>
          <w:color w:val="auto"/>
        </w:rPr>
      </w:pPr>
      <w:r>
        <w:rPr>
          <w:rFonts w:cs="Arial" w:ascii="Arial" w:hAnsi="Arial"/>
          <w:i/>
          <w:iCs/>
          <w:color w:val="auto"/>
        </w:rPr>
        <w:t>Catalyst Psychology is committed to equality, diversity, and inclusion. We welcome applications from all sections of the community and are particularly keen to hear from candidates who share our commitment to social justice.</w:t>
      </w:r>
    </w:p>
    <w:sectPr>
      <w:headerReference w:type="default" r:id="rId2"/>
      <w:footerReference w:type="default" r:id="rId3"/>
      <w:type w:val="nextPage"/>
      <w:pgSz w:w="11906" w:h="16838"/>
      <w:pgMar w:left="1440" w:right="1440" w:header="708"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ymbol">
    <w:charset w:val="02"/>
    <w:family w:val="auto"/>
    <w:pitch w:val="default"/>
  </w:font>
  <w:font w:name="OpenSymbol">
    <w:altName w:val="Arial Unicode MS"/>
    <w:charset w:val="01"/>
    <w:family w:val="auto"/>
    <w:pitch w:val="default"/>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120"/>
      <w:jc w:val="center"/>
      <w:rPr/>
    </w:pPr>
    <w:r>
      <w:rPr>
        <w:color w:val="999999"/>
        <w:sz w:val="18"/>
        <w:szCs w:val="18"/>
      </w:rPr>
      <w:t xml:space="preserve">Page </w:t>
    </w:r>
    <w:r>
      <w:rPr>
        <w:color w:val="999999"/>
        <w:sz w:val="18"/>
        <w:szCs w:val="18"/>
      </w:rPr>
      <w:fldChar w:fldCharType="begin"/>
    </w:r>
    <w:r>
      <w:rPr>
        <w:sz w:val="18"/>
        <w:szCs w:val="18"/>
      </w:rPr>
      <w:instrText> PAGE </w:instrText>
    </w:r>
    <w:r>
      <w:rPr>
        <w:sz w:val="18"/>
        <w:szCs w:val="18"/>
      </w:rPr>
      <w:fldChar w:fldCharType="separate"/>
    </w:r>
    <w:r>
      <w:rPr>
        <w:sz w:val="18"/>
        <w:szCs w:val="18"/>
      </w:rPr>
      <w:t>6</w:t>
    </w:r>
    <w:r>
      <w:rPr>
        <w:sz w:val="18"/>
        <w:szCs w:val="18"/>
      </w:rPr>
      <w:fldChar w:fldCharType="end"/>
    </w:r>
    <w:r>
      <w:rPr>
        <w:color w:val="999999"/>
        <w:sz w:val="18"/>
        <w:szCs w:val="18"/>
      </w:rPr>
      <w:t xml:space="preserve"> of </w:t>
    </w:r>
    <w:r>
      <w:rPr>
        <w:color w:val="999999"/>
        <w:sz w:val="18"/>
        <w:szCs w:val="18"/>
      </w:rPr>
      <w:fldChar w:fldCharType="begin"/>
    </w:r>
    <w:r>
      <w:rPr>
        <w:sz w:val="18"/>
        <w:szCs w:val="18"/>
      </w:rPr>
      <w:instrText> NUMPAGES \* ARABIC </w:instrText>
    </w:r>
    <w:r>
      <w:rPr>
        <w:sz w:val="18"/>
        <w:szCs w:val="18"/>
      </w:rPr>
      <w:fldChar w:fldCharType="separate"/>
    </w:r>
    <w:r>
      <w:rPr>
        <w:sz w:val="18"/>
        <w:szCs w:val="18"/>
      </w:rPr>
      <w:t>6</w:t>
    </w:r>
    <w:r>
      <w:rPr>
        <w:sz w:val="18"/>
        <w:szCs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120"/>
      <w:jc w:val="right"/>
      <w:rPr>
        <w:i/>
        <w:i/>
        <w:iCs/>
        <w:color w:val="999999"/>
        <w:sz w:val="18"/>
        <w:szCs w:val="18"/>
      </w:rPr>
    </w:pPr>
    <w:r>
      <w:rPr>
        <w:i/>
        <w:iCs/>
        <w:color w:val="999999"/>
        <w:sz w:val="18"/>
        <w:szCs w:val="18"/>
      </w:rPr>
      <w:t>Catalyst Psychology CIC</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
      <w:lvlJc w:val="left"/>
      <w:pPr>
        <w:ind w:left="1440" w:hanging="360"/>
      </w:pPr>
      <w:rPr>
        <w:rFonts w:ascii="OpenSymbol" w:hAnsi="OpenSymbol" w:cs="OpenSymbol" w:hint="default"/>
        <w:rFonts w:cs="OpenSymbol;Arial Unicode MS"/>
      </w:rPr>
    </w:lvl>
    <w:lvl w:ilvl="2">
      <w:start w:val="1"/>
      <w:numFmt w:val="none"/>
      <w:suff w:val="nothing"/>
      <w:lvlText w:val=""/>
      <w:lvlJc w:val="left"/>
      <w:pPr>
        <w:ind w:left="0" w:hanging="0"/>
      </w:pPr>
      <w:rPr/>
    </w:lvl>
    <w:lvl w:ilvl="3">
      <w:start w:val="1"/>
      <w:numFmt w:val="none"/>
      <w:suff w:val="nothing"/>
      <w:lvlText w:val=""/>
      <w:lvlJc w:val="left"/>
      <w:pPr>
        <w:ind w:left="0" w:hanging="0"/>
      </w:pPr>
      <w:rPr/>
    </w:lvl>
    <w:lvl w:ilvl="4">
      <w:start w:val="1"/>
      <w:numFmt w:val="none"/>
      <w:suff w:val="nothing"/>
      <w:lvlText w:val=""/>
      <w:lvlJc w:val="left"/>
      <w:pPr>
        <w:ind w:left="0" w:hanging="0"/>
      </w:pPr>
      <w:rPr/>
    </w:lvl>
    <w:lvl w:ilvl="5">
      <w:start w:val="1"/>
      <w:numFmt w:val="none"/>
      <w:suff w:val="nothing"/>
      <w:lvlText w:val=""/>
      <w:lvlJc w:val="left"/>
      <w:pPr>
        <w:ind w:left="0" w:hanging="0"/>
      </w:pPr>
      <w:rPr/>
    </w:lvl>
    <w:lvl w:ilvl="6">
      <w:start w:val="1"/>
      <w:numFmt w:val="none"/>
      <w:suff w:val="nothing"/>
      <w:lvlText w:val=""/>
      <w:lvlJc w:val="left"/>
      <w:pPr>
        <w:ind w:left="0" w:hanging="0"/>
      </w:pPr>
      <w:rPr/>
    </w:lvl>
    <w:lvl w:ilvl="7">
      <w:start w:val="1"/>
      <w:numFmt w:val="none"/>
      <w:suff w:val="nothing"/>
      <w:lvlText w:val=""/>
      <w:lvlJc w:val="left"/>
      <w:pPr>
        <w:ind w:left="0" w:hanging="0"/>
      </w:pPr>
      <w:rPr/>
    </w:lvl>
    <w:lvl w:ilvl="8">
      <w:start w:val="1"/>
      <w:numFmt w:val="none"/>
      <w:suff w:val="nothing"/>
      <w:lvlText w:val=""/>
      <w:lvlJc w:val="left"/>
      <w:pPr>
        <w:ind w:left="0" w:hanging="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120"/>
      <w:jc w:val="left"/>
    </w:pPr>
    <w:rPr>
      <w:rFonts w:ascii="Calibri" w:hAnsi="Calibri" w:eastAsia="Calibri" w:cs="Calibri"/>
      <w:color w:val="333333"/>
      <w:kern w:val="0"/>
      <w:sz w:val="22"/>
      <w:szCs w:val="22"/>
      <w:lang w:val="en-GB" w:eastAsia="en-GB" w:bidi="ar-SA"/>
    </w:rPr>
  </w:style>
  <w:style w:type="paragraph" w:styleId="Heading1">
    <w:name w:val="Heading 1"/>
    <w:next w:val="TextBody"/>
    <w:qFormat/>
    <w:pPr>
      <w:widowControl/>
      <w:numPr>
        <w:ilvl w:val="0"/>
        <w:numId w:val="1"/>
      </w:numPr>
      <w:suppressAutoHyphens w:val="true"/>
      <w:bidi w:val="0"/>
      <w:spacing w:lineRule="auto" w:line="276" w:before="360" w:after="160"/>
      <w:jc w:val="left"/>
      <w:outlineLvl w:val="0"/>
    </w:pPr>
    <w:rPr>
      <w:rFonts w:ascii="Calibri" w:hAnsi="Calibri" w:eastAsia="Calibri" w:cs="Calibri"/>
      <w:b/>
      <w:bCs/>
      <w:color w:val="2E4057"/>
      <w:kern w:val="0"/>
      <w:sz w:val="28"/>
      <w:szCs w:val="28"/>
      <w:lang w:val="en-GB" w:eastAsia="en-GB" w:bidi="ar-SA"/>
    </w:rPr>
  </w:style>
  <w:style w:type="paragraph" w:styleId="Heading2">
    <w:name w:val="Heading 2"/>
    <w:next w:val="TextBody"/>
    <w:qFormat/>
    <w:pPr>
      <w:widowControl/>
      <w:numPr>
        <w:ilvl w:val="1"/>
        <w:numId w:val="1"/>
      </w:numPr>
      <w:suppressAutoHyphens w:val="true"/>
      <w:bidi w:val="0"/>
      <w:spacing w:lineRule="auto" w:line="276" w:before="240" w:after="120"/>
      <w:jc w:val="left"/>
      <w:outlineLvl w:val="1"/>
    </w:pPr>
    <w:rPr>
      <w:rFonts w:ascii="Calibri" w:hAnsi="Calibri" w:eastAsia="Calibri" w:cs="Calibri"/>
      <w:b/>
      <w:bCs/>
      <w:color w:val="4A90D9"/>
      <w:kern w:val="0"/>
      <w:sz w:val="24"/>
      <w:szCs w:val="24"/>
      <w:lang w:val="en-GB" w:eastAsia="en-GB" w:bidi="ar-SA"/>
    </w:rPr>
  </w:style>
  <w:style w:type="paragraph" w:styleId="Heading3">
    <w:name w:val="Heading 3"/>
    <w:next w:val="TextBody"/>
    <w:qFormat/>
    <w:pPr>
      <w:widowControl/>
      <w:numPr>
        <w:ilvl w:val="2"/>
        <w:numId w:val="1"/>
      </w:numPr>
      <w:suppressAutoHyphens w:val="true"/>
      <w:bidi w:val="0"/>
      <w:spacing w:lineRule="auto" w:line="276" w:before="0" w:after="120"/>
      <w:jc w:val="left"/>
      <w:outlineLvl w:val="2"/>
    </w:pPr>
    <w:rPr>
      <w:rFonts w:ascii="Calibri" w:hAnsi="Calibri" w:eastAsia="Calibri" w:cs="Calibri"/>
      <w:color w:val="1F4D78"/>
      <w:kern w:val="0"/>
      <w:sz w:val="24"/>
      <w:szCs w:val="24"/>
      <w:lang w:val="en-GB" w:eastAsia="en-GB" w:bidi="ar-SA"/>
    </w:rPr>
  </w:style>
  <w:style w:type="paragraph" w:styleId="Heading4">
    <w:name w:val="Heading 4"/>
    <w:next w:val="TextBody"/>
    <w:qFormat/>
    <w:pPr>
      <w:widowControl/>
      <w:numPr>
        <w:ilvl w:val="3"/>
        <w:numId w:val="1"/>
      </w:numPr>
      <w:suppressAutoHyphens w:val="true"/>
      <w:bidi w:val="0"/>
      <w:spacing w:lineRule="auto" w:line="276" w:before="0" w:after="120"/>
      <w:jc w:val="left"/>
      <w:outlineLvl w:val="3"/>
    </w:pPr>
    <w:rPr>
      <w:rFonts w:ascii="Calibri" w:hAnsi="Calibri" w:eastAsia="Calibri" w:cs="Calibri"/>
      <w:i/>
      <w:iCs/>
      <w:color w:val="2E74B5"/>
      <w:kern w:val="0"/>
      <w:sz w:val="22"/>
      <w:szCs w:val="22"/>
      <w:lang w:val="en-GB" w:eastAsia="en-GB" w:bidi="ar-SA"/>
    </w:rPr>
  </w:style>
  <w:style w:type="paragraph" w:styleId="Heading5">
    <w:name w:val="Heading 5"/>
    <w:next w:val="TextBody"/>
    <w:qFormat/>
    <w:pPr>
      <w:widowControl/>
      <w:numPr>
        <w:ilvl w:val="4"/>
        <w:numId w:val="1"/>
      </w:numPr>
      <w:suppressAutoHyphens w:val="true"/>
      <w:bidi w:val="0"/>
      <w:spacing w:lineRule="auto" w:line="276" w:before="0" w:after="120"/>
      <w:jc w:val="left"/>
      <w:outlineLvl w:val="4"/>
    </w:pPr>
    <w:rPr>
      <w:rFonts w:ascii="Calibri" w:hAnsi="Calibri" w:eastAsia="Calibri" w:cs="Calibri"/>
      <w:color w:val="2E74B5"/>
      <w:kern w:val="0"/>
      <w:sz w:val="22"/>
      <w:szCs w:val="22"/>
      <w:lang w:val="en-GB" w:eastAsia="en-GB" w:bidi="ar-SA"/>
    </w:rPr>
  </w:style>
  <w:style w:type="paragraph" w:styleId="Heading6">
    <w:name w:val="Heading 6"/>
    <w:next w:val="TextBody"/>
    <w:qFormat/>
    <w:pPr>
      <w:widowControl/>
      <w:numPr>
        <w:ilvl w:val="5"/>
        <w:numId w:val="1"/>
      </w:numPr>
      <w:suppressAutoHyphens w:val="true"/>
      <w:bidi w:val="0"/>
      <w:spacing w:lineRule="auto" w:line="276" w:before="0" w:after="120"/>
      <w:jc w:val="left"/>
      <w:outlineLvl w:val="5"/>
    </w:pPr>
    <w:rPr>
      <w:rFonts w:ascii="Calibri" w:hAnsi="Calibri" w:eastAsia="Calibri" w:cs="Calibri"/>
      <w:color w:val="1F4D78"/>
      <w:kern w:val="0"/>
      <w:sz w:val="22"/>
      <w:szCs w:val="22"/>
      <w:lang w:val="en-GB" w:eastAsia="en-GB" w:bidi="ar-SA"/>
    </w:rPr>
  </w:style>
  <w:style w:type="character" w:styleId="WW8Num1z0">
    <w:name w:val="WW8Num1z0"/>
    <w:qFormat/>
    <w:rPr>
      <w:rFonts w:ascii="Symbol" w:hAnsi="Symbol" w:cs="Symbol"/>
    </w:rPr>
  </w:style>
  <w:style w:type="character" w:styleId="WW8Num1z1">
    <w:name w:val="WW8Num1z1"/>
    <w:qFormat/>
    <w:rPr>
      <w:rFonts w:ascii="OpenSymbol;Arial Unicode MS" w:hAnsi="OpenSymbol;Arial Unicode MS" w:cs="OpenSymbol;Arial Unicode MS"/>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InternetLink">
    <w:name w:val="Internet Link"/>
    <w:rPr>
      <w:color w:val="0563C1"/>
      <w:u w:val="single"/>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FootnoteTextChar">
    <w:name w:val="Footnote Text Char"/>
    <w:qFormat/>
    <w:rPr>
      <w:sz w:val="20"/>
      <w:szCs w:val="20"/>
    </w:rPr>
  </w:style>
  <w:style w:type="character" w:styleId="EndnoteCharacters">
    <w:name w:val="Endnote Characters"/>
    <w:qFormat/>
    <w:rPr>
      <w:vertAlign w:val="superscript"/>
    </w:rPr>
  </w:style>
  <w:style w:type="character" w:styleId="EndnoteAnchor">
    <w:name w:val="Endnote Anchor"/>
    <w:rPr>
      <w:vertAlign w:val="superscript"/>
    </w:rPr>
  </w:style>
  <w:style w:type="character" w:styleId="EndnoteTextChar">
    <w:name w:val="Endnote Text Char"/>
    <w:qFormat/>
    <w:rPr>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pPr>
      <w:widowControl/>
      <w:suppressAutoHyphens w:val="true"/>
      <w:bidi w:val="0"/>
      <w:spacing w:lineRule="auto" w:line="276" w:before="0" w:after="120"/>
      <w:jc w:val="left"/>
    </w:pPr>
    <w:rPr>
      <w:rFonts w:ascii="Calibri" w:hAnsi="Calibri" w:eastAsia="Calibri" w:cs="Calibri"/>
      <w:color w:val="333333"/>
      <w:kern w:val="0"/>
      <w:sz w:val="22"/>
      <w:szCs w:val="22"/>
      <w:lang w:val="en-GB" w:eastAsia="en-GB" w:bidi="ar-SA"/>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next w:val="TextBody"/>
    <w:qFormat/>
    <w:pPr>
      <w:widowControl/>
      <w:suppressAutoHyphens w:val="true"/>
      <w:bidi w:val="0"/>
      <w:spacing w:lineRule="auto" w:line="276" w:before="0" w:after="80"/>
      <w:jc w:val="left"/>
    </w:pPr>
    <w:rPr>
      <w:rFonts w:ascii="Calibri" w:hAnsi="Calibri" w:eastAsia="Calibri" w:cs="Calibri"/>
      <w:b/>
      <w:bCs/>
      <w:color w:val="2E4057"/>
      <w:kern w:val="0"/>
      <w:sz w:val="48"/>
      <w:szCs w:val="48"/>
      <w:lang w:val="en-GB" w:eastAsia="en-GB" w:bidi="ar-SA"/>
    </w:rPr>
  </w:style>
  <w:style w:type="paragraph" w:styleId="Strong1">
    <w:name w:val="Strong1"/>
    <w:qFormat/>
    <w:pPr>
      <w:widowControl/>
      <w:suppressAutoHyphens w:val="true"/>
      <w:bidi w:val="0"/>
      <w:spacing w:lineRule="auto" w:line="276" w:before="0" w:after="120"/>
      <w:jc w:val="left"/>
    </w:pPr>
    <w:rPr>
      <w:rFonts w:ascii="Calibri" w:hAnsi="Calibri" w:eastAsia="Calibri" w:cs="Calibri"/>
      <w:b/>
      <w:bCs/>
      <w:color w:val="333333"/>
      <w:kern w:val="0"/>
      <w:sz w:val="22"/>
      <w:szCs w:val="22"/>
      <w:lang w:val="en-GB" w:eastAsia="en-GB" w:bidi="ar-SA"/>
    </w:rPr>
  </w:style>
  <w:style w:type="paragraph" w:styleId="ListParagraph">
    <w:name w:val="List Paragraph"/>
    <w:qFormat/>
    <w:pPr>
      <w:widowControl/>
      <w:suppressAutoHyphens w:val="true"/>
      <w:bidi w:val="0"/>
      <w:spacing w:lineRule="auto" w:line="276" w:before="0" w:after="120"/>
      <w:jc w:val="left"/>
    </w:pPr>
    <w:rPr>
      <w:rFonts w:ascii="Calibri" w:hAnsi="Calibri" w:eastAsia="Calibri" w:cs="Calibri"/>
      <w:color w:val="333333"/>
      <w:kern w:val="0"/>
      <w:sz w:val="22"/>
      <w:szCs w:val="22"/>
      <w:lang w:val="en-GB" w:eastAsia="en-GB" w:bidi="ar-SA"/>
    </w:rPr>
  </w:style>
  <w:style w:type="paragraph" w:styleId="Footnote">
    <w:name w:val="Footnote Text"/>
    <w:pPr>
      <w:widowControl/>
      <w:suppressAutoHyphens w:val="true"/>
      <w:bidi w:val="0"/>
      <w:spacing w:lineRule="auto" w:line="240" w:before="0" w:after="0"/>
      <w:jc w:val="left"/>
    </w:pPr>
    <w:rPr>
      <w:rFonts w:ascii="Calibri" w:hAnsi="Calibri" w:eastAsia="Calibri" w:cs="Calibri"/>
      <w:color w:val="333333"/>
      <w:kern w:val="0"/>
      <w:sz w:val="20"/>
      <w:szCs w:val="20"/>
      <w:lang w:val="en-GB" w:eastAsia="en-GB" w:bidi="ar-SA"/>
    </w:rPr>
  </w:style>
  <w:style w:type="paragraph" w:styleId="Endnote">
    <w:name w:val="Endnote Text"/>
    <w:pPr>
      <w:widowControl/>
      <w:suppressAutoHyphens w:val="true"/>
      <w:bidi w:val="0"/>
      <w:spacing w:lineRule="auto" w:line="240" w:before="0" w:after="0"/>
      <w:jc w:val="left"/>
    </w:pPr>
    <w:rPr>
      <w:rFonts w:ascii="Calibri" w:hAnsi="Calibri" w:eastAsia="Calibri" w:cs="Calibri"/>
      <w:color w:val="333333"/>
      <w:kern w:val="0"/>
      <w:sz w:val="20"/>
      <w:szCs w:val="20"/>
      <w:lang w:val="en-GB" w:eastAsia="en-GB" w:bidi="ar-SA"/>
    </w:rPr>
  </w:style>
  <w:style w:type="paragraph" w:styleId="Subtitle">
    <w:name w:val="Subtitle"/>
    <w:next w:val="TextBody"/>
    <w:qFormat/>
    <w:pPr>
      <w:widowControl/>
      <w:suppressAutoHyphens w:val="true"/>
      <w:bidi w:val="0"/>
      <w:spacing w:lineRule="auto" w:line="276" w:before="0" w:after="240"/>
      <w:jc w:val="left"/>
    </w:pPr>
    <w:rPr>
      <w:rFonts w:ascii="Calibri" w:hAnsi="Calibri" w:eastAsia="Calibri" w:cs="Calibri"/>
      <w:color w:val="4A90D9"/>
      <w:kern w:val="0"/>
      <w:sz w:val="28"/>
      <w:szCs w:val="28"/>
      <w:lang w:val="en-GB" w:eastAsia="en-GB" w:bidi="ar-SA"/>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2026-06-22T11:36:00Z</dcterms:created>
  <dc:creator>Un-named</dc:creator>
  <dc:description/>
  <dc:language>en-US</dc:language>
  <cp:lastModifiedBy>Teresa Regan</cp:lastModifiedBy>
  <cp:lastPrinted>1995-11-21T17:41:00Z</cp:lastPrinted>
  <dcterms:modified xsi:type="dcterms:W3CDTF">2026-07-01T16:18:00Z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0x0101009E31B306A41F9A4C9481A1925A0045A9</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