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rFonts w:cs="Arial"/>
          <w:sz w:val="24"/>
          <w:szCs w:val="24"/>
        </w:rPr>
      </w:pPr>
      <w:r>
        <w:rPr>
          <w:rFonts w:cs="Arial"/>
          <w:sz w:val="24"/>
          <w:szCs w:val="24"/>
        </w:rPr>
      </w:r>
    </w:p>
    <w:p>
      <w:pPr>
        <w:pStyle w:val="Title"/>
        <w:rPr>
          <w:rFonts w:cs="Arial"/>
          <w:sz w:val="24"/>
          <w:szCs w:val="24"/>
        </w:rPr>
      </w:pPr>
      <w:r>
        <w:rPr>
          <w:rFonts w:cs="Arial"/>
          <w:sz w:val="24"/>
          <w:szCs w:val="24"/>
        </w:rPr>
      </w:r>
    </w:p>
    <w:p>
      <w:pPr>
        <w:pStyle w:val="Title"/>
        <w:rPr>
          <w:rFonts w:cs="Arial"/>
          <w:sz w:val="24"/>
          <w:szCs w:val="24"/>
        </w:rPr>
      </w:pPr>
      <w:r>
        <w:rPr>
          <w:rFonts w:cs="Arial"/>
          <w:sz w:val="24"/>
          <w:szCs w:val="24"/>
        </w:rPr>
      </w:r>
    </w:p>
    <w:p>
      <w:pPr>
        <w:pStyle w:val="Title"/>
        <w:rPr>
          <w:rFonts w:cs="Arial"/>
          <w:sz w:val="24"/>
          <w:szCs w:val="24"/>
        </w:rPr>
      </w:pPr>
      <w:r>
        <w:rPr>
          <w:rFonts w:cs="Arial"/>
          <w:sz w:val="24"/>
          <w:szCs w:val="24"/>
        </w:rPr>
        <w:t xml:space="preserve">Manchester Young Lives </w:t>
      </w:r>
    </w:p>
    <w:p>
      <w:pPr>
        <w:pStyle w:val="Title"/>
        <w:rPr>
          <w:rFonts w:cs="Arial"/>
          <w:sz w:val="24"/>
          <w:szCs w:val="24"/>
        </w:rPr>
      </w:pPr>
      <w:r>
        <w:rPr>
          <w:rFonts w:cs="Arial"/>
          <w:sz w:val="24"/>
          <w:szCs w:val="24"/>
        </w:rPr>
        <w:t>Job Description</w:t>
      </w:r>
    </w:p>
    <w:p>
      <w:pPr>
        <w:pStyle w:val="Normal"/>
        <w:tabs>
          <w:tab w:val="left" w:pos="-720" w:leader="none"/>
          <w:tab w:val="left" w:pos="0" w:leader="none"/>
          <w:tab w:val="left" w:pos="720" w:leader="none"/>
        </w:tabs>
        <w:suppressAutoHyphens w:val="true"/>
        <w:ind w:left="1440" w:right="0" w:hanging="1440"/>
        <w:jc w:val="both"/>
        <w:rPr>
          <w:rFonts w:ascii="Arial" w:hAnsi="Arial" w:cs="Arial"/>
          <w:spacing w:val="-2"/>
          <w:sz w:val="24"/>
          <w:szCs w:val="24"/>
          <w:u w:val="single"/>
        </w:rPr>
      </w:pPr>
      <w:r>
        <w:rPr>
          <w:rFonts w:cs="Arial" w:ascii="Arial" w:hAnsi="Arial"/>
          <w:spacing w:val="-2"/>
          <w:sz w:val="24"/>
          <w:szCs w:val="24"/>
          <w:u w:val="single"/>
        </w:rPr>
        <mc:AlternateContent>
          <mc:Choice Requires="wps">
            <w:drawing>
              <wp:anchor behindDoc="0" distT="0" distB="0" distL="114935" distR="114935" simplePos="0" locked="0" layoutInCell="1" allowOverlap="1" relativeHeight="2">
                <wp:simplePos x="0" y="0"/>
                <wp:positionH relativeFrom="margin">
                  <wp:posOffset>-5990590</wp:posOffset>
                </wp:positionH>
                <wp:positionV relativeFrom="paragraph">
                  <wp:posOffset>85090</wp:posOffset>
                </wp:positionV>
                <wp:extent cx="5991860" cy="10160"/>
                <wp:effectExtent l="0" t="0" r="0" b="0"/>
                <wp:wrapNone/>
                <wp:docPr id="1" name="Straight Connector 1"/>
                <a:graphic xmlns:a="http://schemas.openxmlformats.org/drawingml/2006/main">
                  <a:graphicData uri="http://schemas.microsoft.com/office/word/2010/wordprocessingShape">
                    <wps:wsp>
                      <wps:cNvSpPr/>
                      <wps:spPr>
                        <a:xfrm>
                          <a:off x="0" y="0"/>
                          <a:ext cx="5991120" cy="9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1.75pt,6.35pt" to="-0.05pt,7.05pt" ID="Straight Connector 1" stroked="t" style="position:absolute;mso-position-horizontal-relative:margin">
                <v:stroke color="black" weight="6480" joinstyle="miter" endcap="flat"/>
                <v:fill o:detectmouseclick="t" on="false"/>
              </v:line>
            </w:pict>
          </mc:Fallback>
        </mc:AlternateContent>
      </w:r>
    </w:p>
    <w:p>
      <w:pPr>
        <w:pStyle w:val="Normal"/>
        <w:tabs>
          <w:tab w:val="left" w:pos="-720" w:leader="none"/>
          <w:tab w:val="left" w:pos="0" w:leader="none"/>
          <w:tab w:val="left" w:pos="720" w:leader="none"/>
        </w:tabs>
        <w:suppressAutoHyphens w:val="true"/>
        <w:ind w:left="1440" w:right="0" w:hanging="1440"/>
        <w:jc w:val="both"/>
        <w:rPr>
          <w:rFonts w:ascii="Arial" w:hAnsi="Arial" w:cs="Arial"/>
          <w:spacing w:val="-2"/>
          <w:sz w:val="24"/>
          <w:szCs w:val="24"/>
        </w:rPr>
      </w:pPr>
      <w:r>
        <w:rPr>
          <w:rFonts w:cs="Arial" w:ascii="Arial" w:hAnsi="Arial"/>
          <w:spacing w:val="-2"/>
          <w:sz w:val="24"/>
          <w:szCs w:val="24"/>
        </w:rPr>
        <w:t xml:space="preserve">Job Title: </w:t>
        <w:tab/>
        <w:tab/>
        <w:t>Careers and Work Placements Adviser</w:t>
      </w:r>
    </w:p>
    <w:p>
      <w:pPr>
        <w:pStyle w:val="Normal"/>
        <w:tabs>
          <w:tab w:val="left" w:pos="-720" w:leader="none"/>
          <w:tab w:val="left" w:pos="0" w:leader="none"/>
          <w:tab w:val="left" w:pos="720" w:leader="none"/>
        </w:tabs>
        <w:suppressAutoHyphens w:val="true"/>
        <w:ind w:left="1440" w:right="0" w:hanging="1440"/>
        <w:jc w:val="both"/>
        <w:rPr>
          <w:rFonts w:ascii="Arial" w:hAnsi="Arial" w:cs="Arial"/>
          <w:spacing w:val="-2"/>
          <w:sz w:val="24"/>
          <w:szCs w:val="24"/>
        </w:rPr>
      </w:pPr>
      <w:r>
        <w:rPr>
          <w:rFonts w:cs="Arial" w:ascii="Arial" w:hAnsi="Arial"/>
          <w:spacing w:val="-2"/>
          <w:sz w:val="24"/>
          <w:szCs w:val="24"/>
        </w:rPr>
        <w:t>Reporting:</w:t>
        <w:tab/>
        <w:tab/>
        <w:t>SEN and Quality Development Lead</w:t>
      </w:r>
    </w:p>
    <w:p>
      <w:pPr>
        <w:pStyle w:val="Normal"/>
        <w:tabs>
          <w:tab w:val="left" w:pos="-720" w:leader="none"/>
          <w:tab w:val="left" w:pos="0" w:leader="none"/>
          <w:tab w:val="left" w:pos="720" w:leader="none"/>
        </w:tabs>
        <w:suppressAutoHyphens w:val="true"/>
        <w:ind w:left="2160" w:right="0" w:hanging="2160"/>
        <w:jc w:val="both"/>
        <w:rPr>
          <w:rFonts w:ascii="Arial" w:hAnsi="Arial" w:cs="Arial"/>
          <w:spacing w:val="-2"/>
          <w:sz w:val="24"/>
          <w:szCs w:val="24"/>
        </w:rPr>
      </w:pPr>
      <w:r>
        <w:rPr>
          <w:rFonts w:cs="Arial" w:ascii="Arial" w:hAnsi="Arial"/>
          <w:spacing w:val="-2"/>
          <w:sz w:val="24"/>
          <w:szCs w:val="24"/>
        </w:rPr>
        <w:t>Location:</w:t>
        <w:tab/>
        <w:t>Working across The Addy Young People’s Centre, Wythenshawe, A6 Young People’s Centre, Ardwick, and Moss Side Adventure Playground, with travel across Manchester</w:t>
      </w:r>
    </w:p>
    <w:p>
      <w:pPr>
        <w:pStyle w:val="Normal"/>
        <w:tabs>
          <w:tab w:val="left" w:pos="-720" w:leader="none"/>
          <w:tab w:val="left" w:pos="0" w:leader="none"/>
          <w:tab w:val="left" w:pos="720" w:leader="none"/>
        </w:tabs>
        <w:suppressAutoHyphens w:val="true"/>
        <w:ind w:left="2150" w:right="0" w:hanging="2150"/>
        <w:jc w:val="both"/>
        <w:rPr>
          <w:rFonts w:ascii="Arial" w:hAnsi="Arial" w:cs="Arial"/>
          <w:spacing w:val="-2"/>
          <w:sz w:val="24"/>
          <w:szCs w:val="24"/>
        </w:rPr>
      </w:pPr>
      <w:r>
        <w:rPr>
          <w:rFonts w:cs="Arial" w:ascii="Arial" w:hAnsi="Arial"/>
          <w:spacing w:val="-2"/>
          <w:sz w:val="24"/>
          <w:szCs w:val="24"/>
        </w:rPr>
        <w:t>Hours:</w:t>
        <w:tab/>
        <w:tab/>
        <w:t>Full Time, 35 Hours, year round contract with holiday entitlement. Termtime only option with pro-rata salary.</w:t>
      </w:r>
    </w:p>
    <w:p>
      <w:pPr>
        <w:pStyle w:val="Normal"/>
        <w:tabs>
          <w:tab w:val="left" w:pos="-720" w:leader="none"/>
          <w:tab w:val="left" w:pos="0" w:leader="none"/>
          <w:tab w:val="left" w:pos="720" w:leader="none"/>
        </w:tabs>
        <w:suppressAutoHyphens w:val="true"/>
        <w:ind w:left="2160" w:right="0" w:hanging="2160"/>
        <w:jc w:val="both"/>
        <w:rPr/>
      </w:pPr>
      <w:r>
        <w:rPr>
          <w:rFonts w:cs="Arial" w:ascii="Arial" w:hAnsi="Arial"/>
          <w:spacing w:val="-2"/>
          <w:sz w:val="24"/>
          <w:szCs w:val="24"/>
        </w:rPr>
        <w:t>Salary:</w:t>
        <w:tab/>
      </w:r>
      <w:r>
        <w:rPr>
          <w:rFonts w:cs="Arial" w:ascii="Arial" w:hAnsi="Arial"/>
          <w:sz w:val="24"/>
          <w:szCs w:val="24"/>
        </w:rPr>
        <w:t xml:space="preserve">£28,690 - £31,610 FTE </w:t>
      </w:r>
    </w:p>
    <w:p>
      <w:pPr>
        <w:pStyle w:val="Normal"/>
        <w:tabs>
          <w:tab w:val="left" w:pos="-720" w:leader="none"/>
          <w:tab w:val="left" w:pos="0" w:leader="none"/>
          <w:tab w:val="left" w:pos="720" w:leader="none"/>
        </w:tabs>
        <w:suppressAutoHyphens w:val="true"/>
        <w:ind w:left="2160" w:right="0" w:hanging="2160"/>
        <w:jc w:val="both"/>
        <w:rPr>
          <w:rFonts w:ascii="Arial" w:hAnsi="Arial" w:cs="Arial"/>
          <w:sz w:val="24"/>
          <w:szCs w:val="24"/>
        </w:rPr>
      </w:pPr>
      <w:r>
        <w:rPr>
          <w:rFonts w:cs="Arial" w:ascii="Arial" w:hAnsi="Arial"/>
          <w:sz w:val="24"/>
          <w:szCs w:val="24"/>
        </w:rPr>
        <w:tab/>
        <w:tab/>
      </w:r>
    </w:p>
    <w:p>
      <w:pPr>
        <w:pStyle w:val="Normal"/>
        <w:tabs>
          <w:tab w:val="left" w:pos="-720" w:leader="none"/>
          <w:tab w:val="left" w:pos="0" w:leader="none"/>
          <w:tab w:val="left" w:pos="720" w:leader="none"/>
        </w:tabs>
        <w:suppressAutoHyphens w:val="true"/>
        <w:jc w:val="both"/>
        <w:rPr>
          <w:rFonts w:ascii="Arial" w:hAnsi="Arial" w:cs="Arial"/>
          <w:spacing w:val="-2"/>
          <w:sz w:val="24"/>
          <w:szCs w:val="24"/>
        </w:rPr>
      </w:pPr>
      <w:r>
        <w:rPr>
          <w:rFonts w:cs="Arial" w:ascii="Arial" w:hAnsi="Arial"/>
          <w:spacing w:val="-2"/>
          <w:sz w:val="24"/>
          <w:szCs w:val="24"/>
        </w:rPr>
      </w:r>
    </w:p>
    <w:p>
      <w:pPr>
        <w:pStyle w:val="Normal"/>
        <w:rPr>
          <w:rFonts w:ascii="Arial" w:hAnsi="Arial" w:cs="Arial"/>
          <w:b/>
          <w:b/>
          <w:bCs/>
          <w:spacing w:val="-2"/>
          <w:sz w:val="24"/>
          <w:szCs w:val="24"/>
        </w:rPr>
      </w:pPr>
      <w:r>
        <w:rPr>
          <w:rFonts w:cs="Arial" w:ascii="Arial" w:hAnsi="Arial"/>
          <w:b/>
          <w:bCs/>
          <w:spacing w:val="-2"/>
          <w:sz w:val="24"/>
          <w:szCs w:val="24"/>
        </w:rPr>
        <mc:AlternateContent>
          <mc:Choice Requires="wps">
            <w:drawing>
              <wp:anchor behindDoc="0" distT="0" distB="0" distL="114935" distR="114935" simplePos="0" locked="0" layoutInCell="1" allowOverlap="1" relativeHeight="3">
                <wp:simplePos x="0" y="0"/>
                <wp:positionH relativeFrom="margin">
                  <wp:posOffset>-5990590</wp:posOffset>
                </wp:positionH>
                <wp:positionV relativeFrom="paragraph">
                  <wp:posOffset>13335</wp:posOffset>
                </wp:positionV>
                <wp:extent cx="5991860" cy="10160"/>
                <wp:effectExtent l="0" t="0" r="0" b="0"/>
                <wp:wrapNone/>
                <wp:docPr id="2" name="Straight Connector 2"/>
                <a:graphic xmlns:a="http://schemas.openxmlformats.org/drawingml/2006/main">
                  <a:graphicData uri="http://schemas.microsoft.com/office/word/2010/wordprocessingShape">
                    <wps:wsp>
                      <wps:cNvSpPr/>
                      <wps:spPr>
                        <a:xfrm>
                          <a:off x="0" y="0"/>
                          <a:ext cx="5991120" cy="9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1.75pt,0.7pt" to="-0.05pt,1.4pt" ID="Straight Connector 2" stroked="t" style="position:absolute;mso-position-horizontal-relative:margin">
                <v:stroke color="black" weight="6480" joinstyle="miter" endcap="flat"/>
                <v:fill o:detectmouseclick="t" on="false"/>
              </v:line>
            </w:pict>
          </mc:Fallback>
        </mc:AlternateContent>
      </w:r>
    </w:p>
    <w:p>
      <w:pPr>
        <w:pStyle w:val="Normal"/>
        <w:rPr>
          <w:rFonts w:ascii="Arial" w:hAnsi="Arial" w:cs="Arial"/>
          <w:b/>
          <w:b/>
          <w:color w:val="000000"/>
          <w:sz w:val="24"/>
          <w:szCs w:val="24"/>
        </w:rPr>
      </w:pPr>
      <w:r>
        <w:rPr>
          <w:rFonts w:cs="Arial" w:ascii="Arial" w:hAnsi="Arial"/>
          <w:b/>
          <w:color w:val="000000"/>
          <w:sz w:val="24"/>
          <w:szCs w:val="24"/>
        </w:rPr>
        <w:t>Main Purpose of the Job:</w:t>
      </w:r>
    </w:p>
    <w:p>
      <w:pPr>
        <w:pStyle w:val="Normal"/>
        <w:rPr>
          <w:rFonts w:ascii="Arial" w:hAnsi="Arial" w:cs="Arial"/>
          <w:b/>
          <w:b/>
          <w:color w:val="000000"/>
          <w:sz w:val="24"/>
          <w:szCs w:val="24"/>
        </w:rPr>
      </w:pPr>
      <w:r>
        <w:rPr>
          <w:rFonts w:cs="Arial" w:ascii="Arial" w:hAnsi="Arial"/>
          <w:b/>
          <w:color w:val="000000"/>
          <w:sz w:val="24"/>
          <w:szCs w:val="24"/>
        </w:rPr>
      </w:r>
    </w:p>
    <w:p>
      <w:pPr>
        <w:pStyle w:val="Normal"/>
        <w:jc w:val="both"/>
        <w:rPr>
          <w:rFonts w:ascii="Arial" w:hAnsi="Arial" w:cs="Arial"/>
          <w:sz w:val="24"/>
          <w:szCs w:val="24"/>
        </w:rPr>
      </w:pPr>
      <w:r>
        <w:rPr>
          <w:rFonts w:cs="Arial" w:ascii="Arial" w:hAnsi="Arial"/>
          <w:sz w:val="24"/>
          <w:szCs w:val="24"/>
        </w:rPr>
        <w:t>To provide creative, inclusive, and effective careers advice to young people with SEND aged 16 – 24 participating in Manchester Young Lives Learning Hub programmes that inspires them to achieve their aspirations. To develop a network of Employers and secure, assess and manage a portfolio of work experience placements to meet young people’s needs and goals.</w:t>
      </w:r>
    </w:p>
    <w:p>
      <w:pPr>
        <w:pStyle w:val="Normal"/>
        <w:jc w:val="both"/>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mc:AlternateContent>
          <mc:Choice Requires="wps">
            <w:drawing>
              <wp:anchor behindDoc="0" distT="0" distB="0" distL="114935" distR="114935" simplePos="0" locked="0" layoutInCell="1" allowOverlap="1" relativeHeight="4">
                <wp:simplePos x="0" y="0"/>
                <wp:positionH relativeFrom="margin">
                  <wp:posOffset>0</wp:posOffset>
                </wp:positionH>
                <wp:positionV relativeFrom="paragraph">
                  <wp:posOffset>6985</wp:posOffset>
                </wp:positionV>
                <wp:extent cx="5991860" cy="5080"/>
                <wp:effectExtent l="0" t="0" r="0" b="0"/>
                <wp:wrapNone/>
                <wp:docPr id="3" name="Straight Connector 4"/>
                <a:graphic xmlns:a="http://schemas.openxmlformats.org/drawingml/2006/main">
                  <a:graphicData uri="http://schemas.microsoft.com/office/word/2010/wordprocessingShape">
                    <wps:wsp>
                      <wps:cNvSpPr/>
                      <wps:spPr>
                        <a:xfrm>
                          <a:off x="0" y="0"/>
                          <a:ext cx="59911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0.4pt" to="471.7pt,0.7pt" ID="Straight Connector 4" stroked="t" style="position:absolute;mso-position-horizontal-relative:margin">
                <v:stroke color="black" weight="6480" joinstyle="miter" endcap="flat"/>
                <v:fill o:detectmouseclick="t" on="false"/>
              </v:line>
            </w:pict>
          </mc:Fallback>
        </mc:AlternateContent>
      </w:r>
    </w:p>
    <w:p>
      <w:pPr>
        <w:pStyle w:val="Normal"/>
        <w:rPr>
          <w:rFonts w:ascii="Arial" w:hAnsi="Arial" w:cs="Arial"/>
          <w:b/>
          <w:b/>
          <w:sz w:val="24"/>
          <w:szCs w:val="24"/>
        </w:rPr>
      </w:pPr>
      <w:r>
        <w:rPr>
          <w:rFonts w:cs="Arial" w:ascii="Arial" w:hAnsi="Arial"/>
          <w:b/>
          <w:sz w:val="24"/>
          <w:szCs w:val="24"/>
        </w:rPr>
        <w:t>Key Responsibilities and Tasks:</w:t>
      </w:r>
    </w:p>
    <w:p>
      <w:pPr>
        <w:pStyle w:val="Normal"/>
        <w:numPr>
          <w:ilvl w:val="0"/>
          <w:numId w:val="2"/>
        </w:numPr>
        <w:shd w:fill="FFFFFF" w:val="clear"/>
        <w:spacing w:before="280" w:after="0"/>
        <w:rPr>
          <w:rFonts w:ascii="Arial" w:hAnsi="Arial" w:cs="Arial"/>
          <w:color w:val="0F151A"/>
          <w:sz w:val="24"/>
          <w:szCs w:val="24"/>
          <w:lang w:eastAsia="en-GB"/>
        </w:rPr>
      </w:pPr>
      <w:r>
        <w:rPr>
          <w:rFonts w:cs="Arial" w:ascii="Arial" w:hAnsi="Arial"/>
          <w:color w:val="0F151A"/>
          <w:sz w:val="24"/>
          <w:szCs w:val="24"/>
          <w:lang w:eastAsia="en-GB"/>
        </w:rPr>
        <w:t>Deliver person-centred one-to-one and group career guidance sessions to support young people to identify their strengths, explore opportunities and make informed decisions about their education, training, and career pathways, enabling learners work towards their goals and believe in their ability to achieve their aspirations.</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Develop relationships with local employers to secure varied and inspiring opportunities for work experience, work trials and other employability activities as a route into employment for young people with SEND participating in MYL Learning Hubs.</w:t>
      </w:r>
    </w:p>
    <w:p>
      <w:pPr>
        <w:pStyle w:val="ListParagraph"/>
        <w:numPr>
          <w:ilvl w:val="0"/>
          <w:numId w:val="2"/>
        </w:numPr>
        <w:spacing w:lineRule="auto" w:line="256" w:before="0" w:after="160"/>
        <w:contextualSpacing/>
        <w:jc w:val="both"/>
        <w:rPr/>
      </w:pPr>
      <w:r>
        <w:rPr>
          <w:rFonts w:cs="Arial" w:ascii="Arial" w:hAnsi="Arial"/>
          <w:sz w:val="24"/>
          <w:szCs w:val="24"/>
        </w:rPr>
        <w:t>Work with and advise the wider Learning Hub teams to ensure that employability learning, including careers exploration, job search sessions, CV and application preparation and interview techniques,</w:t>
      </w:r>
      <w:r>
        <w:rPr>
          <w:rFonts w:cs="Arial" w:ascii="Arial" w:hAnsi="Arial"/>
          <w:color w:val="0F151A"/>
          <w:lang w:eastAsia="en-GB"/>
        </w:rPr>
        <w:t xml:space="preserve"> </w:t>
      </w:r>
      <w:r>
        <w:rPr>
          <w:rFonts w:cs="Arial" w:ascii="Arial" w:hAnsi="Arial"/>
          <w:color w:val="0F151A"/>
          <w:sz w:val="24"/>
          <w:szCs w:val="24"/>
          <w:lang w:eastAsia="en-GB"/>
        </w:rPr>
        <w:t xml:space="preserve">meets Gatsby Benchmarks and careers guidance standards, enables young people’s confidence to grow and overcomes </w:t>
      </w:r>
      <w:r>
        <w:rPr>
          <w:rFonts w:cs="Arial" w:ascii="Arial" w:hAnsi="Arial"/>
          <w:sz w:val="24"/>
          <w:szCs w:val="24"/>
        </w:rPr>
        <w:t>practical or social barriers.</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Support employers to understand and provide the additional support SEND young people may need to succeed in a placement, as well as the benefits they will bring to a workplace.</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Provide regular support to young people and employers, facilitating solutions to any challenges, recognising progress, renewing placements and supporting young people’s successful progression from the Learning Hubs to destinations such as apprenticeships, further specialist education or employment.</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Undertake employer site assessments, health safety and vetting checks to ensure placements are appropriate, safe and meet statutory guidance for work experience, and to ensure MYL internal processes meet the relevant guidance and demonstrate best practice.</w:t>
      </w:r>
    </w:p>
    <w:p>
      <w:pPr>
        <w:pStyle w:val="ListParagraph"/>
        <w:numPr>
          <w:ilvl w:val="0"/>
          <w:numId w:val="2"/>
        </w:numPr>
        <w:rPr>
          <w:rFonts w:ascii="Arial" w:hAnsi="Arial" w:cs="Arial"/>
          <w:sz w:val="24"/>
          <w:szCs w:val="24"/>
        </w:rPr>
      </w:pPr>
      <w:r>
        <w:rPr>
          <w:rFonts w:cs="Arial" w:ascii="Arial" w:hAnsi="Arial"/>
          <w:sz w:val="24"/>
          <w:szCs w:val="24"/>
        </w:rPr>
        <w:t>Work proactively with parents and carers and others who influence young people, enabling them to become involved in and support young people’s decision making, careers aspirations and take up of work placements.</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Take a lead in providing up to date labour market and education/training information, taking account of strategy and development across Greater Manchester, and creating a bank of ICT and other resources.</w:t>
      </w:r>
    </w:p>
    <w:p>
      <w:pPr>
        <w:pStyle w:val="ListParagraph"/>
        <w:numPr>
          <w:ilvl w:val="0"/>
          <w:numId w:val="2"/>
        </w:numPr>
        <w:spacing w:lineRule="auto" w:line="256" w:before="0" w:after="160"/>
        <w:contextualSpacing/>
        <w:jc w:val="both"/>
        <w:rPr>
          <w:rFonts w:ascii="Arial" w:hAnsi="Arial" w:cs="Arial"/>
          <w:sz w:val="24"/>
          <w:szCs w:val="24"/>
        </w:rPr>
      </w:pPr>
      <w:r>
        <w:rPr>
          <w:rFonts w:cs="Arial" w:ascii="Arial" w:hAnsi="Arial"/>
          <w:sz w:val="24"/>
          <w:szCs w:val="24"/>
        </w:rPr>
        <w:t>Keep accurate electronic and paper records to meet funding requirements and provide monitoring and evaluation data, case studies, and other evidence as required, and support gathering destinations data.</w:t>
      </w:r>
    </w:p>
    <w:p>
      <w:pPr>
        <w:pStyle w:val="ListParagraph"/>
        <w:keepLines/>
        <w:numPr>
          <w:ilvl w:val="0"/>
          <w:numId w:val="2"/>
        </w:numPr>
        <w:spacing w:before="0" w:after="240"/>
        <w:ind w:left="720" w:right="73" w:hanging="360"/>
        <w:contextualSpacing/>
        <w:jc w:val="both"/>
        <w:rPr>
          <w:rFonts w:ascii="Arial" w:hAnsi="Arial" w:cs="Arial"/>
          <w:sz w:val="24"/>
          <w:szCs w:val="24"/>
        </w:rPr>
      </w:pPr>
      <w:r>
        <w:rPr>
          <w:rFonts w:cs="Arial" w:ascii="Arial" w:hAnsi="Arial"/>
          <w:sz w:val="24"/>
          <w:szCs w:val="24"/>
        </w:rPr>
        <w:t>Act as a positive role model to young people at all times.</w:t>
      </w:r>
    </w:p>
    <w:p>
      <w:pPr>
        <w:pStyle w:val="ListParagraph"/>
        <w:keepLines/>
        <w:numPr>
          <w:ilvl w:val="0"/>
          <w:numId w:val="2"/>
        </w:numPr>
        <w:spacing w:before="0" w:after="240"/>
        <w:ind w:left="720" w:right="73" w:hanging="360"/>
        <w:contextualSpacing/>
        <w:jc w:val="both"/>
        <w:rPr>
          <w:rFonts w:ascii="Arial" w:hAnsi="Arial" w:cs="Arial"/>
          <w:sz w:val="24"/>
          <w:szCs w:val="24"/>
        </w:rPr>
      </w:pPr>
      <w:r>
        <w:rPr>
          <w:rFonts w:cs="Arial" w:ascii="Arial" w:hAnsi="Arial"/>
          <w:sz w:val="24"/>
          <w:szCs w:val="24"/>
        </w:rPr>
        <w:t>Participate in relevant meetings and training as required.</w:t>
      </w:r>
    </w:p>
    <w:p>
      <w:pPr>
        <w:pStyle w:val="ListParagraph"/>
        <w:keepLines/>
        <w:numPr>
          <w:ilvl w:val="0"/>
          <w:numId w:val="2"/>
        </w:numPr>
        <w:spacing w:before="0" w:after="240"/>
        <w:ind w:left="720" w:right="73" w:hanging="360"/>
        <w:contextualSpacing/>
        <w:jc w:val="both"/>
        <w:rPr>
          <w:rFonts w:ascii="Arial" w:hAnsi="Arial" w:cs="Arial"/>
          <w:sz w:val="24"/>
          <w:szCs w:val="24"/>
        </w:rPr>
      </w:pPr>
      <w:r>
        <w:rPr>
          <w:rFonts w:cs="Arial" w:ascii="Arial" w:hAnsi="Arial"/>
          <w:sz w:val="24"/>
          <w:szCs w:val="24"/>
        </w:rPr>
        <w:t>Carry out all duties with full regard for all MYL policies and procedures, in particular those relating to equality, safeguarding, health, safety and security, confidentiality and data protection, reporting any concerns to line manager.</w:t>
      </w:r>
    </w:p>
    <w:p>
      <w:pPr>
        <w:pStyle w:val="ListParagraph"/>
        <w:keepLines/>
        <w:numPr>
          <w:ilvl w:val="0"/>
          <w:numId w:val="2"/>
        </w:numPr>
        <w:spacing w:before="0" w:after="240"/>
        <w:ind w:left="720" w:right="73" w:hanging="360"/>
        <w:contextualSpacing/>
        <w:jc w:val="both"/>
        <w:rPr>
          <w:rFonts w:ascii="Arial" w:hAnsi="Arial" w:cs="Arial"/>
          <w:sz w:val="24"/>
          <w:szCs w:val="24"/>
        </w:rPr>
      </w:pPr>
      <w:r>
        <w:rPr>
          <w:rFonts w:cs="Arial" w:ascii="Arial" w:hAnsi="Arial"/>
          <w:sz w:val="24"/>
          <w:szCs w:val="24"/>
        </w:rPr>
        <w:t>Maintain good relations with outside bodies and the general public in order to uphold the organisation’s positive image.</w:t>
      </w:r>
    </w:p>
    <w:p>
      <w:pPr>
        <w:pStyle w:val="ListParagraph"/>
        <w:keepLines/>
        <w:numPr>
          <w:ilvl w:val="0"/>
          <w:numId w:val="2"/>
        </w:numPr>
        <w:spacing w:before="0" w:after="240"/>
        <w:ind w:left="720" w:right="73" w:hanging="360"/>
        <w:contextualSpacing/>
        <w:jc w:val="both"/>
        <w:rPr>
          <w:rFonts w:ascii="Arial" w:hAnsi="Arial" w:cs="Arial"/>
          <w:sz w:val="24"/>
          <w:szCs w:val="24"/>
        </w:rPr>
      </w:pPr>
      <w:r>
        <w:rPr>
          <w:rFonts w:cs="Arial" w:ascii="Arial" w:hAnsi="Arial"/>
          <w:sz w:val="24"/>
          <w:szCs w:val="24"/>
        </w:rPr>
        <w:t>Ensure that your conduct in and out of work does not conflict with the professional expectations of the organisation</w:t>
      </w:r>
    </w:p>
    <w:p>
      <w:pPr>
        <w:pStyle w:val="ListParagraph"/>
        <w:keepLines/>
        <w:numPr>
          <w:ilvl w:val="0"/>
          <w:numId w:val="2"/>
        </w:numPr>
        <w:spacing w:before="0" w:after="240"/>
        <w:ind w:left="720" w:right="73" w:hanging="360"/>
        <w:contextualSpacing/>
        <w:jc w:val="both"/>
        <w:rPr/>
      </w:pPr>
      <w:r>
        <w:rPr>
          <w:rFonts w:cs="Arial" w:ascii="Arial" w:hAnsi="Arial"/>
          <w:sz w:val="24"/>
          <w:szCs w:val="24"/>
        </w:rPr>
        <w:t>Undertake any other duties within the scope and purpose of the post as directed including working flexibly at evening and weekends to meet business needs</w:t>
      </w:r>
      <w:r>
        <w:rPr/>
        <w:t>.</w:t>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jc w:val="both"/>
        <w:rPr>
          <w:rFonts w:cs="Arial"/>
          <w:b/>
          <w:b/>
          <w:color w:val="000000"/>
          <w:szCs w:val="24"/>
          <w:lang w:val="en-GB"/>
        </w:rPr>
      </w:pPr>
      <w:r>
        <w:rPr>
          <w:rFonts w:cs="Arial"/>
          <w:b/>
          <w:color w:val="000000"/>
          <w:szCs w:val="24"/>
          <w:lang w:val="en-GB"/>
        </w:rPr>
      </w:r>
    </w:p>
    <w:p>
      <w:pPr>
        <w:pStyle w:val="TextBody"/>
        <w:widowControl w:val="false"/>
        <w:rPr>
          <w:rFonts w:cs="Arial"/>
          <w:b/>
          <w:b/>
          <w:color w:val="000000"/>
          <w:szCs w:val="24"/>
          <w:lang w:val="en-GB"/>
        </w:rPr>
      </w:pPr>
      <w:r>
        <w:rPr>
          <w:rFonts w:cs="Arial"/>
          <w:b/>
          <w:color w:val="000000"/>
          <w:szCs w:val="24"/>
          <w:lang w:val="en-GB"/>
        </w:rPr>
      </w:r>
    </w:p>
    <w:p>
      <w:pPr>
        <w:pStyle w:val="TextBody"/>
        <w:widowControl w:val="false"/>
        <w:jc w:val="center"/>
        <w:rPr>
          <w:rFonts w:cs="Arial"/>
          <w:b/>
          <w:b/>
          <w:color w:val="000000"/>
          <w:szCs w:val="24"/>
          <w:lang w:val="en-GB"/>
        </w:rPr>
      </w:pPr>
      <w:r>
        <w:rPr>
          <w:rFonts w:cs="Arial"/>
          <w:b/>
          <w:color w:val="000000"/>
          <w:szCs w:val="24"/>
          <w:lang w:val="en-GB"/>
        </w:rPr>
      </w:r>
    </w:p>
    <w:p>
      <w:pPr>
        <w:pStyle w:val="TextBody"/>
        <w:widowControl w:val="false"/>
        <w:jc w:val="center"/>
        <w:rPr>
          <w:rFonts w:cs="Arial"/>
          <w:b/>
          <w:b/>
          <w:color w:val="000000"/>
          <w:szCs w:val="24"/>
          <w:lang w:val="en-GB"/>
        </w:rPr>
      </w:pPr>
      <w:r>
        <w:rPr>
          <w:rFonts w:cs="Arial"/>
          <w:b/>
          <w:color w:val="000000"/>
          <w:szCs w:val="24"/>
          <w:lang w:val="en-GB"/>
        </w:rPr>
        <w:t>PERSON SPECIFICATION- Careers and Work Placements Adviser</w:t>
      </w:r>
    </w:p>
    <w:p>
      <w:pPr>
        <w:pStyle w:val="TextBody"/>
        <w:widowControl w:val="false"/>
        <w:jc w:val="center"/>
        <w:rPr>
          <w:rFonts w:cs="Arial"/>
          <w:b/>
          <w:b/>
          <w:color w:val="000000"/>
          <w:szCs w:val="24"/>
          <w:lang w:val="en-GB"/>
        </w:rPr>
      </w:pPr>
      <w:r>
        <w:rPr>
          <w:rFonts w:cs="Arial"/>
          <w:b/>
          <w:color w:val="000000"/>
          <w:szCs w:val="24"/>
          <w:lang w:val="en-GB"/>
        </w:rPr>
        <w:t>QUALIFICATIONS, SKILLS, EXPERIENCE AND PERSONAL ATTRIBUTES</w:t>
      </w:r>
    </w:p>
    <w:p>
      <w:pPr>
        <w:pStyle w:val="TextBody"/>
        <w:widowControl w:val="false"/>
        <w:jc w:val="center"/>
        <w:rPr>
          <w:rFonts w:cs="Arial"/>
          <w:b/>
          <w:b/>
          <w:color w:val="000000"/>
          <w:szCs w:val="24"/>
          <w:lang w:val="en-GB"/>
        </w:rPr>
      </w:pPr>
      <w:r>
        <w:rPr>
          <w:rFonts w:cs="Arial"/>
          <w:b/>
          <w:color w:val="000000"/>
          <w:szCs w:val="24"/>
          <w:lang w:val="en-GB"/>
        </w:rPr>
        <w:t>Essential (E) Desirable (D)</w:t>
      </w:r>
    </w:p>
    <w:p>
      <w:pPr>
        <w:pStyle w:val="TextBody"/>
        <w:widowControl w:val="false"/>
        <w:rPr>
          <w:rFonts w:cs="Arial"/>
          <w:b/>
          <w:b/>
          <w:color w:val="000000"/>
          <w:szCs w:val="24"/>
          <w:lang w:val="en-GB"/>
        </w:rPr>
      </w:pPr>
      <w:r>
        <w:rPr>
          <w:rFonts w:cs="Arial"/>
          <w:b/>
          <w:color w:val="000000"/>
          <w:szCs w:val="24"/>
          <w:lang w:val="en-GB"/>
        </w:rPr>
      </w:r>
    </w:p>
    <w:tbl>
      <w:tblPr>
        <w:tblW w:w="10822" w:type="dxa"/>
        <w:jc w:val="center"/>
        <w:tblInd w:w="0" w:type="dxa"/>
        <w:tblCellMar>
          <w:top w:w="0" w:type="dxa"/>
          <w:left w:w="108" w:type="dxa"/>
          <w:bottom w:w="0" w:type="dxa"/>
          <w:right w:w="108" w:type="dxa"/>
        </w:tblCellMar>
      </w:tblPr>
      <w:tblGrid>
        <w:gridCol w:w="8932"/>
        <w:gridCol w:w="8"/>
        <w:gridCol w:w="1882"/>
      </w:tblGrid>
      <w:tr>
        <w:trPr>
          <w:trHeight w:val="401" w:hRule="atLeast"/>
        </w:trPr>
        <w:tc>
          <w:tcPr>
            <w:tcW w:w="8932" w:type="dxa"/>
            <w:tcBorders>
              <w:top w:val="single" w:sz="18" w:space="0" w:color="000000"/>
              <w:left w:val="single" w:sz="18" w:space="0" w:color="000000"/>
              <w:bottom w:val="single" w:sz="6" w:space="0" w:color="000000"/>
            </w:tcBorders>
            <w:shd w:fill="D9D9D9" w:val="clear"/>
            <w:vAlign w:val="center"/>
          </w:tcPr>
          <w:p>
            <w:pPr>
              <w:pStyle w:val="NoSpacing"/>
              <w:rPr>
                <w:b/>
                <w:b/>
                <w:bCs/>
              </w:rPr>
            </w:pPr>
            <w:r>
              <w:rPr>
                <w:b/>
                <w:bCs/>
              </w:rPr>
              <w:t>QUALIFICATIONS</w:t>
            </w:r>
          </w:p>
        </w:tc>
        <w:tc>
          <w:tcPr>
            <w:tcW w:w="1890" w:type="dxa"/>
            <w:gridSpan w:val="2"/>
            <w:tcBorders>
              <w:top w:val="single" w:sz="18" w:space="0" w:color="000000"/>
              <w:left w:val="single" w:sz="6" w:space="0" w:color="000000"/>
              <w:bottom w:val="single" w:sz="6" w:space="0" w:color="000000"/>
              <w:right w:val="single" w:sz="18" w:space="0" w:color="000000"/>
            </w:tcBorders>
            <w:shd w:fill="D9D9D9" w:val="clear"/>
            <w:vAlign w:val="center"/>
          </w:tcPr>
          <w:p>
            <w:pPr>
              <w:pStyle w:val="NoSpacing"/>
              <w:rPr>
                <w:b/>
                <w:b/>
                <w:bCs/>
              </w:rPr>
            </w:pPr>
            <w:r>
              <w:rPr>
                <w:b/>
                <w:bCs/>
              </w:rPr>
              <w:t>Requirement</w:t>
            </w:r>
          </w:p>
        </w:tc>
      </w:tr>
      <w:tr>
        <w:trPr>
          <w:trHeight w:val="360"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3"/>
              </w:numPr>
              <w:spacing w:before="60" w:after="60"/>
              <w:ind w:left="297" w:right="0" w:hanging="297"/>
              <w:contextualSpacing/>
              <w:rPr>
                <w:rFonts w:ascii="Arial" w:hAnsi="Arial" w:cs="Arial"/>
                <w:sz w:val="24"/>
                <w:szCs w:val="24"/>
              </w:rPr>
            </w:pPr>
            <w:r>
              <w:rPr>
                <w:rFonts w:cs="Arial" w:ascii="Arial" w:hAnsi="Arial"/>
                <w:sz w:val="24"/>
                <w:szCs w:val="24"/>
              </w:rPr>
              <w:t>Relevant level 4 or higher careers advice and guidance professional qualification EG: Dip CG/QCG/NVQ 6 in Careers Guidance, Advice and Guidance or equivalent qualification (or working towards)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11"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3"/>
              </w:numPr>
              <w:spacing w:before="60" w:after="60"/>
              <w:ind w:left="297" w:right="0" w:hanging="297"/>
              <w:contextualSpacing/>
              <w:rPr>
                <w:rFonts w:ascii="Arial" w:hAnsi="Arial" w:cs="Arial"/>
                <w:sz w:val="24"/>
                <w:szCs w:val="24"/>
              </w:rPr>
            </w:pPr>
            <w:r>
              <w:rPr>
                <w:rFonts w:cs="Arial" w:ascii="Arial" w:hAnsi="Arial"/>
                <w:sz w:val="24"/>
                <w:szCs w:val="24"/>
              </w:rPr>
              <w:t>First Aid Qualification or be willing to gain an Appointed Person First Aid qualification within first year of employment</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374"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3"/>
              </w:numPr>
              <w:spacing w:before="60" w:after="60"/>
              <w:ind w:left="297" w:right="0" w:hanging="297"/>
              <w:contextualSpacing/>
              <w:rPr>
                <w:rFonts w:ascii="Arial" w:hAnsi="Arial" w:cs="Arial"/>
                <w:sz w:val="24"/>
                <w:szCs w:val="24"/>
              </w:rPr>
            </w:pPr>
            <w:r>
              <w:rPr>
                <w:rFonts w:cs="Arial" w:ascii="Arial" w:hAnsi="Arial"/>
                <w:sz w:val="24"/>
                <w:szCs w:val="24"/>
              </w:rPr>
              <w:t>Designated Safeguarding Lead or willingness to obtain</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11"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3"/>
              </w:numPr>
              <w:spacing w:before="60" w:after="60"/>
              <w:ind w:left="297" w:right="0" w:hanging="297"/>
              <w:contextualSpacing/>
              <w:rPr>
                <w:rFonts w:ascii="Arial" w:hAnsi="Arial" w:cs="Arial"/>
                <w:sz w:val="24"/>
                <w:szCs w:val="24"/>
              </w:rPr>
            </w:pPr>
            <w:r>
              <w:rPr>
                <w:rFonts w:cs="Arial" w:ascii="Arial" w:hAnsi="Arial"/>
                <w:sz w:val="24"/>
                <w:szCs w:val="24"/>
              </w:rPr>
              <w:t>Relevant level 6 or higher careers advice and guidance professional qualification EG: Dip CG/QCG/NVQ 6 in Careers Guidance, Advice and Guidance or equivalent qualification (or working towards)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D</w:t>
            </w:r>
          </w:p>
        </w:tc>
      </w:tr>
      <w:tr>
        <w:trPr>
          <w:trHeight w:val="360" w:hRule="atLeast"/>
        </w:trPr>
        <w:tc>
          <w:tcPr>
            <w:tcW w:w="10822" w:type="dxa"/>
            <w:gridSpan w:val="3"/>
            <w:tcBorders>
              <w:top w:val="single" w:sz="6" w:space="0" w:color="000000"/>
              <w:left w:val="single" w:sz="18" w:space="0" w:color="000000"/>
              <w:bottom w:val="single" w:sz="6" w:space="0" w:color="000000"/>
              <w:right w:val="single" w:sz="18" w:space="0" w:color="000000"/>
            </w:tcBorders>
            <w:shd w:fill="D9D9D9" w:val="clear"/>
            <w:vAlign w:val="center"/>
          </w:tcPr>
          <w:p>
            <w:pPr>
              <w:pStyle w:val="NoSpacing"/>
              <w:rPr>
                <w:b/>
                <w:b/>
                <w:bCs/>
              </w:rPr>
            </w:pPr>
            <w:r>
              <w:rPr>
                <w:b/>
                <w:bCs/>
              </w:rPr>
              <w:t>EXPERIENCE</w:t>
            </w:r>
          </w:p>
        </w:tc>
      </w:tr>
      <w:tr>
        <w:trPr>
          <w:trHeight w:val="360"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4"/>
              </w:numPr>
              <w:shd w:fill="FFFFFF" w:val="clear"/>
              <w:spacing w:before="60" w:after="60"/>
              <w:ind w:left="295" w:right="0" w:hanging="295"/>
              <w:contextualSpacing/>
              <w:rPr/>
            </w:pPr>
            <w:r>
              <w:rPr>
                <w:rFonts w:cs="Arial" w:ascii="Arial" w:hAnsi="Arial"/>
                <w:color w:val="0F151A"/>
                <w:sz w:val="24"/>
                <w:szCs w:val="24"/>
                <w:lang w:eastAsia="en-GB"/>
              </w:rPr>
              <w:t xml:space="preserve">Experience in delivering careers </w:t>
            </w:r>
            <w:r>
              <w:rPr>
                <w:rFonts w:cs="Arial" w:ascii="Arial" w:hAnsi="Arial"/>
                <w:color w:val="000000"/>
                <w:sz w:val="24"/>
                <w:szCs w:val="24"/>
                <w:lang w:eastAsia="en-GB"/>
              </w:rPr>
              <w:t>advice and guidance</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4"/>
              </w:numPr>
              <w:shd w:fill="FFFFFF" w:val="clear"/>
              <w:spacing w:before="60" w:after="60"/>
              <w:ind w:left="295" w:right="0" w:hanging="295"/>
              <w:contextualSpacing/>
              <w:rPr>
                <w:rFonts w:ascii="Arial" w:hAnsi="Arial" w:cs="Arial"/>
                <w:sz w:val="24"/>
                <w:szCs w:val="24"/>
              </w:rPr>
            </w:pPr>
            <w:r>
              <w:rPr>
                <w:rFonts w:cs="Arial" w:ascii="Arial" w:hAnsi="Arial"/>
                <w:sz w:val="24"/>
                <w:szCs w:val="24"/>
              </w:rPr>
              <w:t>Experience of working directly with young people/adults with SEND</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11"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4"/>
              </w:numPr>
              <w:spacing w:before="60" w:after="60"/>
              <w:ind w:left="295" w:right="0" w:hanging="295"/>
              <w:contextualSpacing/>
              <w:rPr>
                <w:rFonts w:ascii="Arial" w:hAnsi="Arial" w:cs="Arial"/>
                <w:sz w:val="24"/>
                <w:szCs w:val="24"/>
              </w:rPr>
            </w:pPr>
            <w:r>
              <w:rPr>
                <w:rFonts w:cs="Arial" w:ascii="Arial" w:hAnsi="Arial"/>
                <w:sz w:val="24"/>
                <w:szCs w:val="24"/>
              </w:rPr>
              <w:t>Experience in sourcing and managing work placements and/or other relevant employability activities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360"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4"/>
              </w:numPr>
              <w:shd w:fill="FFFFFF" w:val="clear"/>
              <w:spacing w:before="60" w:after="60"/>
              <w:ind w:left="295" w:right="0" w:hanging="295"/>
              <w:contextualSpacing/>
              <w:rPr>
                <w:rFonts w:ascii="Arial" w:hAnsi="Arial" w:cs="Arial"/>
                <w:sz w:val="24"/>
                <w:szCs w:val="24"/>
              </w:rPr>
            </w:pPr>
            <w:r>
              <w:rPr>
                <w:rFonts w:cs="Arial" w:ascii="Arial" w:hAnsi="Arial"/>
                <w:sz w:val="24"/>
                <w:szCs w:val="24"/>
              </w:rPr>
              <w:t xml:space="preserve">Experience of delivering 1-1 and/or group learning opportunities for young people with SEND aged 16 – 24 </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D</w:t>
            </w:r>
          </w:p>
        </w:tc>
      </w:tr>
      <w:tr>
        <w:trPr>
          <w:trHeight w:val="360" w:hRule="atLeast"/>
        </w:trPr>
        <w:tc>
          <w:tcPr>
            <w:tcW w:w="10822" w:type="dxa"/>
            <w:gridSpan w:val="3"/>
            <w:tcBorders>
              <w:top w:val="single" w:sz="6" w:space="0" w:color="000000"/>
              <w:left w:val="single" w:sz="18" w:space="0" w:color="000000"/>
              <w:bottom w:val="single" w:sz="6" w:space="0" w:color="000000"/>
              <w:right w:val="single" w:sz="18" w:space="0" w:color="000000"/>
            </w:tcBorders>
            <w:shd w:fill="D9D9D9" w:val="clear"/>
            <w:vAlign w:val="center"/>
          </w:tcPr>
          <w:p>
            <w:pPr>
              <w:pStyle w:val="NoSpacing"/>
              <w:rPr>
                <w:b/>
                <w:b/>
                <w:bCs/>
              </w:rPr>
            </w:pPr>
            <w:r>
              <w:rPr>
                <w:b/>
                <w:bCs/>
              </w:rPr>
              <w:t>KNOWLEDGE, SKILLS &amp; ABILITIES</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hd w:fill="FFFFFF" w:val="clear"/>
              <w:spacing w:before="144" w:after="144"/>
              <w:ind w:left="295" w:right="0" w:hanging="357"/>
              <w:contextualSpacing/>
              <w:rPr>
                <w:rFonts w:ascii="Arial" w:hAnsi="Arial" w:cs="Arial"/>
                <w:sz w:val="24"/>
                <w:szCs w:val="24"/>
              </w:rPr>
            </w:pPr>
            <w:r>
              <w:rPr>
                <w:rFonts w:cs="Arial" w:ascii="Arial" w:hAnsi="Arial"/>
                <w:sz w:val="24"/>
                <w:szCs w:val="24"/>
              </w:rPr>
              <w:t>Knowledge of Gatsby Benchmarks and good practice in careers guidance, and understanding of employability progression and development opportunities for young people post 16</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hd w:fill="FFFFFF" w:val="clear"/>
              <w:spacing w:before="144" w:after="144"/>
              <w:ind w:left="295" w:right="0" w:hanging="357"/>
              <w:contextualSpacing/>
              <w:rPr>
                <w:rFonts w:ascii="Arial" w:hAnsi="Arial" w:cs="Arial"/>
                <w:color w:val="0F151A"/>
                <w:sz w:val="24"/>
                <w:szCs w:val="24"/>
                <w:lang w:eastAsia="en-GB"/>
              </w:rPr>
            </w:pPr>
            <w:r>
              <w:rPr>
                <w:rFonts w:cs="Arial" w:ascii="Arial" w:hAnsi="Arial"/>
                <w:color w:val="0F151A"/>
                <w:sz w:val="24"/>
                <w:szCs w:val="24"/>
                <w:lang w:eastAsia="en-GB"/>
              </w:rPr>
              <w:t>Knowledge of up-to-date careers and labour market information including online career tools and platforms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hd w:fill="FFFFFF" w:val="clear"/>
              <w:spacing w:before="144" w:after="144"/>
              <w:ind w:left="295" w:right="0" w:hanging="357"/>
              <w:contextualSpacing/>
              <w:rPr>
                <w:rFonts w:ascii="Arial" w:hAnsi="Arial" w:cs="Arial"/>
                <w:sz w:val="24"/>
                <w:szCs w:val="24"/>
              </w:rPr>
            </w:pPr>
            <w:r>
              <w:rPr>
                <w:rFonts w:cs="Arial" w:ascii="Arial" w:hAnsi="Arial"/>
                <w:sz w:val="24"/>
                <w:szCs w:val="24"/>
              </w:rPr>
              <w:t>Good literacy, numeracy and IT skills to support recording, information processing &amp; communication</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pacing w:before="144" w:after="144"/>
              <w:ind w:left="295" w:right="0" w:hanging="357"/>
              <w:contextualSpacing/>
              <w:rPr/>
            </w:pPr>
            <w:r>
              <w:rPr>
                <w:rFonts w:cs="Arial" w:ascii="Arial" w:hAnsi="Arial"/>
                <w:color w:val="0F151A"/>
                <w:sz w:val="24"/>
                <w:szCs w:val="24"/>
                <w:lang w:eastAsia="en-GB"/>
              </w:rPr>
              <w:t>Strong communication and</w:t>
            </w:r>
            <w:r>
              <w:rPr>
                <w:rFonts w:cs="Arial" w:ascii="Arial" w:hAnsi="Arial"/>
                <w:color w:val="000000"/>
                <w:sz w:val="24"/>
                <w:szCs w:val="24"/>
                <w:lang w:eastAsia="en-GB"/>
              </w:rPr>
              <w:t xml:space="preserve"> interpersonal skills and ability to engage, motivate and influence</w:t>
            </w:r>
            <w:r>
              <w:rPr>
                <w:rFonts w:cs="Arial" w:ascii="Arial" w:hAnsi="Arial"/>
                <w:color w:val="000000"/>
                <w:sz w:val="27"/>
                <w:szCs w:val="27"/>
                <w:lang w:eastAsia="en-GB"/>
              </w:rPr>
              <w:t xml:space="preserve"> </w:t>
            </w:r>
            <w:r>
              <w:rPr>
                <w:rFonts w:cs="Arial" w:ascii="Arial" w:hAnsi="Arial"/>
                <w:color w:val="0F151A"/>
                <w:sz w:val="24"/>
                <w:szCs w:val="24"/>
                <w:lang w:eastAsia="en-GB"/>
              </w:rPr>
              <w:t>a diverse range of young people, parents/carers, employers and other professionals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pacing w:before="144" w:after="144"/>
              <w:ind w:left="295" w:right="0" w:hanging="357"/>
              <w:contextualSpacing/>
              <w:rPr>
                <w:rFonts w:ascii="Arial" w:hAnsi="Arial" w:cs="Arial"/>
                <w:sz w:val="24"/>
                <w:szCs w:val="24"/>
              </w:rPr>
            </w:pPr>
            <w:r>
              <w:rPr>
                <w:rFonts w:cs="Arial" w:ascii="Arial" w:hAnsi="Arial"/>
                <w:sz w:val="24"/>
                <w:szCs w:val="24"/>
              </w:rPr>
              <w:t>Awareness and skills in assessing and managing safeguarding, health and safety, and other risks related to working with learners with SEND and overseeing work placements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625" w:hRule="atLeast"/>
        </w:trPr>
        <w:tc>
          <w:tcPr>
            <w:tcW w:w="8932" w:type="dxa"/>
            <w:tcBorders>
              <w:top w:val="single" w:sz="6" w:space="0" w:color="000000"/>
              <w:left w:val="single" w:sz="18" w:space="0" w:color="000000"/>
              <w:bottom w:val="single" w:sz="6" w:space="0" w:color="000000"/>
            </w:tcBorders>
            <w:shd w:fill="auto" w:val="clear"/>
            <w:vAlign w:val="center"/>
          </w:tcPr>
          <w:p>
            <w:pPr>
              <w:pStyle w:val="ListParagraph"/>
              <w:numPr>
                <w:ilvl w:val="0"/>
                <w:numId w:val="5"/>
              </w:numPr>
              <w:spacing w:before="144" w:after="144"/>
              <w:ind w:left="295" w:right="0" w:hanging="357"/>
              <w:contextualSpacing/>
              <w:rPr>
                <w:rFonts w:ascii="Arial" w:hAnsi="Arial" w:cs="Arial"/>
                <w:sz w:val="24"/>
                <w:szCs w:val="24"/>
              </w:rPr>
            </w:pPr>
            <w:r>
              <w:rPr>
                <w:rFonts w:cs="Arial" w:ascii="Arial" w:hAnsi="Arial"/>
                <w:sz w:val="24"/>
                <w:szCs w:val="24"/>
              </w:rPr>
              <w:t>Understanding of issues facing young adults with SEND in their transition to adulthood and working life, and approaches to overcoming these</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vAlign w:val="center"/>
          </w:tcPr>
          <w:p>
            <w:pPr>
              <w:pStyle w:val="NoSpacing"/>
              <w:jc w:val="center"/>
              <w:rPr/>
            </w:pPr>
            <w:r>
              <w:rPr/>
              <w:t>E</w:t>
            </w:r>
          </w:p>
        </w:tc>
      </w:tr>
      <w:tr>
        <w:trPr>
          <w:trHeight w:val="389" w:hRule="atLeast"/>
        </w:trPr>
        <w:tc>
          <w:tcPr>
            <w:tcW w:w="8932" w:type="dxa"/>
            <w:tcBorders>
              <w:top w:val="single" w:sz="6" w:space="0" w:color="000000"/>
              <w:left w:val="single" w:sz="18" w:space="0" w:color="000000"/>
              <w:bottom w:val="single" w:sz="6" w:space="0" w:color="000000"/>
            </w:tcBorders>
            <w:shd w:fill="auto" w:val="clear"/>
          </w:tcPr>
          <w:p>
            <w:pPr>
              <w:pStyle w:val="ListParagraph"/>
              <w:numPr>
                <w:ilvl w:val="0"/>
                <w:numId w:val="5"/>
              </w:numPr>
              <w:shd w:fill="FFFFFF" w:val="clear"/>
              <w:spacing w:before="60" w:after="60"/>
              <w:ind w:left="295" w:right="0" w:hanging="357"/>
              <w:contextualSpacing/>
              <w:rPr>
                <w:rFonts w:ascii="Arial" w:hAnsi="Arial" w:cs="Arial"/>
                <w:color w:val="000000"/>
                <w:sz w:val="24"/>
                <w:szCs w:val="24"/>
                <w:lang w:eastAsia="en-GB"/>
              </w:rPr>
            </w:pPr>
            <w:r>
              <w:rPr>
                <w:rFonts w:cs="Arial" w:ascii="Arial" w:hAnsi="Arial"/>
                <w:color w:val="000000"/>
                <w:sz w:val="24"/>
                <w:szCs w:val="24"/>
                <w:lang w:eastAsia="en-GB"/>
              </w:rPr>
              <w:t>Ability to assess individual needs, inspire aspiration and self-belief, and co-develop action plans to support progression, transition and career development</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jc w:val="center"/>
              <w:rPr/>
            </w:pPr>
            <w:r>
              <w:rPr/>
              <w:t>D</w:t>
            </w:r>
          </w:p>
        </w:tc>
      </w:tr>
      <w:tr>
        <w:trPr>
          <w:trHeight w:val="374" w:hRule="atLeast"/>
        </w:trPr>
        <w:tc>
          <w:tcPr>
            <w:tcW w:w="10822" w:type="dxa"/>
            <w:gridSpan w:val="3"/>
            <w:tcBorders>
              <w:top w:val="single" w:sz="6" w:space="0" w:color="000000"/>
              <w:left w:val="single" w:sz="18" w:space="0" w:color="000000"/>
              <w:bottom w:val="single" w:sz="6" w:space="0" w:color="000000"/>
              <w:right w:val="single" w:sz="18" w:space="0" w:color="000000"/>
            </w:tcBorders>
            <w:shd w:fill="D9D9D9" w:val="clear"/>
            <w:vAlign w:val="center"/>
          </w:tcPr>
          <w:p>
            <w:pPr>
              <w:pStyle w:val="NoSpacing"/>
              <w:rPr>
                <w:b/>
                <w:b/>
              </w:rPr>
            </w:pPr>
            <w:r>
              <w:rPr>
                <w:b/>
              </w:rPr>
              <w:t>PERSONAL ATTRIBUTES</w:t>
            </w:r>
          </w:p>
        </w:tc>
      </w:tr>
      <w:tr>
        <w:trPr>
          <w:trHeight w:val="625" w:hRule="atLeast"/>
        </w:trPr>
        <w:tc>
          <w:tcPr>
            <w:tcW w:w="8940" w:type="dxa"/>
            <w:gridSpan w:val="2"/>
            <w:tcBorders>
              <w:top w:val="single" w:sz="6" w:space="0" w:color="000000"/>
              <w:left w:val="single" w:sz="18" w:space="0" w:color="000000"/>
              <w:bottom w:val="single" w:sz="6"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Tact and diplomacy in interpersonal relationships with students, staff and partners</w:t>
            </w:r>
          </w:p>
        </w:tc>
        <w:tc>
          <w:tcPr>
            <w:tcW w:w="1882" w:type="dxa"/>
            <w:tcBorders>
              <w:top w:val="single" w:sz="6" w:space="0" w:color="000000"/>
              <w:left w:val="single" w:sz="4" w:space="0" w:color="000000"/>
              <w:bottom w:val="single" w:sz="6" w:space="0" w:color="000000"/>
              <w:right w:val="single" w:sz="18" w:space="0" w:color="000000"/>
            </w:tcBorders>
            <w:shd w:fill="auto" w:val="clear"/>
          </w:tcPr>
          <w:p>
            <w:pPr>
              <w:pStyle w:val="Normal"/>
              <w:spacing w:before="60" w:after="60"/>
              <w:jc w:val="center"/>
              <w:rPr>
                <w:rFonts w:ascii="Arial" w:hAnsi="Arial" w:cs="Arial"/>
                <w:sz w:val="22"/>
              </w:rPr>
            </w:pPr>
            <w:r>
              <w:rPr>
                <w:rFonts w:cs="Arial" w:ascii="Arial" w:hAnsi="Arial"/>
                <w:sz w:val="22"/>
              </w:rPr>
              <w:t>E</w:t>
            </w:r>
          </w:p>
        </w:tc>
      </w:tr>
      <w:tr>
        <w:trPr>
          <w:trHeight w:val="360" w:hRule="atLeast"/>
        </w:trPr>
        <w:tc>
          <w:tcPr>
            <w:tcW w:w="8932" w:type="dxa"/>
            <w:tcBorders>
              <w:top w:val="single" w:sz="6" w:space="0" w:color="000000"/>
              <w:left w:val="single" w:sz="18" w:space="0" w:color="000000"/>
              <w:bottom w:val="single" w:sz="4"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Energy, vigour, understanding and humour in meeting the day-to-day demands of the project and creativity in problem-solving</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r>
        <w:trPr>
          <w:trHeight w:val="360" w:hRule="atLeast"/>
        </w:trPr>
        <w:tc>
          <w:tcPr>
            <w:tcW w:w="8932" w:type="dxa"/>
            <w:tcBorders>
              <w:top w:val="single" w:sz="6" w:space="0" w:color="000000"/>
              <w:left w:val="single" w:sz="18" w:space="0" w:color="000000"/>
              <w:bottom w:val="single" w:sz="4"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A positive attitude towards engaging young people</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r>
        <w:trPr>
          <w:trHeight w:val="360" w:hRule="atLeast"/>
        </w:trPr>
        <w:tc>
          <w:tcPr>
            <w:tcW w:w="8932" w:type="dxa"/>
            <w:tcBorders>
              <w:top w:val="single" w:sz="4" w:space="0" w:color="000000"/>
              <w:left w:val="single" w:sz="18" w:space="0" w:color="000000"/>
              <w:bottom w:val="single" w:sz="6"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The ability to work constructively as part of a team, to understand own position within team</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r>
        <w:trPr>
          <w:trHeight w:val="374" w:hRule="atLeast"/>
        </w:trPr>
        <w:tc>
          <w:tcPr>
            <w:tcW w:w="8932" w:type="dxa"/>
            <w:tcBorders>
              <w:top w:val="single" w:sz="6" w:space="0" w:color="000000"/>
              <w:left w:val="single" w:sz="18" w:space="0" w:color="000000"/>
              <w:bottom w:val="single" w:sz="6"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A commitment to safeguarding the welfare of children and young people</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r>
        <w:trPr>
          <w:trHeight w:val="360" w:hRule="atLeast"/>
        </w:trPr>
        <w:tc>
          <w:tcPr>
            <w:tcW w:w="8932" w:type="dxa"/>
            <w:tcBorders>
              <w:top w:val="single" w:sz="6" w:space="0" w:color="000000"/>
              <w:left w:val="single" w:sz="18" w:space="0" w:color="000000"/>
              <w:bottom w:val="single" w:sz="6"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Commitment to MYLs Mission and values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r>
        <w:trPr>
          <w:trHeight w:val="360" w:hRule="atLeast"/>
        </w:trPr>
        <w:tc>
          <w:tcPr>
            <w:tcW w:w="8932" w:type="dxa"/>
            <w:tcBorders>
              <w:top w:val="single" w:sz="6" w:space="0" w:color="000000"/>
              <w:left w:val="single" w:sz="18" w:space="0" w:color="000000"/>
              <w:bottom w:val="single" w:sz="6" w:space="0" w:color="000000"/>
            </w:tcBorders>
            <w:shd w:fill="auto" w:val="clear"/>
          </w:tcPr>
          <w:p>
            <w:pPr>
              <w:pStyle w:val="ListParagraph"/>
              <w:numPr>
                <w:ilvl w:val="0"/>
                <w:numId w:val="6"/>
              </w:numPr>
              <w:spacing w:before="60" w:after="60"/>
              <w:ind w:left="295" w:right="0" w:hanging="357"/>
              <w:contextualSpacing/>
              <w:jc w:val="both"/>
              <w:rPr>
                <w:rFonts w:ascii="Arial" w:hAnsi="Arial" w:cs="Arial"/>
                <w:sz w:val="24"/>
                <w:szCs w:val="24"/>
              </w:rPr>
            </w:pPr>
            <w:r>
              <w:rPr>
                <w:rFonts w:cs="Arial" w:ascii="Arial" w:hAnsi="Arial"/>
                <w:sz w:val="24"/>
                <w:szCs w:val="24"/>
              </w:rPr>
              <w:t>Willingness &amp; ability to undertake travel across City of Manchester on a regular basis</w:t>
            </w:r>
          </w:p>
        </w:tc>
        <w:tc>
          <w:tcPr>
            <w:tcW w:w="1890" w:type="dxa"/>
            <w:gridSpan w:val="2"/>
            <w:tcBorders>
              <w:top w:val="single" w:sz="6" w:space="0" w:color="000000"/>
              <w:left w:val="single" w:sz="6" w:space="0" w:color="000000"/>
              <w:bottom w:val="single" w:sz="6" w:space="0" w:color="000000"/>
              <w:right w:val="single" w:sz="18" w:space="0" w:color="000000"/>
            </w:tcBorders>
            <w:shd w:fill="auto" w:val="clear"/>
          </w:tcPr>
          <w:p>
            <w:pPr>
              <w:pStyle w:val="NoSpacing"/>
              <w:ind w:left="295" w:right="0" w:hanging="357"/>
              <w:jc w:val="center"/>
              <w:rPr/>
            </w:pPr>
            <w:r>
              <w:rPr/>
              <w:t>E</w:t>
            </w:r>
          </w:p>
        </w:tc>
      </w:tr>
    </w:tbl>
    <w:p>
      <w:pPr>
        <w:pStyle w:val="TextBody"/>
        <w:widowControl w:val="false"/>
        <w:rPr>
          <w:rFonts w:cs="Arial"/>
          <w:b/>
          <w:b/>
          <w:color w:val="000000"/>
          <w:szCs w:val="24"/>
          <w:lang w:val="en-GB"/>
        </w:rPr>
      </w:pPr>
      <w:r>
        <w:rPr>
          <w:rFonts w:cs="Arial"/>
          <w:b/>
          <w:color w:val="000000"/>
          <w:szCs w:val="24"/>
          <w:lang w:val="en-GB"/>
        </w:rPr>
      </w:r>
    </w:p>
    <w:p>
      <w:pPr>
        <w:pStyle w:val="TextBody"/>
        <w:widowControl w:val="false"/>
        <w:rPr>
          <w:rFonts w:cs="Arial"/>
          <w:b/>
          <w:b/>
          <w:color w:val="000000"/>
          <w:szCs w:val="24"/>
          <w:lang w:val="en-GB"/>
        </w:rPr>
      </w:pPr>
      <w:r>
        <w:rPr>
          <w:rFonts w:cs="Arial"/>
          <w:b/>
          <w:color w:val="000000"/>
          <w:szCs w:val="24"/>
          <w:lang w:val="en-GB"/>
        </w:rPr>
      </w:r>
    </w:p>
    <w:p>
      <w:pPr>
        <w:pStyle w:val="NoSpacing"/>
        <w:rPr>
          <w:bCs/>
          <w:lang w:eastAsia="en-GB"/>
        </w:rPr>
      </w:pPr>
      <w:r>
        <w:rPr>
          <w:bCs/>
          <w:lang w:eastAsia="en-GB"/>
        </w:rPr>
        <w:t>May 2026</w:t>
      </w:r>
    </w:p>
    <w:p>
      <w:pPr>
        <w:pStyle w:val="Normal"/>
        <w:ind w:left="720" w:right="0" w:hanging="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sectPr>
      <w:headerReference w:type="default" r:id="rId2"/>
      <w:type w:val="nextPage"/>
      <w:pgSz w:w="11906" w:h="16838"/>
      <w:pgMar w:left="1440" w:right="1440" w:header="709" w:top="851" w:footer="0" w:bottom="9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4"/>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rFonts w:ascii="Symbol" w:hAnsi="Symbol" w:cs="Symbol"/>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basedOn w:val="DefaultParagraphFont"/>
    <w:qFormat/>
    <w:rPr>
      <w:rFonts w:eastAsia="Times New Roman" w:cs="Times New Roman"/>
      <w:b/>
      <w:szCs w:val="20"/>
    </w:rPr>
  </w:style>
  <w:style w:type="character" w:styleId="TitleChar">
    <w:name w:val="Title Char"/>
    <w:basedOn w:val="DefaultParagraphFont"/>
    <w:qFormat/>
    <w:rPr>
      <w:rFonts w:eastAsia="Times New Roman" w:cs="Times New Roman"/>
      <w:b/>
      <w:spacing w:val="-3"/>
      <w:sz w:val="32"/>
      <w:szCs w:val="32"/>
    </w:rPr>
  </w:style>
  <w:style w:type="character" w:styleId="BodyTextChar">
    <w:name w:val="Body Text Char"/>
    <w:basedOn w:val="DefaultParagraphFont"/>
    <w:qFormat/>
    <w:rPr>
      <w:rFonts w:eastAsia="Times New Roman" w:cs="Times New Roman"/>
      <w:color w:val="0000FF"/>
      <w:szCs w:val="20"/>
      <w:lang w:val="en-US"/>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FooterChar">
    <w:name w:val="Foot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color w:val="0000FF"/>
      <w:sz w:val="24"/>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tabs>
        <w:tab w:val="clear" w:pos="720"/>
        <w:tab w:val="center" w:pos="4513" w:leader="none"/>
      </w:tabs>
      <w:suppressAutoHyphens w:val="true"/>
      <w:jc w:val="center"/>
    </w:pPr>
    <w:rPr>
      <w:rFonts w:ascii="Arial" w:hAnsi="Arial" w:cs="Arial"/>
      <w:b/>
      <w:spacing w:val="-3"/>
      <w:sz w:val="32"/>
      <w:szCs w:val="32"/>
    </w:rPr>
  </w:style>
  <w:style w:type="paragraph" w:styleId="TextBodyIndent">
    <w:name w:val="Body Text Indent"/>
    <w:basedOn w:val="Normal"/>
    <w:pPr>
      <w:spacing w:before="0" w:after="120"/>
      <w:ind w:left="283"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Arial" w:hAnsi="Arial" w:eastAsia="Calibri" w:cs="Arial"/>
      <w:color w:val="auto"/>
      <w:kern w:val="0"/>
      <w:sz w:val="20"/>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2026-07-10T12:33:00Z</dcterms:created>
  <dc:creator>Beth Aze</dc:creator>
  <dc:description/>
  <dc:language>en-US</dc:language>
  <cp:lastModifiedBy>Beth Aze</cp:lastModifiedBy>
  <cp:lastPrinted>1995-11-21T17:41:00Z</cp:lastPrinted>
  <dcterms:modified xsi:type="dcterms:W3CDTF">2026-07-10T12:41:00Z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0x010100ECFD03A47CAFB444AE4CEF4A594399DC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2186800</vt:i4>
  </property>
  <property fmtid="{D5CDD505-2E9C-101B-9397-08002B2CF9AE}" pid="8" name="ScaleCrop">
    <vt:bool>0</vt:bool>
  </property>
  <property fmtid="{D5CDD505-2E9C-101B-9397-08002B2CF9AE}" pid="9" name="ShareDoc">
    <vt:bool>0</vt:bool>
  </property>
</Properties>
</file>