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8855" w:type="dxa"/>
        <w:jc w:val="left"/>
        <w:tblInd w:w="0" w:type="dxa"/>
        <w:tblCellMar>
          <w:top w:w="0" w:type="dxa"/>
          <w:left w:w="108" w:type="dxa"/>
          <w:bottom w:w="0" w:type="dxa"/>
          <w:right w:w="108" w:type="dxa"/>
        </w:tblCellMar>
      </w:tblPr>
      <w:tblGrid>
        <w:gridCol w:w="2852"/>
        <w:gridCol w:w="6003"/>
      </w:tblGrid>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b/>
                <w:b/>
                <w:color w:val="000000"/>
              </w:rPr>
            </w:pPr>
            <w:r>
              <w:rPr>
                <w:rFonts w:cs="Arial" w:ascii="Arial" w:hAnsi="Arial"/>
                <w:b/>
                <w:color w:val="000000"/>
              </w:rPr>
              <w:t>Post Reference Number:</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color w:val="000000"/>
              </w:rPr>
            </w:pPr>
            <w:r>
              <w:rPr>
                <w:rFonts w:cs="Arial" w:ascii="Arial" w:hAnsi="Arial"/>
                <w:color w:val="000000"/>
              </w:rPr>
              <w:t>EXP-GEN ELWS 001</w:t>
            </w:r>
          </w:p>
        </w:tc>
      </w:tr>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b/>
                <w:b/>
                <w:color w:val="000000"/>
              </w:rPr>
            </w:pPr>
            <w:r>
              <w:rPr>
                <w:rFonts w:cs="Arial" w:ascii="Arial" w:hAnsi="Arial"/>
                <w:b/>
                <w:color w:val="000000"/>
              </w:rPr>
              <w:t>Post Title:</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color w:val="000000"/>
              </w:rPr>
            </w:pPr>
            <w:r>
              <w:rPr>
                <w:rFonts w:cs="Arial" w:ascii="Arial" w:hAnsi="Arial"/>
                <w:color w:val="000000"/>
              </w:rPr>
              <w:t>SEND Teacher General Subjects</w:t>
            </w:r>
          </w:p>
        </w:tc>
      </w:tr>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b/>
                <w:b/>
                <w:color w:val="000000"/>
              </w:rPr>
            </w:pPr>
            <w:r>
              <w:rPr>
                <w:rFonts w:cs="Arial" w:ascii="Arial" w:hAnsi="Arial"/>
                <w:b/>
                <w:color w:val="000000"/>
              </w:rPr>
              <w:t>Recruiting Manager:</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color w:val="000000"/>
              </w:rPr>
            </w:pPr>
            <w:r>
              <w:rPr>
                <w:rFonts w:cs="Arial" w:ascii="Arial" w:hAnsi="Arial"/>
                <w:color w:val="000000"/>
              </w:rPr>
              <w:t>Headteacher</w:t>
            </w:r>
          </w:p>
        </w:tc>
      </w:tr>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pPr>
            <w:r>
              <w:rPr>
                <w:rFonts w:cs="Arial" w:ascii="Arial" w:hAnsi="Arial"/>
                <w:b/>
                <w:color w:val="000000"/>
              </w:rPr>
              <w:t>Location:</w:t>
            </w:r>
            <w:r>
              <w:rPr>
                <w:rFonts w:cs="Arial" w:ascii="Arial" w:hAnsi="Arial"/>
                <w:color w:val="000000"/>
              </w:rPr>
              <w:t xml:space="preserve">      </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color w:val="000000"/>
              </w:rPr>
            </w:pPr>
            <w:r>
              <w:rPr>
                <w:rFonts w:cs="Arial" w:ascii="Arial" w:hAnsi="Arial"/>
                <w:color w:val="000000"/>
              </w:rPr>
              <w:t>Expanse Learning Wigan School, Tyrer Avenue, Wigan, WN3 5XE</w:t>
            </w:r>
          </w:p>
        </w:tc>
      </w:tr>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b/>
                <w:b/>
                <w:bCs/>
                <w:color w:val="000000"/>
              </w:rPr>
            </w:pPr>
            <w:r>
              <w:rPr>
                <w:rFonts w:cs="Arial" w:ascii="Arial" w:hAnsi="Arial"/>
                <w:b/>
                <w:bCs/>
                <w:color w:val="000000"/>
              </w:rPr>
              <w:t>Salary:</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color w:val="000000"/>
              </w:rPr>
            </w:pPr>
            <w:r>
              <w:rPr>
                <w:rFonts w:cs="Arial" w:ascii="Arial" w:hAnsi="Arial"/>
                <w:color w:val="000000"/>
              </w:rPr>
              <w:t xml:space="preserve">£31,650 to £43,607 (QTS Status) Spine point dependent upon experience. ECT’s will be considered for this post. </w:t>
            </w:r>
          </w:p>
        </w:tc>
      </w:tr>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b/>
                <w:b/>
                <w:color w:val="000000"/>
              </w:rPr>
            </w:pPr>
            <w:r>
              <w:rPr>
                <w:rFonts w:cs="Arial" w:ascii="Arial" w:hAnsi="Arial"/>
                <w:b/>
                <w:color w:val="000000"/>
              </w:rPr>
              <w:t>Work Pattern:</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eastAsia="Times New Roman" w:cs="Arial"/>
              </w:rPr>
            </w:pPr>
            <w:r>
              <w:rPr>
                <w:rFonts w:eastAsia="Times New Roman" w:cs="Arial" w:ascii="Arial" w:hAnsi="Arial"/>
              </w:rPr>
              <w:t>FTE (37.5 Hrs per week)</w:t>
            </w:r>
          </w:p>
        </w:tc>
      </w:tr>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b/>
                <w:b/>
                <w:color w:val="000000"/>
              </w:rPr>
            </w:pPr>
            <w:r>
              <w:rPr>
                <w:rFonts w:cs="Arial" w:ascii="Arial" w:hAnsi="Arial"/>
                <w:b/>
                <w:color w:val="000000"/>
              </w:rPr>
              <w:t>Responsible to:</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color w:val="000000"/>
              </w:rPr>
            </w:pPr>
            <w:r>
              <w:rPr>
                <w:rFonts w:cs="Arial" w:ascii="Arial" w:hAnsi="Arial"/>
                <w:color w:val="000000"/>
              </w:rPr>
              <w:t>Assistant Headteacher</w:t>
            </w:r>
          </w:p>
        </w:tc>
      </w:tr>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b/>
                <w:b/>
                <w:color w:val="000000"/>
              </w:rPr>
            </w:pPr>
            <w:r>
              <w:rPr>
                <w:rFonts w:cs="Arial" w:ascii="Arial" w:hAnsi="Arial"/>
                <w:b/>
                <w:color w:val="000000"/>
              </w:rPr>
              <w:t>Responsible for:</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color w:val="000000"/>
              </w:rPr>
            </w:pPr>
            <w:r>
              <w:rPr>
                <w:rFonts w:cs="Arial" w:ascii="Arial" w:hAnsi="Arial"/>
                <w:color w:val="000000"/>
              </w:rPr>
              <w:t xml:space="preserve">The delivery of general subjects  </w:t>
            </w:r>
          </w:p>
        </w:tc>
      </w:tr>
      <w:tr>
        <w:trPr>
          <w:trHeight w:val="340" w:hRule="atLeast"/>
        </w:trPr>
        <w:tc>
          <w:tcPr>
            <w:tcW w:w="2852"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b/>
                <w:b/>
                <w:color w:val="000000"/>
              </w:rPr>
            </w:pPr>
            <w:r>
              <w:rPr>
                <w:rFonts w:cs="Arial" w:ascii="Arial" w:hAnsi="Arial"/>
                <w:b/>
                <w:color w:val="000000"/>
              </w:rPr>
              <w:t>Closing Date:</w:t>
            </w:r>
          </w:p>
        </w:tc>
        <w:tc>
          <w:tcPr>
            <w:tcW w:w="6003" w:type="dxa"/>
            <w:tcBorders>
              <w:top w:val="single" w:sz="4" w:space="0" w:color="BFBFBF"/>
              <w:bottom w:val="single" w:sz="4" w:space="0" w:color="BFBFBF"/>
            </w:tcBorders>
            <w:shd w:fill="auto" w:val="clear"/>
            <w:vAlign w:val="center"/>
          </w:tcPr>
          <w:p>
            <w:pPr>
              <w:pStyle w:val="Normal"/>
              <w:spacing w:lineRule="auto" w:line="240" w:before="40" w:after="40"/>
              <w:rPr>
                <w:rFonts w:ascii="Arial" w:hAnsi="Arial" w:cs="Arial"/>
                <w:color w:val="000000"/>
              </w:rPr>
            </w:pPr>
            <w:r>
              <w:rPr>
                <w:rFonts w:cs="Arial" w:ascii="Arial" w:hAnsi="Arial"/>
                <w:color w:val="000000"/>
              </w:rPr>
              <w:t>01/06/2026</w:t>
            </w:r>
          </w:p>
        </w:tc>
      </w:tr>
    </w:tbl>
    <w:p>
      <w:pPr>
        <w:pStyle w:val="Heading2"/>
        <w:rPr>
          <w:rFonts w:ascii="Arial" w:hAnsi="Arial" w:cs="Arial"/>
          <w:color w:val="000000"/>
          <w:sz w:val="22"/>
          <w:szCs w:val="22"/>
        </w:rPr>
      </w:pPr>
      <w:r>
        <w:rPr>
          <w:rFonts w:cs="Arial" w:ascii="Arial" w:hAnsi="Arial"/>
          <w:color w:val="000000"/>
          <w:sz w:val="22"/>
          <w:szCs w:val="22"/>
        </w:rPr>
        <w:t>Role Purpose</w:t>
      </w:r>
    </w:p>
    <w:p>
      <w:pPr>
        <w:pStyle w:val="Normal"/>
        <w:rPr>
          <w:rFonts w:ascii="Arial" w:hAnsi="Arial" w:cs="Arial"/>
          <w:color w:val="000000"/>
          <w:sz w:val="20"/>
          <w:szCs w:val="20"/>
        </w:rPr>
      </w:pPr>
      <w:r>
        <w:rPr>
          <w:rFonts w:cs="Arial" w:ascii="Arial" w:hAnsi="Arial"/>
          <w:color w:val="000000"/>
          <w:sz w:val="20"/>
          <w:szCs w:val="20"/>
        </w:rPr>
        <w:t>The SEND General Subjects Teacher will be responsible for delivering high-quality, personalised education to students aged 11–16 with Special Educational Needs and Disabilities (SEND). The role aims to ensure that all students, regardless of their starting point, are supported to engage with learning, develop functional skills, emotional regulation, independence and positive attitudes to education.</w:t>
      </w:r>
    </w:p>
    <w:p>
      <w:pPr>
        <w:pStyle w:val="Normal"/>
        <w:rPr>
          <w:rFonts w:ascii="Arial" w:hAnsi="Arial" w:cs="Arial"/>
          <w:color w:val="000000"/>
          <w:sz w:val="20"/>
          <w:szCs w:val="20"/>
        </w:rPr>
      </w:pPr>
      <w:r>
        <w:rPr>
          <w:rFonts w:cs="Arial" w:ascii="Arial" w:hAnsi="Arial"/>
          <w:color w:val="000000"/>
          <w:sz w:val="20"/>
          <w:szCs w:val="20"/>
        </w:rPr>
        <w:t>The post holder will plan and deliver engaging, differentiated and accessible learning across a range of curriculum areas, informed by Education, Health and Care Plans (EHCPs). The role is particularly suited to teachers with a primary background who are confident teaching across the curriculum and adapting learning for pupils working significantly below age-related expectations.</w:t>
      </w:r>
    </w:p>
    <w:p>
      <w:pPr>
        <w:pStyle w:val="Normal"/>
        <w:rPr>
          <w:rFonts w:ascii="Arial" w:hAnsi="Arial" w:cs="Arial"/>
          <w:color w:val="000000"/>
          <w:sz w:val="20"/>
          <w:szCs w:val="20"/>
        </w:rPr>
      </w:pPr>
      <w:r>
        <w:rPr>
          <w:rFonts w:cs="Arial" w:ascii="Arial" w:hAnsi="Arial"/>
          <w:color w:val="000000"/>
          <w:sz w:val="20"/>
          <w:szCs w:val="20"/>
        </w:rPr>
        <w:t>Through a trauma-informed, inclusive and student-centred approach, the teacher will foster positive relationships, promote behaviour for learning, and work closely with teaching assistants, therapists and the wider multidisciplinary team to remove barriers to learning and support progress in all its forms.</w:t>
      </w:r>
    </w:p>
    <w:p>
      <w:pPr>
        <w:pStyle w:val="Heading2"/>
        <w:rPr>
          <w:rFonts w:ascii="Arial" w:hAnsi="Arial" w:cs="Arial"/>
          <w:color w:val="000000"/>
          <w:sz w:val="22"/>
          <w:szCs w:val="22"/>
        </w:rPr>
      </w:pPr>
      <w:r>
        <w:rPr>
          <w:rFonts w:cs="Arial" w:ascii="Arial" w:hAnsi="Arial"/>
          <w:color w:val="000000"/>
          <w:sz w:val="22"/>
          <w:szCs w:val="22"/>
        </w:rPr>
        <w:t>Job Description Statement</w:t>
      </w:r>
    </w:p>
    <w:p>
      <w:pPr>
        <w:pStyle w:val="RapidocsNotes1"/>
        <w:jc w:val="both"/>
        <w:rPr/>
      </w:pPr>
      <w:r>
        <w:rPr>
          <w:rFonts w:cs="Arial" w:ascii="Arial" w:hAnsi="Arial"/>
          <w:sz w:val="20"/>
        </w:rPr>
        <w:t xml:space="preserve">This job description provides an outline of the duties and responsibilities of the role, and the necessary skills and knowledge required to perform them as at the date it was created. By applying for this role, the candidate accepts that over time this job description may be subject to change as the candidate's duties and job evolves or as any changes to the school arise, this will be in </w:t>
      </w:r>
      <w:r>
        <w:rPr>
          <w:rFonts w:cs="Arial" w:ascii="Arial" w:hAnsi="Arial"/>
          <w:sz w:val="20"/>
          <w:lang w:bidi="en-GB"/>
        </w:rPr>
        <w:t>consultation and discussion with the candidate. It will periodically be reviewed as part of ongoing continuing professional and school development. In addition, it may be amended at any time after consultation with you.</w:t>
      </w:r>
    </w:p>
    <w:p>
      <w:pPr>
        <w:pStyle w:val="Heading2"/>
        <w:rPr>
          <w:rFonts w:ascii="Arial" w:hAnsi="Arial" w:cs="Arial"/>
          <w:color w:val="000000"/>
          <w:sz w:val="22"/>
          <w:szCs w:val="22"/>
        </w:rPr>
      </w:pPr>
      <w:r>
        <w:rPr>
          <w:rFonts w:cs="Arial" w:ascii="Arial" w:hAnsi="Arial"/>
          <w:color w:val="000000"/>
          <w:sz w:val="22"/>
          <w:szCs w:val="22"/>
        </w:rPr>
        <w:t>Safeguarding Statement</w:t>
      </w:r>
    </w:p>
    <w:p>
      <w:pPr>
        <w:pStyle w:val="RapidocsNotes1"/>
        <w:jc w:val="both"/>
        <w:rPr>
          <w:rFonts w:ascii="Arial" w:hAnsi="Arial" w:cs="Arial"/>
          <w:sz w:val="20"/>
          <w:lang w:bidi="en-GB"/>
        </w:rPr>
      </w:pPr>
      <w:r>
        <w:rPr>
          <w:rFonts w:cs="Arial" w:ascii="Arial" w:hAnsi="Arial"/>
          <w:sz w:val="20"/>
          <w:lang w:bidi="en-GB"/>
        </w:rPr>
        <w:t>Expanse Learning is committed to safeguarding and promoting the welfare of children and young people and expects all staff and volunteers to share this commitment. All post holders are subject to satisfactory disclosure and clearance prior to employment.</w:t>
      </w:r>
    </w:p>
    <w:p>
      <w:pPr>
        <w:pStyle w:val="RapidocsNotes1"/>
        <w:jc w:val="both"/>
        <w:rPr>
          <w:rFonts w:ascii="Arial" w:hAnsi="Arial" w:cs="Arial"/>
          <w:sz w:val="20"/>
          <w:lang w:bidi="en-GB"/>
        </w:rPr>
      </w:pPr>
      <w:r>
        <w:rPr>
          <w:rFonts w:cs="Arial" w:ascii="Arial" w:hAnsi="Arial"/>
          <w:sz w:val="20"/>
          <w:lang w:bidi="en-GB"/>
        </w:rPr>
      </w:r>
    </w:p>
    <w:p>
      <w:pPr>
        <w:pStyle w:val="RapidocsNotes1"/>
        <w:jc w:val="both"/>
        <w:rPr>
          <w:rFonts w:ascii="Arial" w:hAnsi="Arial" w:cs="Arial"/>
          <w:sz w:val="20"/>
          <w:lang w:bidi="en-GB"/>
        </w:rPr>
      </w:pPr>
      <w:r>
        <w:rPr>
          <w:rFonts w:cs="Arial" w:ascii="Arial" w:hAnsi="Arial"/>
          <w:sz w:val="20"/>
          <w:lang w:bidi="en-GB"/>
        </w:rPr>
        <w:t>It is unlawful for Expanse Learning to employ anyone who is barred from working with children. It is a criminal offence for any person who is barred from working with children to apply for a position at Expanse Learning. All applicants will be made aware that providing false information is an offence and could result in the application being rejected, or summary dismissal if the applicant has been selected, and referral to the police and/or the DBS.</w:t>
      </w:r>
    </w:p>
    <w:p>
      <w:pPr>
        <w:pStyle w:val="Heading2"/>
        <w:rPr>
          <w:rFonts w:ascii="Arial" w:hAnsi="Arial" w:cs="Arial"/>
          <w:color w:val="000000"/>
          <w:sz w:val="22"/>
          <w:szCs w:val="22"/>
        </w:rPr>
      </w:pPr>
      <w:r>
        <w:rPr>
          <w:rFonts w:cs="Arial" w:ascii="Arial" w:hAnsi="Arial"/>
          <w:color w:val="000000"/>
          <w:sz w:val="22"/>
          <w:szCs w:val="22"/>
        </w:rPr>
        <w:t>Equality Statement</w:t>
      </w:r>
    </w:p>
    <w:p>
      <w:pPr>
        <w:pStyle w:val="Normal"/>
        <w:rPr>
          <w:rFonts w:ascii="Arial" w:hAnsi="Arial" w:cs="Arial"/>
          <w:sz w:val="20"/>
          <w:szCs w:val="20"/>
        </w:rPr>
      </w:pPr>
      <w:r>
        <w:rPr>
          <w:rFonts w:cs="Arial" w:ascii="Arial" w:hAnsi="Arial"/>
          <w:sz w:val="20"/>
          <w:szCs w:val="20"/>
        </w:rPr>
        <w:t xml:space="preserve">We are committed to achieving equal opportunities in the way we deliver services to the community and in our employment arrangements. We expect all employees to understand and promote this policy in their work. </w:t>
      </w:r>
    </w:p>
    <w:p>
      <w:pPr>
        <w:pStyle w:val="Normal"/>
        <w:rPr>
          <w:rFonts w:ascii="Arial" w:hAnsi="Arial" w:cs="Arial"/>
          <w:sz w:val="20"/>
          <w:szCs w:val="20"/>
        </w:rPr>
      </w:pPr>
      <w:r>
        <w:rPr>
          <w:rFonts w:cs="Arial" w:ascii="Arial" w:hAnsi="Arial"/>
          <w:sz w:val="20"/>
          <w:szCs w:val="20"/>
        </w:rPr>
        <w:t>Employees will be recruited based on their qualifications and experience to do the work to be performed, regardless of sex, sexual orientation, gender reassignment, marital or civil partnership status, race, colour, ethnic or national origin, nationality, religion or belief, political opinion, age, pregnancy &amp; maternity, disability or trade union membership status.</w:t>
      </w:r>
    </w:p>
    <w:p>
      <w:pPr>
        <w:pStyle w:val="Heading2"/>
        <w:rPr>
          <w:rFonts w:ascii="Arial" w:hAnsi="Arial" w:cs="Arial"/>
          <w:color w:val="000000"/>
          <w:sz w:val="22"/>
          <w:szCs w:val="22"/>
        </w:rPr>
      </w:pPr>
      <w:r>
        <w:rPr>
          <w:rFonts w:cs="Arial" w:ascii="Arial" w:hAnsi="Arial"/>
          <w:color w:val="000000"/>
          <w:sz w:val="22"/>
          <w:szCs w:val="22"/>
        </w:rPr>
        <w:t>Health and Safety</w:t>
      </w:r>
    </w:p>
    <w:p>
      <w:pPr>
        <w:pStyle w:val="Normal"/>
        <w:rPr>
          <w:rFonts w:ascii="Arial" w:hAnsi="Arial" w:cs="Arial"/>
          <w:color w:val="000000"/>
          <w:sz w:val="20"/>
          <w:szCs w:val="20"/>
        </w:rPr>
      </w:pPr>
      <w:r>
        <w:rPr>
          <w:rFonts w:cs="Arial" w:ascii="Arial" w:hAnsi="Arial"/>
          <w:color w:val="000000"/>
          <w:sz w:val="20"/>
          <w:szCs w:val="20"/>
        </w:rPr>
        <w:t>All employees have a responsibility for their own health and safety and that of others when carrying out their duties, and must support the school’s health and safety policies.</w:t>
      </w:r>
    </w:p>
    <w:p>
      <w:pPr>
        <w:pStyle w:val="Heading2"/>
        <w:rPr>
          <w:rFonts w:ascii="Arial" w:hAnsi="Arial" w:cs="Arial"/>
          <w:color w:val="000000"/>
          <w:sz w:val="22"/>
          <w:szCs w:val="22"/>
        </w:rPr>
      </w:pPr>
      <w:r>
        <w:rPr>
          <w:rFonts w:cs="Arial" w:ascii="Arial" w:hAnsi="Arial"/>
          <w:color w:val="000000"/>
          <w:sz w:val="22"/>
          <w:szCs w:val="22"/>
        </w:rPr>
        <w:t>Key Responsibilities</w:t>
      </w:r>
    </w:p>
    <w:p>
      <w:pPr>
        <w:pStyle w:val="Heading3"/>
        <w:rPr>
          <w:rFonts w:ascii="Arial" w:hAnsi="Arial" w:cs="Arial"/>
          <w:color w:val="000000"/>
          <w:sz w:val="20"/>
          <w:szCs w:val="20"/>
        </w:rPr>
      </w:pPr>
      <w:r>
        <w:rPr>
          <w:rFonts w:cs="Arial" w:ascii="Arial" w:hAnsi="Arial"/>
          <w:color w:val="000000"/>
          <w:sz w:val="20"/>
          <w:szCs w:val="20"/>
        </w:rPr>
        <w:t>Teaching &amp; Learning</w:t>
      </w:r>
    </w:p>
    <w:p>
      <w:pPr>
        <w:pStyle w:val="ListBullet"/>
        <w:numPr>
          <w:ilvl w:val="0"/>
          <w:numId w:val="2"/>
        </w:numPr>
        <w:rPr>
          <w:rFonts w:ascii="Arial" w:hAnsi="Arial" w:cs="Arial"/>
          <w:color w:val="000000"/>
          <w:sz w:val="20"/>
          <w:szCs w:val="20"/>
        </w:rPr>
      </w:pPr>
      <w:r>
        <w:rPr>
          <w:rFonts w:cs="Arial" w:ascii="Arial" w:hAnsi="Arial"/>
          <w:color w:val="000000"/>
          <w:sz w:val="20"/>
          <w:szCs w:val="20"/>
        </w:rPr>
        <w:t>Plan, deliver and evaluate high-quality, engaging and differentiated lessons across a range of curriculum areas.</w:t>
      </w:r>
    </w:p>
    <w:p>
      <w:pPr>
        <w:pStyle w:val="ListBullet"/>
        <w:numPr>
          <w:ilvl w:val="0"/>
          <w:numId w:val="2"/>
        </w:numPr>
        <w:rPr>
          <w:rFonts w:ascii="Arial" w:hAnsi="Arial" w:cs="Arial"/>
          <w:color w:val="000000"/>
          <w:sz w:val="20"/>
          <w:szCs w:val="20"/>
        </w:rPr>
      </w:pPr>
      <w:r>
        <w:rPr>
          <w:rFonts w:cs="Arial" w:ascii="Arial" w:hAnsi="Arial"/>
          <w:color w:val="000000"/>
          <w:sz w:val="20"/>
          <w:szCs w:val="20"/>
        </w:rPr>
        <w:t>Adapt the curriculum to ensure it is accessible, relevant and ambitious for all students, including those working significantly below age-related expectations.</w:t>
      </w:r>
    </w:p>
    <w:p>
      <w:pPr>
        <w:pStyle w:val="ListBullet"/>
        <w:numPr>
          <w:ilvl w:val="0"/>
          <w:numId w:val="2"/>
        </w:numPr>
        <w:rPr>
          <w:rFonts w:ascii="Arial" w:hAnsi="Arial" w:cs="Arial"/>
          <w:color w:val="000000"/>
          <w:sz w:val="20"/>
          <w:szCs w:val="20"/>
        </w:rPr>
      </w:pPr>
      <w:r>
        <w:rPr>
          <w:rFonts w:cs="Arial" w:ascii="Arial" w:hAnsi="Arial"/>
          <w:color w:val="000000"/>
          <w:sz w:val="20"/>
          <w:szCs w:val="20"/>
        </w:rPr>
        <w:t>Deliver learning that supports functional skills, independence and preparation for adulthood.</w:t>
      </w:r>
    </w:p>
    <w:p>
      <w:pPr>
        <w:pStyle w:val="ListBullet"/>
        <w:numPr>
          <w:ilvl w:val="0"/>
          <w:numId w:val="2"/>
        </w:numPr>
        <w:rPr>
          <w:rFonts w:ascii="Arial" w:hAnsi="Arial" w:cs="Arial"/>
          <w:color w:val="000000"/>
          <w:sz w:val="20"/>
          <w:szCs w:val="20"/>
        </w:rPr>
      </w:pPr>
      <w:r>
        <w:rPr>
          <w:rFonts w:cs="Arial" w:ascii="Arial" w:hAnsi="Arial"/>
          <w:color w:val="000000"/>
          <w:sz w:val="20"/>
          <w:szCs w:val="20"/>
        </w:rPr>
        <w:t>Use a range of multi-sensory, practical and responsive teaching strategies.</w:t>
      </w:r>
    </w:p>
    <w:p>
      <w:pPr>
        <w:pStyle w:val="ListBullet"/>
        <w:numPr>
          <w:ilvl w:val="0"/>
          <w:numId w:val="2"/>
        </w:numPr>
        <w:rPr>
          <w:rFonts w:ascii="Arial" w:hAnsi="Arial" w:cs="Arial"/>
          <w:color w:val="000000"/>
          <w:sz w:val="20"/>
          <w:szCs w:val="20"/>
        </w:rPr>
      </w:pPr>
      <w:r>
        <w:rPr>
          <w:rFonts w:cs="Arial" w:ascii="Arial" w:hAnsi="Arial"/>
          <w:color w:val="000000"/>
          <w:sz w:val="20"/>
          <w:szCs w:val="20"/>
        </w:rPr>
        <w:t>Break down learning into small, achievable steps and celebrate progress in all its forms.</w:t>
      </w:r>
    </w:p>
    <w:p>
      <w:pPr>
        <w:pStyle w:val="ListBullet"/>
        <w:numPr>
          <w:ilvl w:val="0"/>
          <w:numId w:val="2"/>
        </w:numPr>
        <w:rPr>
          <w:rFonts w:ascii="Arial" w:hAnsi="Arial" w:cs="Arial"/>
          <w:color w:val="000000"/>
          <w:sz w:val="20"/>
          <w:szCs w:val="20"/>
        </w:rPr>
      </w:pPr>
      <w:r>
        <w:rPr>
          <w:rFonts w:cs="Arial" w:ascii="Arial" w:hAnsi="Arial"/>
          <w:color w:val="000000"/>
          <w:sz w:val="20"/>
          <w:szCs w:val="20"/>
        </w:rPr>
        <w:t>Create a safe, structured and stimulating learning environment that promotes positive behaviour and emotional regulation.</w:t>
      </w:r>
    </w:p>
    <w:p>
      <w:pPr>
        <w:pStyle w:val="Heading3"/>
        <w:rPr>
          <w:rFonts w:ascii="Arial" w:hAnsi="Arial" w:cs="Arial"/>
          <w:color w:val="000000"/>
          <w:sz w:val="20"/>
          <w:szCs w:val="20"/>
        </w:rPr>
      </w:pPr>
      <w:r>
        <w:rPr>
          <w:rFonts w:cs="Arial" w:ascii="Arial" w:hAnsi="Arial"/>
          <w:color w:val="000000"/>
          <w:sz w:val="20"/>
          <w:szCs w:val="20"/>
        </w:rPr>
        <w:t>Assessment, Progress &amp; Outcomes</w:t>
      </w:r>
    </w:p>
    <w:p>
      <w:pPr>
        <w:pStyle w:val="ListBullet"/>
        <w:numPr>
          <w:ilvl w:val="0"/>
          <w:numId w:val="2"/>
        </w:numPr>
        <w:rPr>
          <w:rFonts w:ascii="Arial" w:hAnsi="Arial" w:cs="Arial"/>
          <w:color w:val="000000"/>
          <w:sz w:val="20"/>
          <w:szCs w:val="20"/>
        </w:rPr>
      </w:pPr>
      <w:r>
        <w:rPr>
          <w:rFonts w:cs="Arial" w:ascii="Arial" w:hAnsi="Arial"/>
          <w:color w:val="000000"/>
          <w:sz w:val="20"/>
          <w:szCs w:val="20"/>
        </w:rPr>
        <w:t>Assess, monitor and record student progress using formative and summative assessment appropriate to a SEND setting.</w:t>
      </w:r>
    </w:p>
    <w:p>
      <w:pPr>
        <w:pStyle w:val="ListBullet"/>
        <w:numPr>
          <w:ilvl w:val="0"/>
          <w:numId w:val="2"/>
        </w:numPr>
        <w:rPr>
          <w:rFonts w:ascii="Arial" w:hAnsi="Arial" w:cs="Arial"/>
          <w:color w:val="000000"/>
          <w:sz w:val="20"/>
          <w:szCs w:val="20"/>
        </w:rPr>
      </w:pPr>
      <w:r>
        <w:rPr>
          <w:rFonts w:cs="Arial" w:ascii="Arial" w:hAnsi="Arial"/>
          <w:color w:val="000000"/>
          <w:sz w:val="20"/>
          <w:szCs w:val="20"/>
        </w:rPr>
        <w:t>Set aspirational yet realistic targets aligned to EHCP outcomes.</w:t>
      </w:r>
    </w:p>
    <w:p>
      <w:pPr>
        <w:pStyle w:val="ListBullet"/>
        <w:numPr>
          <w:ilvl w:val="0"/>
          <w:numId w:val="2"/>
        </w:numPr>
        <w:rPr>
          <w:rFonts w:ascii="Arial" w:hAnsi="Arial" w:cs="Arial"/>
          <w:color w:val="000000"/>
          <w:sz w:val="20"/>
          <w:szCs w:val="20"/>
        </w:rPr>
      </w:pPr>
      <w:r>
        <w:rPr>
          <w:rFonts w:cs="Arial" w:ascii="Arial" w:hAnsi="Arial"/>
          <w:color w:val="000000"/>
          <w:sz w:val="20"/>
          <w:szCs w:val="20"/>
        </w:rPr>
        <w:t>Contribute to annual reviews, progress reviews and multi-agency meetings.</w:t>
      </w:r>
    </w:p>
    <w:p>
      <w:pPr>
        <w:pStyle w:val="ListBullet"/>
        <w:numPr>
          <w:ilvl w:val="0"/>
          <w:numId w:val="2"/>
        </w:numPr>
        <w:rPr>
          <w:rFonts w:ascii="Arial" w:hAnsi="Arial" w:cs="Arial"/>
          <w:color w:val="000000"/>
          <w:sz w:val="20"/>
          <w:szCs w:val="20"/>
        </w:rPr>
      </w:pPr>
      <w:r>
        <w:rPr>
          <w:rFonts w:cs="Arial" w:ascii="Arial" w:hAnsi="Arial"/>
          <w:color w:val="000000"/>
          <w:sz w:val="20"/>
          <w:szCs w:val="20"/>
        </w:rPr>
        <w:t>Provide clear and accurate reports to parents/carers and senior leaders.</w:t>
      </w:r>
    </w:p>
    <w:p>
      <w:pPr>
        <w:pStyle w:val="ListBullet"/>
        <w:numPr>
          <w:ilvl w:val="0"/>
          <w:numId w:val="2"/>
        </w:numPr>
        <w:rPr>
          <w:rFonts w:ascii="Arial" w:hAnsi="Arial" w:cs="Arial"/>
          <w:color w:val="000000"/>
          <w:sz w:val="20"/>
          <w:szCs w:val="20"/>
        </w:rPr>
      </w:pPr>
      <w:r>
        <w:rPr>
          <w:rFonts w:cs="Arial" w:ascii="Arial" w:hAnsi="Arial"/>
          <w:color w:val="000000"/>
          <w:sz w:val="20"/>
          <w:szCs w:val="20"/>
        </w:rPr>
        <w:t>Contribute to parents’ evenings and whole-school events.</w:t>
      </w:r>
    </w:p>
    <w:p>
      <w:pPr>
        <w:pStyle w:val="Heading3"/>
        <w:rPr>
          <w:rFonts w:ascii="Arial" w:hAnsi="Arial" w:cs="Arial"/>
          <w:color w:val="000000"/>
          <w:sz w:val="20"/>
          <w:szCs w:val="20"/>
        </w:rPr>
      </w:pPr>
      <w:r>
        <w:rPr>
          <w:rFonts w:cs="Arial" w:ascii="Arial" w:hAnsi="Arial"/>
          <w:color w:val="000000"/>
          <w:sz w:val="20"/>
          <w:szCs w:val="20"/>
        </w:rPr>
        <w:t>Behaviour, Wellbeing &amp; Safeguarding</w:t>
      </w:r>
    </w:p>
    <w:p>
      <w:pPr>
        <w:pStyle w:val="ListBullet"/>
        <w:numPr>
          <w:ilvl w:val="0"/>
          <w:numId w:val="2"/>
        </w:numPr>
        <w:rPr>
          <w:rFonts w:ascii="Arial" w:hAnsi="Arial" w:cs="Arial"/>
          <w:color w:val="000000"/>
          <w:sz w:val="20"/>
          <w:szCs w:val="20"/>
        </w:rPr>
      </w:pPr>
      <w:r>
        <w:rPr>
          <w:rFonts w:cs="Arial" w:ascii="Arial" w:hAnsi="Arial"/>
          <w:color w:val="000000"/>
          <w:sz w:val="20"/>
          <w:szCs w:val="20"/>
        </w:rPr>
        <w:t>Implement the school’s behaviour policy consistently using positive behaviour support and de-escalation strategies.</w:t>
      </w:r>
    </w:p>
    <w:p>
      <w:pPr>
        <w:pStyle w:val="ListBullet"/>
        <w:numPr>
          <w:ilvl w:val="0"/>
          <w:numId w:val="2"/>
        </w:numPr>
        <w:rPr>
          <w:rFonts w:ascii="Arial" w:hAnsi="Arial" w:cs="Arial"/>
          <w:color w:val="000000"/>
          <w:sz w:val="20"/>
          <w:szCs w:val="20"/>
        </w:rPr>
      </w:pPr>
      <w:r>
        <w:rPr>
          <w:rFonts w:cs="Arial" w:ascii="Arial" w:hAnsi="Arial"/>
          <w:color w:val="000000"/>
          <w:sz w:val="20"/>
          <w:szCs w:val="20"/>
        </w:rPr>
        <w:t>Support students’ emotional wellbeing through trauma-informed practice.</w:t>
      </w:r>
    </w:p>
    <w:p>
      <w:pPr>
        <w:pStyle w:val="ListBullet"/>
        <w:numPr>
          <w:ilvl w:val="0"/>
          <w:numId w:val="2"/>
        </w:numPr>
        <w:rPr>
          <w:rFonts w:ascii="Arial" w:hAnsi="Arial" w:cs="Arial"/>
          <w:color w:val="000000"/>
          <w:sz w:val="20"/>
          <w:szCs w:val="20"/>
        </w:rPr>
      </w:pPr>
      <w:r>
        <w:rPr>
          <w:rFonts w:cs="Arial" w:ascii="Arial" w:hAnsi="Arial"/>
          <w:color w:val="000000"/>
          <w:sz w:val="20"/>
          <w:szCs w:val="20"/>
        </w:rPr>
        <w:t>Act as a safeguarding role model and follow all safeguarding and child protection procedures.</w:t>
      </w:r>
    </w:p>
    <w:p>
      <w:pPr>
        <w:pStyle w:val="ListBullet"/>
        <w:numPr>
          <w:ilvl w:val="0"/>
          <w:numId w:val="2"/>
        </w:numPr>
        <w:rPr>
          <w:rFonts w:ascii="Arial" w:hAnsi="Arial" w:cs="Arial"/>
          <w:color w:val="000000"/>
          <w:sz w:val="20"/>
          <w:szCs w:val="20"/>
        </w:rPr>
      </w:pPr>
      <w:r>
        <w:rPr>
          <w:rFonts w:cs="Arial" w:ascii="Arial" w:hAnsi="Arial"/>
          <w:color w:val="000000"/>
          <w:sz w:val="20"/>
          <w:szCs w:val="20"/>
        </w:rPr>
        <w:t>Maintain high expectations for behaviour, inclusion and student dignity at all times.</w:t>
      </w:r>
    </w:p>
    <w:p>
      <w:pPr>
        <w:pStyle w:val="Heading3"/>
        <w:rPr>
          <w:rFonts w:ascii="Arial" w:hAnsi="Arial" w:cs="Arial"/>
          <w:color w:val="000000"/>
          <w:sz w:val="20"/>
          <w:szCs w:val="20"/>
        </w:rPr>
      </w:pPr>
      <w:r>
        <w:rPr>
          <w:rFonts w:cs="Arial" w:ascii="Arial" w:hAnsi="Arial"/>
          <w:color w:val="000000"/>
          <w:sz w:val="20"/>
          <w:szCs w:val="20"/>
        </w:rPr>
        <w:t>Working with Others</w:t>
      </w:r>
    </w:p>
    <w:p>
      <w:pPr>
        <w:pStyle w:val="ListBullet"/>
        <w:numPr>
          <w:ilvl w:val="0"/>
          <w:numId w:val="2"/>
        </w:numPr>
        <w:rPr>
          <w:rFonts w:ascii="Arial" w:hAnsi="Arial" w:cs="Arial"/>
          <w:color w:val="000000"/>
          <w:sz w:val="20"/>
          <w:szCs w:val="20"/>
        </w:rPr>
      </w:pPr>
      <w:r>
        <w:rPr>
          <w:rFonts w:cs="Arial" w:ascii="Arial" w:hAnsi="Arial"/>
          <w:color w:val="000000"/>
          <w:sz w:val="20"/>
          <w:szCs w:val="20"/>
        </w:rPr>
        <w:t>Work collaboratively with teaching assistants to plan, deliver and adapt learning.</w:t>
      </w:r>
    </w:p>
    <w:p>
      <w:pPr>
        <w:pStyle w:val="ListBullet"/>
        <w:numPr>
          <w:ilvl w:val="0"/>
          <w:numId w:val="2"/>
        </w:numPr>
        <w:rPr>
          <w:rFonts w:ascii="Arial" w:hAnsi="Arial" w:cs="Arial"/>
          <w:color w:val="000000"/>
          <w:sz w:val="20"/>
          <w:szCs w:val="20"/>
        </w:rPr>
      </w:pPr>
      <w:r>
        <w:rPr>
          <w:rFonts w:cs="Arial" w:ascii="Arial" w:hAnsi="Arial"/>
          <w:color w:val="000000"/>
          <w:sz w:val="20"/>
          <w:szCs w:val="20"/>
        </w:rPr>
        <w:t>Liaise with SLT, SENCOs, pastoral teams, therapists and external professionals.</w:t>
      </w:r>
    </w:p>
    <w:p>
      <w:pPr>
        <w:pStyle w:val="ListBullet"/>
        <w:numPr>
          <w:ilvl w:val="0"/>
          <w:numId w:val="2"/>
        </w:numPr>
        <w:rPr>
          <w:rFonts w:ascii="Arial" w:hAnsi="Arial" w:cs="Arial"/>
          <w:color w:val="000000"/>
          <w:sz w:val="20"/>
          <w:szCs w:val="20"/>
        </w:rPr>
      </w:pPr>
      <w:r>
        <w:rPr>
          <w:rFonts w:cs="Arial" w:ascii="Arial" w:hAnsi="Arial"/>
          <w:color w:val="000000"/>
          <w:sz w:val="20"/>
          <w:szCs w:val="20"/>
        </w:rPr>
        <w:t>Build positive, professional relationships with families and carers.</w:t>
      </w:r>
    </w:p>
    <w:p>
      <w:pPr>
        <w:pStyle w:val="ListBullet"/>
        <w:numPr>
          <w:ilvl w:val="0"/>
          <w:numId w:val="2"/>
        </w:numPr>
        <w:rPr>
          <w:rFonts w:ascii="Arial" w:hAnsi="Arial" w:cs="Arial"/>
          <w:color w:val="000000"/>
          <w:sz w:val="20"/>
          <w:szCs w:val="20"/>
        </w:rPr>
      </w:pPr>
      <w:r>
        <w:rPr>
          <w:rFonts w:cs="Arial" w:ascii="Arial" w:hAnsi="Arial"/>
          <w:color w:val="000000"/>
          <w:sz w:val="20"/>
          <w:szCs w:val="20"/>
        </w:rPr>
        <w:t>Contribute to whole-school planning, review and development.</w:t>
      </w:r>
    </w:p>
    <w:p>
      <w:pPr>
        <w:pStyle w:val="Heading3"/>
        <w:rPr>
          <w:rFonts w:ascii="Arial" w:hAnsi="Arial" w:cs="Arial"/>
          <w:color w:val="000000"/>
          <w:sz w:val="20"/>
          <w:szCs w:val="20"/>
        </w:rPr>
      </w:pPr>
      <w:r>
        <w:rPr>
          <w:rFonts w:cs="Arial" w:ascii="Arial" w:hAnsi="Arial"/>
          <w:color w:val="000000"/>
          <w:sz w:val="20"/>
          <w:szCs w:val="20"/>
        </w:rPr>
        <w:t>Professional Responsibilities</w:t>
      </w:r>
    </w:p>
    <w:p>
      <w:pPr>
        <w:pStyle w:val="ListBullet"/>
        <w:numPr>
          <w:ilvl w:val="0"/>
          <w:numId w:val="2"/>
        </w:numPr>
        <w:rPr>
          <w:rFonts w:ascii="Arial" w:hAnsi="Arial" w:cs="Arial"/>
          <w:color w:val="000000"/>
          <w:sz w:val="20"/>
          <w:szCs w:val="20"/>
        </w:rPr>
      </w:pPr>
      <w:r>
        <w:rPr>
          <w:rFonts w:cs="Arial" w:ascii="Arial" w:hAnsi="Arial"/>
          <w:color w:val="000000"/>
          <w:sz w:val="20"/>
          <w:szCs w:val="20"/>
        </w:rPr>
        <w:t>Maintain up-to-date knowledge of SEND and inclusive teaching practice.</w:t>
      </w:r>
    </w:p>
    <w:p>
      <w:pPr>
        <w:pStyle w:val="ListBullet"/>
        <w:numPr>
          <w:ilvl w:val="0"/>
          <w:numId w:val="2"/>
        </w:numPr>
        <w:rPr>
          <w:rFonts w:ascii="Arial" w:hAnsi="Arial" w:cs="Arial"/>
          <w:color w:val="000000"/>
          <w:sz w:val="20"/>
          <w:szCs w:val="20"/>
        </w:rPr>
      </w:pPr>
      <w:r>
        <w:rPr>
          <w:rFonts w:cs="Arial" w:ascii="Arial" w:hAnsi="Arial"/>
          <w:color w:val="000000"/>
          <w:sz w:val="20"/>
          <w:szCs w:val="20"/>
        </w:rPr>
        <w:t>Engage in continuous professional development and reflective practice.</w:t>
      </w:r>
    </w:p>
    <w:p>
      <w:pPr>
        <w:pStyle w:val="ListBullet"/>
        <w:numPr>
          <w:ilvl w:val="0"/>
          <w:numId w:val="2"/>
        </w:numPr>
        <w:rPr>
          <w:rFonts w:ascii="Arial" w:hAnsi="Arial" w:cs="Arial"/>
          <w:color w:val="000000"/>
          <w:sz w:val="20"/>
          <w:szCs w:val="20"/>
        </w:rPr>
      </w:pPr>
      <w:r>
        <w:rPr>
          <w:rFonts w:cs="Arial" w:ascii="Arial" w:hAnsi="Arial"/>
          <w:color w:val="000000"/>
          <w:sz w:val="20"/>
          <w:szCs w:val="20"/>
        </w:rPr>
        <w:t>Contribute to curriculum development and resource creation.</w:t>
      </w:r>
    </w:p>
    <w:p>
      <w:pPr>
        <w:pStyle w:val="ListBullet"/>
        <w:numPr>
          <w:ilvl w:val="0"/>
          <w:numId w:val="2"/>
        </w:numPr>
        <w:rPr>
          <w:rFonts w:ascii="Arial" w:hAnsi="Arial" w:cs="Arial"/>
          <w:color w:val="000000"/>
          <w:sz w:val="20"/>
          <w:szCs w:val="20"/>
        </w:rPr>
      </w:pPr>
      <w:r>
        <w:rPr>
          <w:rFonts w:cs="Arial" w:ascii="Arial" w:hAnsi="Arial"/>
          <w:color w:val="000000"/>
          <w:sz w:val="20"/>
          <w:szCs w:val="20"/>
        </w:rPr>
        <w:t>Fulfil all professional duties in line with the Teachers’ Standards and school policies.</w:t>
      </w:r>
    </w:p>
    <w:p>
      <w:pPr>
        <w:pStyle w:val="ListBullet"/>
        <w:numPr>
          <w:ilvl w:val="0"/>
          <w:numId w:val="2"/>
        </w:numPr>
        <w:rPr>
          <w:rFonts w:ascii="Arial" w:hAnsi="Arial" w:cs="Arial"/>
          <w:color w:val="000000"/>
          <w:sz w:val="20"/>
          <w:szCs w:val="20"/>
        </w:rPr>
      </w:pPr>
      <w:r>
        <w:rPr>
          <w:rFonts w:cs="Arial" w:ascii="Arial" w:hAnsi="Arial"/>
          <w:color w:val="000000"/>
          <w:sz w:val="20"/>
          <w:szCs w:val="20"/>
        </w:rPr>
        <w:t>Carry out any other reasonable duties as directed by the Headteacher.</w:t>
      </w:r>
    </w:p>
    <w:p>
      <w:pPr>
        <w:pStyle w:val="Heading3"/>
        <w:rPr>
          <w:rFonts w:ascii="Arial" w:hAnsi="Arial" w:cs="Arial"/>
          <w:color w:val="000000"/>
          <w:sz w:val="20"/>
          <w:szCs w:val="20"/>
        </w:rPr>
      </w:pPr>
      <w:r>
        <w:rPr>
          <w:rFonts w:cs="Arial" w:ascii="Arial" w:hAnsi="Arial"/>
          <w:color w:val="000000"/>
          <w:sz w:val="20"/>
          <w:szCs w:val="20"/>
        </w:rPr>
        <w:t>Supplementary Duties</w:t>
      </w:r>
    </w:p>
    <w:p>
      <w:pPr>
        <w:pStyle w:val="ListBullet"/>
        <w:numPr>
          <w:ilvl w:val="0"/>
          <w:numId w:val="2"/>
        </w:numPr>
        <w:rPr>
          <w:rFonts w:ascii="Arial" w:hAnsi="Arial" w:cs="Arial"/>
          <w:color w:val="000000"/>
          <w:sz w:val="20"/>
          <w:szCs w:val="20"/>
        </w:rPr>
      </w:pPr>
      <w:r>
        <w:rPr>
          <w:rFonts w:cs="Arial" w:ascii="Arial" w:hAnsi="Arial"/>
          <w:color w:val="000000"/>
          <w:sz w:val="20"/>
          <w:szCs w:val="20"/>
        </w:rPr>
        <w:t>Candidates will be required to act as a form tutor.</w:t>
      </w:r>
    </w:p>
    <w:p>
      <w:pPr>
        <w:pStyle w:val="ListBullet"/>
        <w:numPr>
          <w:ilvl w:val="0"/>
          <w:numId w:val="2"/>
        </w:numPr>
        <w:rPr>
          <w:rFonts w:ascii="Arial" w:hAnsi="Arial" w:cs="Arial"/>
          <w:color w:val="000000"/>
          <w:sz w:val="20"/>
          <w:szCs w:val="20"/>
        </w:rPr>
      </w:pPr>
      <w:r>
        <w:rPr>
          <w:rFonts w:cs="Arial" w:ascii="Arial" w:hAnsi="Arial"/>
          <w:color w:val="000000"/>
          <w:sz w:val="20"/>
          <w:szCs w:val="20"/>
        </w:rPr>
        <w:t>Candidates will be expected to deliver whole-school assemblies related to a variety of themes.</w:t>
      </w:r>
    </w:p>
    <w:p>
      <w:pPr>
        <w:pStyle w:val="ListBullet"/>
        <w:numPr>
          <w:ilvl w:val="0"/>
          <w:numId w:val="2"/>
        </w:numPr>
        <w:rPr>
          <w:rFonts w:ascii="Arial" w:hAnsi="Arial" w:cs="Arial"/>
          <w:color w:val="000000"/>
          <w:sz w:val="20"/>
          <w:szCs w:val="20"/>
        </w:rPr>
      </w:pPr>
      <w:r>
        <w:rPr>
          <w:rFonts w:cs="Arial" w:ascii="Arial" w:hAnsi="Arial"/>
          <w:color w:val="000000"/>
          <w:sz w:val="20"/>
          <w:szCs w:val="20"/>
        </w:rPr>
        <w:t>Candidates will be expected to contribute to whole-school events when requested.</w:t>
      </w:r>
    </w:p>
    <w:p>
      <w:pPr>
        <w:pStyle w:val="ListBullet"/>
        <w:numPr>
          <w:ilvl w:val="0"/>
          <w:numId w:val="2"/>
        </w:numPr>
        <w:rPr>
          <w:rFonts w:ascii="Arial" w:hAnsi="Arial" w:cs="Arial"/>
          <w:color w:val="000000"/>
          <w:sz w:val="20"/>
          <w:szCs w:val="20"/>
        </w:rPr>
      </w:pPr>
      <w:r>
        <w:rPr>
          <w:rFonts w:cs="Arial" w:ascii="Arial" w:hAnsi="Arial"/>
          <w:color w:val="000000"/>
          <w:sz w:val="20"/>
          <w:szCs w:val="20"/>
        </w:rPr>
        <w:t>Candidates will be expected to attend meetings, parents’ evenings and educational visits as required.</w:t>
      </w:r>
    </w:p>
    <w:p>
      <w:pPr>
        <w:pStyle w:val="ListBullet"/>
        <w:numPr>
          <w:ilvl w:val="0"/>
          <w:numId w:val="0"/>
        </w:numPr>
        <w:ind w:left="360" w:right="0" w:hanging="360"/>
        <w:rPr>
          <w:rFonts w:ascii="Arial" w:hAnsi="Arial" w:cs="Arial"/>
          <w:color w:val="000000"/>
          <w:sz w:val="20"/>
          <w:szCs w:val="20"/>
        </w:rPr>
      </w:pPr>
      <w:r>
        <w:rPr>
          <w:rFonts w:cs="Arial" w:ascii="Arial" w:hAnsi="Arial"/>
          <w:color w:val="000000"/>
          <w:sz w:val="20"/>
          <w:szCs w:val="20"/>
        </w:rPr>
      </w:r>
    </w:p>
    <w:p>
      <w:pPr>
        <w:pStyle w:val="ListBullet"/>
        <w:numPr>
          <w:ilvl w:val="0"/>
          <w:numId w:val="0"/>
        </w:numPr>
        <w:ind w:left="360" w:right="0" w:hanging="360"/>
        <w:rPr>
          <w:rFonts w:ascii="Arial" w:hAnsi="Arial" w:cs="Arial"/>
          <w:color w:val="000000"/>
          <w:sz w:val="20"/>
          <w:szCs w:val="20"/>
        </w:rPr>
      </w:pPr>
      <w:r>
        <w:rPr>
          <w:rFonts w:cs="Arial" w:ascii="Arial" w:hAnsi="Arial"/>
          <w:color w:val="000000"/>
          <w:sz w:val="20"/>
          <w:szCs w:val="20"/>
        </w:rPr>
      </w:r>
    </w:p>
    <w:p>
      <w:pPr>
        <w:pStyle w:val="Normal"/>
        <w:rPr/>
      </w:pPr>
      <w:r>
        <w:rPr>
          <w:rFonts w:cs="Arial" w:ascii="Arial" w:hAnsi="Arial"/>
          <w:b/>
          <w:i/>
          <w:color w:val="000000"/>
          <w:sz w:val="20"/>
          <w:szCs w:val="20"/>
        </w:rPr>
        <w:t>NOTE TO APPLICANTS</w:t>
      </w:r>
      <w:r>
        <w:rPr>
          <w:rFonts w:cs="Arial" w:ascii="Arial" w:hAnsi="Arial"/>
          <w:color w:val="000000"/>
          <w:sz w:val="20"/>
          <w:szCs w:val="20"/>
        </w:rPr>
        <w:t xml:space="preserve"> If you require any aids or adaptations to either our workplace or policies and practices that may assist or enable you to successfully carry out this role, please inform us. This job description is subject to annual review in accordance with the changing nature of students and institutional need.</w:t>
      </w:r>
    </w:p>
    <w:p>
      <w:pPr>
        <w:pStyle w:val="ListBullet"/>
        <w:numPr>
          <w:ilvl w:val="0"/>
          <w:numId w:val="0"/>
        </w:numPr>
        <w:ind w:left="0" w:hanging="0"/>
        <w:rPr>
          <w:rFonts w:ascii="Arial" w:hAnsi="Arial" w:cs="Arial"/>
          <w:color w:val="000000"/>
          <w:sz w:val="20"/>
          <w:szCs w:val="20"/>
        </w:rPr>
      </w:pPr>
      <w:r>
        <w:rPr>
          <w:rFonts w:cs="Arial" w:ascii="Arial" w:hAnsi="Arial"/>
          <w:color w:val="000000"/>
          <w:sz w:val="20"/>
          <w:szCs w:val="20"/>
        </w:rPr>
      </w:r>
    </w:p>
    <w:p>
      <w:pPr>
        <w:pStyle w:val="Heading2"/>
        <w:rPr>
          <w:rFonts w:ascii="Arial" w:hAnsi="Arial" w:cs="Arial"/>
          <w:color w:val="000000"/>
          <w:sz w:val="20"/>
          <w:szCs w:val="20"/>
        </w:rPr>
      </w:pPr>
      <w:r>
        <w:rPr>
          <w:rFonts w:cs="Arial" w:ascii="Arial" w:hAnsi="Arial"/>
          <w:color w:val="000000"/>
          <w:sz w:val="20"/>
          <w:szCs w:val="20"/>
        </w:rPr>
        <w:t xml:space="preserve">The Personal Specification: </w:t>
      </w:r>
    </w:p>
    <w:p>
      <w:pPr>
        <w:pStyle w:val="Normal"/>
        <w:rPr/>
      </w:pPr>
      <w:r>
        <w:rPr/>
      </w:r>
    </w:p>
    <w:tbl>
      <w:tblPr>
        <w:tblW w:w="10637" w:type="dxa"/>
        <w:jc w:val="center"/>
        <w:tblInd w:w="0" w:type="dxa"/>
        <w:tblCellMar>
          <w:top w:w="0" w:type="dxa"/>
          <w:left w:w="108" w:type="dxa"/>
          <w:bottom w:w="0" w:type="dxa"/>
          <w:right w:w="108" w:type="dxa"/>
        </w:tblCellMar>
      </w:tblPr>
      <w:tblGrid>
        <w:gridCol w:w="5805"/>
        <w:gridCol w:w="2408"/>
        <w:gridCol w:w="2424"/>
      </w:tblGrid>
      <w:tr>
        <w:trPr>
          <w:trHeight w:val="486" w:hRule="atLeast"/>
        </w:trPr>
        <w:tc>
          <w:tcPr>
            <w:tcW w:w="5805" w:type="dxa"/>
            <w:tcBorders>
              <w:top w:val="single" w:sz="4" w:space="0" w:color="000000"/>
              <w:left w:val="single" w:sz="4" w:space="0" w:color="000000"/>
              <w:bottom w:val="single" w:sz="4" w:space="0" w:color="000000"/>
            </w:tcBorders>
            <w:shd w:fill="D9D9D9" w:val="clear"/>
            <w:vAlign w:val="center"/>
          </w:tcPr>
          <w:p>
            <w:pPr>
              <w:pStyle w:val="Normal"/>
              <w:spacing w:lineRule="auto" w:line="240" w:before="0" w:after="0"/>
              <w:jc w:val="center"/>
              <w:rPr>
                <w:rFonts w:ascii="Arial" w:hAnsi="Arial" w:eastAsia="Tahoma" w:cs="Arial"/>
              </w:rPr>
            </w:pPr>
            <w:r>
              <w:rPr>
                <w:rFonts w:eastAsia="Tahoma" w:cs="Arial" w:ascii="Arial" w:hAnsi="Arial"/>
              </w:rPr>
              <w:t>Criteria</w:t>
            </w:r>
          </w:p>
        </w:tc>
        <w:tc>
          <w:tcPr>
            <w:tcW w:w="2408" w:type="dxa"/>
            <w:tcBorders>
              <w:top w:val="single" w:sz="4" w:space="0" w:color="000000"/>
              <w:left w:val="single" w:sz="4" w:space="0" w:color="000000"/>
              <w:bottom w:val="single" w:sz="4" w:space="0" w:color="000000"/>
            </w:tcBorders>
            <w:shd w:fill="D9D9D9" w:val="clear"/>
            <w:vAlign w:val="center"/>
          </w:tcPr>
          <w:p>
            <w:pPr>
              <w:pStyle w:val="Normal"/>
              <w:spacing w:lineRule="auto" w:line="240" w:before="0" w:after="0"/>
              <w:jc w:val="center"/>
              <w:rPr>
                <w:rFonts w:ascii="Arial" w:hAnsi="Arial" w:eastAsia="Tahoma" w:cs="Arial"/>
              </w:rPr>
            </w:pPr>
            <w:r>
              <w:rPr>
                <w:rFonts w:eastAsia="Tahoma" w:cs="Arial" w:ascii="Arial" w:hAnsi="Arial"/>
              </w:rPr>
              <w:t>Essential/ Desirable</w:t>
            </w:r>
          </w:p>
        </w:tc>
        <w:tc>
          <w:tcPr>
            <w:tcW w:w="242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lineRule="auto" w:line="240" w:before="0" w:after="0"/>
              <w:jc w:val="center"/>
              <w:rPr>
                <w:rFonts w:ascii="Arial" w:hAnsi="Arial" w:eastAsia="Tahoma" w:cs="Arial"/>
              </w:rPr>
            </w:pPr>
            <w:r>
              <w:rPr>
                <w:rFonts w:eastAsia="Tahoma" w:cs="Arial" w:ascii="Arial" w:hAnsi="Arial"/>
              </w:rPr>
              <w:t>Source</w:t>
            </w:r>
          </w:p>
        </w:tc>
      </w:tr>
      <w:tr>
        <w:trPr>
          <w:trHeight w:val="241" w:hRule="atLeast"/>
        </w:trPr>
        <w:tc>
          <w:tcPr>
            <w:tcW w:w="10637" w:type="dxa"/>
            <w:gridSpan w:val="3"/>
            <w:tcBorders>
              <w:top w:val="single" w:sz="4" w:space="0" w:color="000000"/>
              <w:left w:val="single" w:sz="4" w:space="0" w:color="000000"/>
              <w:bottom w:val="single" w:sz="4" w:space="0" w:color="000000"/>
              <w:right w:val="single" w:sz="4" w:space="0" w:color="000000"/>
            </w:tcBorders>
            <w:shd w:fill="008272" w:val="clear"/>
          </w:tcPr>
          <w:p>
            <w:pPr>
              <w:pStyle w:val="Normal"/>
              <w:spacing w:lineRule="auto" w:line="240" w:before="0" w:after="0"/>
              <w:rPr>
                <w:rFonts w:ascii="Arial" w:hAnsi="Arial" w:eastAsia="Tahoma" w:cs="Arial"/>
                <w:color w:val="FFFFFF"/>
              </w:rPr>
            </w:pPr>
            <w:r>
              <w:rPr>
                <w:rFonts w:eastAsia="Tahoma" w:cs="Arial" w:ascii="Arial" w:hAnsi="Arial"/>
                <w:color w:val="FFFFFF"/>
              </w:rPr>
              <w:t>Qualifications</w:t>
            </w:r>
          </w:p>
        </w:tc>
      </w:tr>
      <w:tr>
        <w:trPr>
          <w:trHeight w:val="241"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tLeast" w:line="300" w:before="0" w:after="0"/>
              <w:rPr>
                <w:rFonts w:ascii="Arial" w:hAnsi="Arial" w:cs="Arial"/>
              </w:rPr>
            </w:pPr>
            <w:r>
              <w:rPr>
                <w:rFonts w:cs="Arial" w:ascii="Arial" w:hAnsi="Arial"/>
              </w:rPr>
              <w:t>PGCE qualification or equivalent (Primary or SEND route).</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Essential</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Application</w:t>
            </w:r>
          </w:p>
        </w:tc>
      </w:tr>
      <w:tr>
        <w:trPr>
          <w:trHeight w:val="241"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QTS or QTLS Status.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Essential</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Application</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tLeast" w:line="300" w:before="0" w:after="0"/>
              <w:rPr>
                <w:rFonts w:ascii="Arial" w:hAnsi="Arial" w:cs="Arial"/>
              </w:rPr>
            </w:pPr>
            <w:r>
              <w:rPr>
                <w:rFonts w:cs="Arial" w:ascii="Arial" w:hAnsi="Arial"/>
              </w:rPr>
              <w:t>Additional SEND-related training or qualifications.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Desirable</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Application/Interview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GCSE Grade C/5 or above in English &amp; Maths.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Application</w:t>
            </w:r>
          </w:p>
        </w:tc>
      </w:tr>
      <w:tr>
        <w:trPr>
          <w:trHeight w:val="241" w:hRule="atLeast"/>
        </w:trPr>
        <w:tc>
          <w:tcPr>
            <w:tcW w:w="10637" w:type="dxa"/>
            <w:gridSpan w:val="3"/>
            <w:tcBorders>
              <w:top w:val="single" w:sz="4" w:space="0" w:color="000000"/>
              <w:left w:val="single" w:sz="4" w:space="0" w:color="000000"/>
              <w:bottom w:val="single" w:sz="4" w:space="0" w:color="000000"/>
              <w:right w:val="single" w:sz="4" w:space="0" w:color="000000"/>
            </w:tcBorders>
            <w:shd w:fill="008272" w:val="clear"/>
          </w:tcPr>
          <w:p>
            <w:pPr>
              <w:pStyle w:val="Normal"/>
              <w:spacing w:lineRule="auto" w:line="240" w:before="0" w:after="0"/>
              <w:ind w:left="0" w:right="-249" w:hanging="0"/>
              <w:rPr>
                <w:rFonts w:ascii="Arial" w:hAnsi="Arial" w:eastAsia="Tahoma" w:cs="Arial"/>
                <w:color w:val="FFFFFF"/>
              </w:rPr>
            </w:pPr>
            <w:r>
              <w:rPr>
                <w:rFonts w:eastAsia="Tahoma" w:cs="Arial" w:ascii="Arial" w:hAnsi="Arial"/>
                <w:color w:val="FFFFFF"/>
              </w:rPr>
              <w:t>Knowledge</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tLeast" w:line="300" w:before="0" w:after="0"/>
              <w:rPr>
                <w:rFonts w:ascii="Arial" w:hAnsi="Arial" w:cs="Arial"/>
              </w:rPr>
            </w:pPr>
            <w:r>
              <w:rPr>
                <w:rFonts w:cs="Arial" w:ascii="Arial" w:hAnsi="Arial"/>
              </w:rPr>
              <w:t>Strong curriculum knowledge across a range of subjects (e.g. English, Maths, Humanities, PSHE), appropriate to pupils working below age-related expectations.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A secure understanding of Special Educational Needs and Disabilities (SEND), including:</w:t>
            </w:r>
          </w:p>
          <w:p>
            <w:pPr>
              <w:pStyle w:val="Normal"/>
              <w:widowControl w:val="false"/>
              <w:numPr>
                <w:ilvl w:val="0"/>
                <w:numId w:val="4"/>
              </w:numPr>
              <w:spacing w:lineRule="auto" w:line="240" w:before="0" w:after="0"/>
              <w:rPr>
                <w:rFonts w:ascii="Arial" w:hAnsi="Arial" w:cs="Arial"/>
              </w:rPr>
            </w:pPr>
            <w:r>
              <w:rPr>
                <w:rFonts w:cs="Arial" w:ascii="Arial" w:hAnsi="Arial"/>
              </w:rPr>
              <w:t>Autism Spectrum Condition (ASC)</w:t>
            </w:r>
          </w:p>
          <w:p>
            <w:pPr>
              <w:pStyle w:val="Normal"/>
              <w:widowControl w:val="false"/>
              <w:numPr>
                <w:ilvl w:val="0"/>
                <w:numId w:val="4"/>
              </w:numPr>
              <w:spacing w:lineRule="auto" w:line="240" w:before="0" w:after="0"/>
              <w:rPr>
                <w:rFonts w:ascii="Arial" w:hAnsi="Arial" w:cs="Arial"/>
              </w:rPr>
            </w:pPr>
            <w:r>
              <w:rPr>
                <w:rFonts w:cs="Arial" w:ascii="Arial" w:hAnsi="Arial"/>
              </w:rPr>
              <w:t>ADHD</w:t>
            </w:r>
          </w:p>
          <w:p>
            <w:pPr>
              <w:pStyle w:val="Normal"/>
              <w:widowControl w:val="false"/>
              <w:numPr>
                <w:ilvl w:val="0"/>
                <w:numId w:val="4"/>
              </w:numPr>
              <w:spacing w:lineRule="auto" w:line="240" w:before="0" w:after="0"/>
              <w:rPr>
                <w:rFonts w:ascii="Arial" w:hAnsi="Arial" w:cs="Arial"/>
              </w:rPr>
            </w:pPr>
            <w:r>
              <w:rPr>
                <w:rFonts w:cs="Arial" w:ascii="Arial" w:hAnsi="Arial"/>
              </w:rPr>
              <w:t>Moderate to Severe Learning Difficulties (MLD/SLD)</w:t>
            </w:r>
          </w:p>
          <w:p>
            <w:pPr>
              <w:pStyle w:val="Normal"/>
              <w:widowControl w:val="false"/>
              <w:numPr>
                <w:ilvl w:val="0"/>
                <w:numId w:val="4"/>
              </w:numPr>
              <w:spacing w:lineRule="auto" w:line="240" w:before="0" w:after="0"/>
              <w:rPr>
                <w:rFonts w:ascii="Arial" w:hAnsi="Arial" w:cs="Arial"/>
              </w:rPr>
            </w:pPr>
            <w:r>
              <w:rPr>
                <w:rFonts w:cs="Arial" w:ascii="Arial" w:hAnsi="Arial"/>
              </w:rPr>
              <w:t>Social, Emotional and Mental Health (SEMH) needs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Knowledge of adaptive teaching and differentiated instruction for pupils working significantly below age-related expectations.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Understanding of EHCPs (Education, Health and Care Plans) and how to use them to plan, deliver and review learning.</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Awareness of safeguarding, child protection, and statutory guidance (e.g. Working Together to Safeguard Children).</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Knowledge of positive behaviour support and trauma-informed practices.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Familiarity with functional skills, and alternative qualification pathways where appropriate.</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Understanding of assessment for learning in a SEND context, including small-step progress and non-linear development.</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10637" w:type="dxa"/>
            <w:gridSpan w:val="3"/>
            <w:tcBorders>
              <w:top w:val="single" w:sz="4" w:space="0" w:color="000000"/>
              <w:left w:val="single" w:sz="4" w:space="0" w:color="000000"/>
              <w:bottom w:val="single" w:sz="4" w:space="0" w:color="000000"/>
              <w:right w:val="single" w:sz="4" w:space="0" w:color="000000"/>
            </w:tcBorders>
            <w:shd w:fill="008272" w:val="clear"/>
          </w:tcPr>
          <w:p>
            <w:pPr>
              <w:pStyle w:val="Normal"/>
              <w:spacing w:lineRule="auto" w:line="240" w:before="0" w:after="0"/>
              <w:rPr>
                <w:rFonts w:ascii="Arial" w:hAnsi="Arial" w:eastAsia="Tahoma" w:cs="Arial"/>
                <w:color w:val="FFFFFF"/>
              </w:rPr>
            </w:pPr>
            <w:r>
              <w:rPr>
                <w:rFonts w:eastAsia="Tahoma" w:cs="Arial" w:ascii="Arial" w:hAnsi="Arial"/>
                <w:color w:val="FFFFFF"/>
              </w:rPr>
              <w:t>Skills</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tLeast" w:line="300" w:before="0" w:after="0"/>
              <w:rPr>
                <w:rFonts w:ascii="Arial" w:hAnsi="Arial" w:cs="Arial"/>
              </w:rPr>
            </w:pPr>
            <w:r>
              <w:rPr>
                <w:rFonts w:cs="Arial" w:ascii="Arial" w:hAnsi="Arial"/>
              </w:rPr>
              <w:t>Ability to plan and deliver a personalised, multi-subject curriculum suited to pupils’ cognitive, social and emotional needs.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tLeast" w:line="300" w:before="0" w:after="0"/>
              <w:rPr>
                <w:rFonts w:ascii="Arial" w:hAnsi="Arial" w:cs="Arial"/>
              </w:rPr>
            </w:pPr>
            <w:r>
              <w:rPr>
                <w:rFonts w:cs="Arial" w:ascii="Arial" w:hAnsi="Arial"/>
              </w:rPr>
              <w:t>Ability to break down learning into small, manageable steps across a range of subjects.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Essential</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tLeast" w:line="300" w:before="0" w:after="0"/>
              <w:rPr>
                <w:rFonts w:ascii="Arial" w:hAnsi="Arial" w:cs="Arial"/>
              </w:rPr>
            </w:pPr>
            <w:r>
              <w:rPr>
                <w:rFonts w:cs="Arial" w:ascii="Arial" w:hAnsi="Arial"/>
              </w:rPr>
              <w:t>Skilled use of multi-sensory, practical and visual teaching approaches.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Strong communication skills, able to explain concepts clearly to pupils with speech, language and processing difficulties.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Ability to build positive, trusting relationships with pupils who may have experienced trauma or disengagement from learning.</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rPr>
              <w:t>Skilled in</w:t>
            </w:r>
            <w:r>
              <w:rPr>
                <w:rFonts w:cs="Arial" w:ascii="Arial" w:hAnsi="Arial"/>
                <w:b/>
                <w:bCs/>
              </w:rPr>
              <w:t xml:space="preserve"> </w:t>
            </w:r>
            <w:r>
              <w:rPr>
                <w:rStyle w:val="Strong"/>
                <w:rFonts w:cs="Arial" w:ascii="Arial" w:hAnsi="Arial"/>
                <w:b w:val="false"/>
                <w:bCs w:val="false"/>
              </w:rPr>
              <w:t>behaviour management using de-escalation and positive reinforcement strategies.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rPr>
              <w:t>Ability to</w:t>
            </w:r>
            <w:r>
              <w:rPr>
                <w:rFonts w:cs="Arial" w:ascii="Arial" w:hAnsi="Arial"/>
                <w:b/>
                <w:bCs/>
              </w:rPr>
              <w:t xml:space="preserve"> </w:t>
            </w:r>
            <w:r>
              <w:rPr>
                <w:rStyle w:val="Strong"/>
                <w:rFonts w:cs="Arial" w:ascii="Arial" w:hAnsi="Arial"/>
                <w:b w:val="false"/>
                <w:bCs w:val="false"/>
              </w:rPr>
              <w:t>work effectively with teaching assistants, therapists, SENCOs and external professionals</w:t>
            </w:r>
            <w:r>
              <w:rPr>
                <w:rFonts w:cs="Arial" w:ascii="Arial" w:hAnsi="Arial"/>
                <w:b/>
                <w:bCs/>
              </w:rPr>
              <w:t>.</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rPr>
              <w:t>Ability to</w:t>
            </w:r>
            <w:r>
              <w:rPr>
                <w:rFonts w:cs="Arial" w:ascii="Arial" w:hAnsi="Arial"/>
                <w:b/>
                <w:bCs/>
              </w:rPr>
              <w:t xml:space="preserve"> </w:t>
            </w:r>
            <w:r>
              <w:rPr>
                <w:rStyle w:val="Strong"/>
                <w:rFonts w:cs="Arial" w:ascii="Arial" w:hAnsi="Arial"/>
                <w:b w:val="false"/>
                <w:bCs w:val="false"/>
              </w:rPr>
              <w:t>use assistive technology</w:t>
            </w:r>
            <w:r>
              <w:rPr>
                <w:rFonts w:cs="Arial" w:ascii="Arial" w:hAnsi="Arial"/>
                <w:b/>
                <w:bCs/>
              </w:rPr>
              <w:t xml:space="preserve"> </w:t>
            </w:r>
            <w:r>
              <w:rPr>
                <w:rFonts w:cs="Arial" w:ascii="Arial" w:hAnsi="Arial"/>
              </w:rPr>
              <w:t>and specialist resources to support learning.</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Resilience, patience and emotional intelligence in challenging situations.</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Essential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10637" w:type="dxa"/>
            <w:gridSpan w:val="3"/>
            <w:tcBorders>
              <w:top w:val="single" w:sz="4" w:space="0" w:color="000000"/>
              <w:left w:val="single" w:sz="4" w:space="0" w:color="000000"/>
              <w:bottom w:val="single" w:sz="4" w:space="0" w:color="000000"/>
              <w:right w:val="single" w:sz="4" w:space="0" w:color="000000"/>
            </w:tcBorders>
            <w:shd w:fill="218272" w:val="clear"/>
          </w:tcPr>
          <w:p>
            <w:pPr>
              <w:pStyle w:val="Normal"/>
              <w:spacing w:lineRule="auto" w:line="240" w:before="0" w:after="0"/>
              <w:rPr>
                <w:rFonts w:ascii="Arial" w:hAnsi="Arial" w:eastAsia="Tahoma" w:cs="Arial"/>
                <w:color w:val="FFFFFF"/>
              </w:rPr>
            </w:pPr>
            <w:r>
              <w:rPr>
                <w:rFonts w:eastAsia="Tahoma" w:cs="Arial" w:ascii="Arial" w:hAnsi="Arial"/>
                <w:color w:val="FFFFFF"/>
              </w:rPr>
              <w:t>Experience</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tLeast" w:line="300" w:before="0" w:after="0"/>
              <w:rPr/>
            </w:pPr>
            <w:r>
              <w:rPr>
                <w:rFonts w:cs="Arial" w:ascii="Arial" w:hAnsi="Arial"/>
              </w:rPr>
              <w:t>Primary teaching background with experience of teaching across the curriculum</w:t>
            </w:r>
            <w:r>
              <w:rPr>
                <w:rFonts w:eastAsia="Times New Roman" w:cs="Arial" w:ascii="Arial" w:hAnsi="Arial"/>
              </w:rPr>
              <w:t>.</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Desirable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Early Career Teachers will be considered for this post.</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Desirable </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Interview</w:t>
            </w:r>
          </w:p>
        </w:tc>
      </w:tr>
      <w:tr>
        <w:trPr>
          <w:trHeight w:val="238"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tLeast" w:line="300" w:before="0" w:after="0"/>
              <w:rPr>
                <w:rFonts w:ascii="Arial" w:hAnsi="Arial" w:cs="Arial"/>
              </w:rPr>
            </w:pPr>
            <w:r>
              <w:rPr>
                <w:rFonts w:cs="Arial" w:ascii="Arial" w:hAnsi="Arial"/>
              </w:rPr>
              <w:t>Experience of working in a special school is preferred.</w:t>
            </w:r>
          </w:p>
        </w:tc>
        <w:tc>
          <w:tcPr>
            <w:tcW w:w="240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Desirable</w:t>
            </w:r>
          </w:p>
        </w:tc>
        <w:tc>
          <w:tcPr>
            <w:tcW w:w="2424"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rFonts w:ascii="Arial" w:hAnsi="Arial" w:eastAsia="Tahoma;Times New Roman" w:cs="Arial"/>
              </w:rPr>
            </w:pPr>
            <w:r>
              <w:rPr>
                <w:rFonts w:eastAsia="Tahoma;Times New Roman" w:cs="Arial" w:ascii="Arial" w:hAnsi="Arial"/>
              </w:rPr>
              <w:t xml:space="preserve">Interview </w:t>
            </w:r>
          </w:p>
        </w:tc>
      </w:tr>
      <w:tr>
        <w:trPr>
          <w:trHeight w:val="241" w:hRule="atLeast"/>
        </w:trPr>
        <w:tc>
          <w:tcPr>
            <w:tcW w:w="10637" w:type="dxa"/>
            <w:gridSpan w:val="3"/>
            <w:tcBorders>
              <w:top w:val="single" w:sz="4" w:space="0" w:color="000000"/>
              <w:left w:val="single" w:sz="4" w:space="0" w:color="000000"/>
              <w:bottom w:val="single" w:sz="4" w:space="0" w:color="000000"/>
              <w:right w:val="single" w:sz="4" w:space="0" w:color="000000"/>
            </w:tcBorders>
            <w:shd w:fill="39867B" w:val="clear"/>
          </w:tcPr>
          <w:p>
            <w:pPr>
              <w:pStyle w:val="Normal"/>
              <w:spacing w:lineRule="auto" w:line="240" w:before="0" w:after="0"/>
              <w:rPr>
                <w:rFonts w:ascii="Arial" w:hAnsi="Arial" w:eastAsia="Tahoma" w:cs="Arial"/>
                <w:color w:val="FFFFFF"/>
              </w:rPr>
            </w:pPr>
            <w:r>
              <w:rPr>
                <w:rFonts w:eastAsia="Tahoma" w:cs="Arial" w:ascii="Arial" w:hAnsi="Arial"/>
                <w:color w:val="FFFFFF"/>
              </w:rPr>
              <w:t>Safer Recruitment</w:t>
            </w:r>
          </w:p>
        </w:tc>
      </w:tr>
      <w:tr>
        <w:trPr>
          <w:trHeight w:val="241" w:hRule="atLeast"/>
        </w:trPr>
        <w:tc>
          <w:tcPr>
            <w:tcW w:w="58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ahoma" w:cs="Arial"/>
              </w:rPr>
            </w:pPr>
            <w:r>
              <w:rPr>
                <w:rFonts w:eastAsia="Tahoma" w:cs="Arial" w:ascii="Arial" w:hAnsi="Arial"/>
              </w:rPr>
              <w:t xml:space="preserve">All successful candidates are subject to the following security checks.  </w:t>
            </w:r>
          </w:p>
          <w:p>
            <w:pPr>
              <w:pStyle w:val="ListParagraph"/>
              <w:numPr>
                <w:ilvl w:val="0"/>
                <w:numId w:val="3"/>
              </w:numPr>
              <w:spacing w:lineRule="auto" w:line="240" w:before="0" w:after="0"/>
              <w:contextualSpacing/>
              <w:rPr/>
            </w:pPr>
            <w:r>
              <w:rPr>
                <w:rFonts w:eastAsia="Times New Roman" w:cs="Arial" w:ascii="Arial" w:hAnsi="Arial"/>
              </w:rPr>
              <w:t xml:space="preserve">Verification of the applicant's identity </w:t>
            </w:r>
            <w:r>
              <w:rPr>
                <w:rFonts w:eastAsia="Times New Roman" w:cs="Arial" w:ascii="Arial" w:hAnsi="Arial"/>
                <w:i/>
              </w:rPr>
              <w:t>(where that has not previously been verified)</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 xml:space="preserve">The receipt of two references (one of which must be from the applicant's most recent employer) which Expanse considers being satisfactory. </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Where the position amounts to "regulated activity” the receipt of an enhanced disclosure from the DBS which Expanse considers to be satisfactory.</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Where the position amounts to "regulated activity" confirmation that the applicant is not named on the Children's Barred List/Vulnerable Adult Barred List.</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Verification of the applicant's medical fitness for the role.</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Verification of the applicant's right to work in the UK.</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Prohibition from teaching checks</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Section 128 provisions check (prohibited from managing)</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 xml:space="preserve">Any further checks which are necessary as a result of the applicant having lived or worked outside of the UK; and </w:t>
            </w:r>
          </w:p>
          <w:p>
            <w:pPr>
              <w:pStyle w:val="ListParagraph"/>
              <w:numPr>
                <w:ilvl w:val="0"/>
                <w:numId w:val="3"/>
              </w:numPr>
              <w:spacing w:lineRule="auto" w:line="240" w:before="0" w:after="0"/>
              <w:contextualSpacing/>
              <w:rPr>
                <w:rFonts w:ascii="Arial" w:hAnsi="Arial" w:eastAsia="Times New Roman" w:cs="Arial"/>
              </w:rPr>
            </w:pPr>
            <w:r>
              <w:rPr>
                <w:rFonts w:eastAsia="Times New Roman" w:cs="Arial" w:ascii="Arial" w:hAnsi="Arial"/>
              </w:rPr>
              <w:t xml:space="preserve">Verification of professional qualifications which Expanse Group deems a requirement for the post, or which the applicant otherwise cites in support of their application (where they have not been previously verified). </w:t>
            </w:r>
          </w:p>
          <w:p>
            <w:pPr>
              <w:pStyle w:val="ListParagraph"/>
              <w:numPr>
                <w:ilvl w:val="0"/>
                <w:numId w:val="3"/>
              </w:numPr>
              <w:spacing w:lineRule="auto" w:line="240" w:before="0" w:after="0"/>
              <w:contextualSpacing/>
              <w:rPr>
                <w:rFonts w:ascii="Arial" w:hAnsi="Arial" w:cs="Arial"/>
              </w:rPr>
            </w:pPr>
            <w:r>
              <w:rPr>
                <w:rFonts w:cs="Arial" w:ascii="Arial" w:hAnsi="Arial"/>
              </w:rPr>
              <w:t>An online search will be completed as part of Expanse Learnings pre-employment checks.</w:t>
            </w:r>
          </w:p>
          <w:p>
            <w:pPr>
              <w:pStyle w:val="Normal"/>
              <w:spacing w:lineRule="auto" w:line="240" w:before="0" w:after="0"/>
              <w:rPr>
                <w:rFonts w:ascii="Arial" w:hAnsi="Arial" w:eastAsia="Tahoma" w:cs="Arial"/>
              </w:rPr>
            </w:pPr>
            <w:r>
              <w:rPr>
                <w:rFonts w:eastAsia="Tahoma" w:cs="Arial" w:ascii="Arial" w:hAnsi="Arial"/>
              </w:rPr>
            </w:r>
          </w:p>
        </w:tc>
        <w:tc>
          <w:tcPr>
            <w:tcW w:w="240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rFonts w:ascii="Arial" w:hAnsi="Arial" w:eastAsia="Tahoma" w:cs="Arial"/>
              </w:rPr>
            </w:pPr>
            <w:r>
              <w:rPr>
                <w:rFonts w:eastAsia="Tahoma" w:cs="Arial" w:ascii="Arial" w:hAnsi="Arial"/>
              </w:rPr>
              <w:t>Essential</w:t>
            </w:r>
          </w:p>
        </w:tc>
        <w:tc>
          <w:tcPr>
            <w:tcW w:w="242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Tahoma" w:cs="Arial"/>
              </w:rPr>
            </w:pPr>
            <w:r>
              <w:rPr>
                <w:rFonts w:eastAsia="Tahoma" w:cs="Arial" w:ascii="Arial" w:hAnsi="Arial"/>
              </w:rPr>
              <w:t>Checks</w:t>
            </w:r>
          </w:p>
        </w:tc>
      </w:tr>
      <w:tr>
        <w:trPr>
          <w:trHeight w:val="241" w:hRule="atLeast"/>
        </w:trPr>
        <w:tc>
          <w:tcPr>
            <w:tcW w:w="10637"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rFonts w:eastAsia="Times New Roman" w:cs="Arial" w:ascii="Arial" w:hAnsi="Arial"/>
                <w:b/>
              </w:rPr>
              <w:t>Note to Applicants</w:t>
            </w:r>
            <w:r>
              <w:rPr>
                <w:rFonts w:eastAsia="Times New Roman" w:cs="Arial" w:ascii="Arial" w:hAnsi="Arial"/>
              </w:rPr>
              <w:t>:</w:t>
            </w:r>
          </w:p>
          <w:p>
            <w:pPr>
              <w:pStyle w:val="Normal"/>
              <w:spacing w:lineRule="auto" w:line="240" w:before="0" w:after="0"/>
              <w:rPr>
                <w:rFonts w:ascii="Arial" w:hAnsi="Arial" w:eastAsia="Times New Roman" w:cs="Arial"/>
              </w:rPr>
            </w:pPr>
            <w:r>
              <w:rPr>
                <w:rFonts w:eastAsia="Times New Roman" w:cs="Arial" w:ascii="Arial" w:hAnsi="Arial"/>
              </w:rPr>
              <w:t>Applicants must try to show in their application evidence of their ability to meet the requirement of the person specification. If you require any aids or adaptations to either our workplace or policies and practices that may assist or enable you to successfully carry out this role, please inform us.</w:t>
            </w:r>
          </w:p>
        </w:tc>
      </w:tr>
    </w:tbl>
    <w:p>
      <w:pPr>
        <w:pStyle w:val="ListBullet"/>
        <w:numPr>
          <w:ilvl w:val="0"/>
          <w:numId w:val="0"/>
        </w:numPr>
        <w:ind w:left="0" w:hanging="0"/>
        <w:rPr>
          <w:rFonts w:ascii="Arial" w:hAnsi="Arial" w:cs="Arial"/>
          <w:color w:val="000000"/>
          <w:sz w:val="20"/>
          <w:szCs w:val="20"/>
        </w:rPr>
      </w:pPr>
      <w:r>
        <w:rPr>
          <w:rFonts w:cs="Arial" w:ascii="Arial" w:hAnsi="Arial"/>
          <w:color w:val="000000"/>
          <w:sz w:val="20"/>
          <w:szCs w:val="20"/>
        </w:rPr>
      </w:r>
    </w:p>
    <w:p>
      <w:pPr>
        <w:pStyle w:val="ListBullet"/>
        <w:numPr>
          <w:ilvl w:val="0"/>
          <w:numId w:val="0"/>
        </w:numPr>
        <w:ind w:left="0" w:hanging="0"/>
        <w:rPr>
          <w:rFonts w:ascii="Arial" w:hAnsi="Arial" w:cs="Arial"/>
          <w:color w:val="000000"/>
          <w:sz w:val="20"/>
          <w:szCs w:val="20"/>
        </w:rPr>
      </w:pPr>
      <w:r>
        <w:rPr>
          <w:rFonts w:cs="Arial" w:ascii="Arial" w:hAnsi="Arial"/>
          <w:color w:val="000000"/>
          <w:sz w:val="20"/>
          <w:szCs w:val="20"/>
        </w:rPr>
      </w:r>
    </w:p>
    <w:p>
      <w:pPr>
        <w:pStyle w:val="NormalWeb"/>
        <w:spacing w:before="280" w:after="280"/>
        <w:rPr>
          <w:rFonts w:ascii="Arial" w:hAnsi="Arial" w:cs="Arial"/>
          <w:b/>
          <w:b/>
          <w:bCs/>
          <w:color w:val="000000"/>
          <w:sz w:val="22"/>
          <w:szCs w:val="22"/>
        </w:rPr>
      </w:pPr>
      <w:r>
        <w:rPr>
          <w:rFonts w:cs="Arial" w:ascii="Arial" w:hAnsi="Arial"/>
          <w:b/>
          <w:bCs/>
          <w:color w:val="000000"/>
          <w:sz w:val="22"/>
          <w:szCs w:val="22"/>
        </w:rPr>
        <w:t>How to apply:</w:t>
      </w:r>
    </w:p>
    <w:p>
      <w:pPr>
        <w:pStyle w:val="NormalWeb"/>
        <w:spacing w:before="280" w:after="280"/>
        <w:rPr>
          <w:rFonts w:ascii="Arial" w:hAnsi="Arial" w:cs="Arial"/>
          <w:color w:val="000000"/>
          <w:sz w:val="22"/>
          <w:szCs w:val="22"/>
        </w:rPr>
      </w:pPr>
      <w:r>
        <w:rPr>
          <w:rFonts w:cs="Arial" w:ascii="Arial" w:hAnsi="Arial"/>
          <w:color w:val="000000"/>
          <w:sz w:val="22"/>
          <w:szCs w:val="22"/>
        </w:rPr>
        <w:t>If you are interested in being considered for this position, please visit:</w:t>
      </w:r>
    </w:p>
    <w:p>
      <w:pPr>
        <w:pStyle w:val="NormalWeb"/>
        <w:spacing w:before="280" w:after="280"/>
        <w:rPr/>
      </w:pPr>
      <w:r>
        <w:rPr>
          <w:rFonts w:cs="Courier New" w:ascii="Courier New" w:hAnsi="Courier New"/>
          <w:color w:val="000000"/>
          <w:sz w:val="22"/>
          <w:szCs w:val="22"/>
        </w:rPr>
        <w:t>o</w:t>
      </w:r>
      <w:r>
        <w:rPr>
          <w:color w:val="000000"/>
          <w:sz w:val="14"/>
          <w:szCs w:val="14"/>
        </w:rPr>
        <w:t>   </w:t>
      </w:r>
      <w:r>
        <w:rPr>
          <w:rStyle w:val="InternetLink"/>
          <w:rFonts w:cs="Arial"/>
          <w:sz w:val="22"/>
          <w:szCs w:val="22"/>
        </w:rPr>
        <w:t>https://www.expanselearning.co.uk/job-opportunities/</w:t>
      </w:r>
      <w:r>
        <w:rPr>
          <w:rFonts w:cs="Arial" w:ascii="Arial" w:hAnsi="Arial"/>
          <w:color w:val="000000"/>
          <w:sz w:val="22"/>
          <w:szCs w:val="22"/>
        </w:rPr>
        <w:t xml:space="preserve"> </w:t>
      </w:r>
    </w:p>
    <w:p>
      <w:pPr>
        <w:pStyle w:val="NormalWeb"/>
        <w:spacing w:before="280" w:after="280"/>
        <w:rPr/>
      </w:pPr>
      <w:r>
        <w:rPr>
          <w:rFonts w:cs="Courier New" w:ascii="Courier New" w:hAnsi="Courier New"/>
          <w:color w:val="000000"/>
          <w:sz w:val="22"/>
          <w:szCs w:val="22"/>
        </w:rPr>
        <w:t>o</w:t>
      </w:r>
      <w:r>
        <w:rPr>
          <w:color w:val="000000"/>
          <w:sz w:val="14"/>
          <w:szCs w:val="14"/>
        </w:rPr>
        <w:t>   </w:t>
      </w:r>
      <w:r>
        <w:rPr>
          <w:rFonts w:cs="Arial" w:ascii="Arial" w:hAnsi="Arial"/>
          <w:color w:val="000000"/>
          <w:sz w:val="22"/>
          <w:szCs w:val="22"/>
        </w:rPr>
        <w:t>Alternatively, an application pack can be requested by contacting the Recruiting Manager, on 01942 877715.</w:t>
      </w:r>
    </w:p>
    <w:p>
      <w:pPr>
        <w:pStyle w:val="NormalWeb"/>
        <w:spacing w:before="280" w:after="280"/>
        <w:rPr/>
      </w:pPr>
      <w:r>
        <w:rPr>
          <w:rFonts w:cs="Courier New" w:ascii="Courier New" w:hAnsi="Courier New"/>
          <w:color w:val="000000"/>
          <w:sz w:val="22"/>
          <w:szCs w:val="22"/>
        </w:rPr>
        <w:t>o</w:t>
      </w:r>
      <w:r>
        <w:rPr>
          <w:color w:val="000000"/>
          <w:sz w:val="14"/>
          <w:szCs w:val="14"/>
        </w:rPr>
        <w:t>   </w:t>
      </w:r>
      <w:r>
        <w:rPr>
          <w:rFonts w:cs="Arial" w:ascii="Arial" w:hAnsi="Arial"/>
          <w:color w:val="000000"/>
          <w:sz w:val="22"/>
          <w:szCs w:val="22"/>
        </w:rPr>
        <w:t>Your application for employment at Expanse Learning will not be processed unless supported with a fully completed application form. </w:t>
      </w:r>
    </w:p>
    <w:p>
      <w:pPr>
        <w:pStyle w:val="NormalWeb"/>
        <w:spacing w:before="280" w:after="280"/>
        <w:rPr/>
      </w:pPr>
      <w:r>
        <w:rPr>
          <w:rFonts w:cs="Arial" w:ascii="Arial" w:hAnsi="Arial"/>
          <w:color w:val="000000"/>
          <w:sz w:val="22"/>
          <w:szCs w:val="22"/>
        </w:rPr>
        <w:t>​</w:t>
      </w:r>
      <w:r>
        <w:rPr>
          <w:rFonts w:cs="Arial" w:ascii="Arial" w:hAnsi="Arial"/>
          <w:color w:val="000000"/>
          <w:sz w:val="22"/>
          <w:szCs w:val="22"/>
        </w:rPr>
        <w:t>For a confidential discussion please contact the Recruiting Manager, on 01942 877715.</w:t>
      </w:r>
    </w:p>
    <w:p>
      <w:pPr>
        <w:pStyle w:val="ListBullet"/>
        <w:numPr>
          <w:ilvl w:val="0"/>
          <w:numId w:val="0"/>
        </w:numPr>
        <w:spacing w:before="0" w:after="200"/>
        <w:ind w:left="0" w:hanging="0"/>
        <w:contextualSpacing/>
        <w:rPr/>
      </w:pPr>
      <w:r>
        <w:rPr/>
      </w:r>
    </w:p>
    <w:sectPr>
      <w:headerReference w:type="default" r:id="rId2"/>
      <w:footerReference w:type="default" r:id="rId3"/>
      <w:type w:val="nextPage"/>
      <w:pgSz w:w="12240" w:h="15840"/>
      <w:pgMar w:left="1800" w:right="1800" w:header="720" w:top="1440" w:footer="72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Courier">
    <w:altName w:val="Courier New"/>
    <w:charset w:val="00"/>
    <w:family w:val="roman"/>
    <w:pitch w:val="variable"/>
  </w:font>
  <w:font w:name="Liberation Sans">
    <w:altName w:val="Arial"/>
    <w:charset w:val="00"/>
    <w:family w:val="swiss"/>
    <w:pitch w:val="variable"/>
  </w:font>
  <w:font w:name="Courier New">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Style w:val="Pagenumber"/>
      </w:rPr>
      <w:fldChar w:fldCharType="begin"/>
    </w:r>
    <w:r>
      <w:rPr>
        <w:rStyle w:val="Pagenumber"/>
      </w:rPr>
      <w:instrText> PAGE </w:instrText>
    </w:r>
    <w:r>
      <w:rPr>
        <w:rStyle w:val="Pagenumber"/>
      </w:rPr>
      <w:fldChar w:fldCharType="separate"/>
    </w:r>
    <w:r>
      <w:rPr>
        <w:rStyle w:val="Pagenumber"/>
      </w:rPr>
      <w:t>6</w:t>
    </w:r>
    <w:r>
      <w:rPr>
        <w:rStyle w:val="Pagenumber"/>
      </w:rPr>
      <w:fldChar w:fldCharType="end"/>
    </w:r>
  </w:p>
  <w:p>
    <w:pPr>
      <w:pStyle w:val="Footer"/>
      <w:ind w:left="0"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right"/>
      <w:rPr/>
    </w:pPr>
    <w:r>
      <w:drawing>
        <wp:anchor behindDoc="0" distT="0" distB="0" distL="114300" distR="114300" simplePos="0" locked="0" layoutInCell="1" allowOverlap="1" relativeHeight="7">
          <wp:simplePos x="0" y="0"/>
          <wp:positionH relativeFrom="column">
            <wp:posOffset>-769620</wp:posOffset>
          </wp:positionH>
          <wp:positionV relativeFrom="paragraph">
            <wp:posOffset>-295910</wp:posOffset>
          </wp:positionV>
          <wp:extent cx="1718310" cy="678180"/>
          <wp:effectExtent l="0" t="0" r="0" b="0"/>
          <wp:wrapTight wrapText="bothSides">
            <wp:wrapPolygon edited="0">
              <wp:start x="-11" y="0"/>
              <wp:lineTo x="-11" y="20960"/>
              <wp:lineTo x="21362" y="20960"/>
              <wp:lineTo x="21362" y="0"/>
              <wp:lineTo x="-11"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 t="-5" r="-2" b="-5"/>
                  <a:stretch>
                    <a:fillRect/>
                  </a:stretch>
                </pic:blipFill>
                <pic:spPr bwMode="auto">
                  <a:xfrm>
                    <a:off x="0" y="0"/>
                    <a:ext cx="1718310" cy="678180"/>
                  </a:xfrm>
                  <a:prstGeom prst="rect">
                    <a:avLst/>
                  </a:prstGeom>
                </pic:spPr>
              </pic:pic>
            </a:graphicData>
          </a:graphic>
        </wp:anchor>
      </w:drawing>
    </w:r>
    <w:r>
      <w:rPr>
        <w:sz w:val="16"/>
        <w:szCs w:val="16"/>
        <w:lang w:val="en-GB"/>
      </w:rPr>
      <w:tab/>
    </w:r>
    <w:r>
      <w:rPr>
        <w:sz w:val="16"/>
        <w:szCs w:val="16"/>
        <w:lang w:val="en-GB"/>
      </w:rPr>
      <w:tab/>
    </w:r>
    <w:r>
      <w:rPr>
        <w:rFonts w:cs="Calibri" w:ascii="Calibri" w:hAnsi="Calibri"/>
        <w:sz w:val="16"/>
        <w:szCs w:val="16"/>
      </w:rPr>
      <w:t>Location: People Management Portal/Documents and Templates/CSTPM36(v2)</w:t>
    </w:r>
  </w:p>
  <w:p>
    <w:pPr>
      <w:pStyle w:val="Header"/>
      <w:tabs>
        <w:tab w:val="center" w:pos="4680" w:leader="none"/>
        <w:tab w:val="right" w:pos="8640" w:leader="none"/>
        <w:tab w:val="right" w:pos="9360" w:leader="none"/>
      </w:tabs>
      <w:jc w:val="right"/>
      <w:rPr>
        <w:rFonts w:ascii="Calibri" w:hAnsi="Calibri" w:cs="Calibri"/>
        <w:sz w:val="32"/>
        <w:szCs w:val="32"/>
        <w:lang w:val="en-GB"/>
      </w:rPr>
    </w:pPr>
    <w:r>
      <mc:AlternateContent>
        <mc:Choice Requires="wps">
          <w:drawing>
            <wp:anchor behindDoc="1" distT="0" distB="0" distL="114935" distR="114935" simplePos="0" locked="0" layoutInCell="1" allowOverlap="1" relativeHeight="13">
              <wp:simplePos x="0" y="0"/>
              <wp:positionH relativeFrom="column">
                <wp:posOffset>-681355</wp:posOffset>
              </wp:positionH>
              <wp:positionV relativeFrom="paragraph">
                <wp:posOffset>351790</wp:posOffset>
              </wp:positionV>
              <wp:extent cx="6733540" cy="635"/>
              <wp:effectExtent l="0" t="0" r="0" b="0"/>
              <wp:wrapNone/>
              <wp:docPr id="2" name="Straight Connector 4"/>
              <a:graphic xmlns:a="http://schemas.openxmlformats.org/drawingml/2006/main">
                <a:graphicData uri="http://schemas.microsoft.com/office/word/2010/wordprocessingShape">
                  <wps:wsp>
                    <wps:cNvSpPr/>
                    <wps:spPr>
                      <a:xfrm>
                        <a:off x="0" y="0"/>
                        <a:ext cx="6733080" cy="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53.65pt,27.7pt" to="476.45pt,27.7pt" ID="Straight Connector 4" stroked="t" style="position:absolute">
              <v:stroke color="black" weight="9360" joinstyle="round" endcap="flat"/>
              <v:fill o:detectmouseclick="t" on="false"/>
            </v:line>
          </w:pict>
        </mc:Fallback>
      </mc:AlternateContent>
    </w:r>
    <w:r>
      <w:rPr>
        <w:rFonts w:eastAsia="Calibri" w:cs="Calibri" w:ascii="Calibri" w:hAnsi="Calibri"/>
        <w:sz w:val="32"/>
        <w:szCs w:val="32"/>
        <w:lang w:val="en-GB"/>
      </w:rPr>
      <w:t xml:space="preserve"> </w:t>
    </w:r>
    <w:r>
      <w:rPr>
        <w:rFonts w:eastAsia="Calibri" w:cs="Calibri" w:ascii="Calibri" w:hAnsi="Calibri"/>
        <w:sz w:val="32"/>
        <w:szCs w:val="32"/>
        <w:lang w:val="en-GB"/>
      </w:rPr>
      <w:t xml:space="preserve">        </w:t>
    </w:r>
    <w:r>
      <w:rPr>
        <w:rFonts w:cs="Calibri" w:ascii="Calibri" w:hAnsi="Calibri"/>
        <w:sz w:val="32"/>
        <w:szCs w:val="32"/>
        <w:lang w:val="en-GB"/>
      </w:rPr>
      <w:t>Job Description</w:t>
    </w:r>
  </w:p>
  <w:p>
    <w:pPr>
      <w:pStyle w:val="Header"/>
      <w:tabs>
        <w:tab w:val="center" w:pos="4680" w:leader="none"/>
        <w:tab w:val="right" w:pos="8640" w:leader="none"/>
        <w:tab w:val="right" w:pos="9360" w:leader="none"/>
      </w:tabs>
      <w:jc w:val="right"/>
      <w:rPr>
        <w:rFonts w:ascii="Calibri" w:hAnsi="Calibri" w:cs="Calibri"/>
        <w:sz w:val="32"/>
        <w:szCs w:val="32"/>
        <w:lang w:val="en-GB"/>
      </w:rPr>
    </w:pPr>
    <w:r>
      <w:rPr>
        <w:rFonts w:cs="Calibri" w:ascii="Calibri" w:hAnsi="Calibri"/>
        <w:sz w:val="32"/>
        <w:szCs w:val="32"/>
        <w:lang w:val="en-GB"/>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o"/>
      <w:lvlJc w:val="left"/>
      <w:pPr>
        <w:ind w:left="360" w:hanging="360"/>
      </w:pPr>
      <w:rPr>
        <w:rFonts w:ascii="Courier New" w:hAnsi="Courier New" w:cs="Courier New" w:hint="default"/>
        <w:rFonts w:cs="Courier New"/>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4">
    <w:lvl w:ilvl="0">
      <w:start w:val="1"/>
      <w:numFmt w:val="bullet"/>
      <w:lvlText w:val=""/>
      <w:lvlJc w:val="left"/>
      <w:pPr>
        <w:tabs>
          <w:tab w:val="num" w:pos="720"/>
        </w:tabs>
        <w:ind w:left="720" w:hanging="360"/>
      </w:pPr>
      <w:rPr>
        <w:rFonts w:ascii="Symbol" w:hAnsi="Symbol" w:cs="Symbol" w:hint="default"/>
        <w:sz w:val="20"/>
        <w:rFonts w:cs="Symbol"/>
      </w:rPr>
    </w:lvl>
    <w:lvl w:ilvl="1">
      <w:start w:val="1"/>
      <w:numFmt w:val="bullet"/>
      <w:lvlText w:val="o"/>
      <w:lvlJc w:val="left"/>
      <w:pPr>
        <w:tabs>
          <w:tab w:val="num" w:pos="1440"/>
        </w:tabs>
        <w:ind w:left="1440" w:hanging="360"/>
      </w:pPr>
      <w:rPr>
        <w:rFonts w:ascii="Courier New" w:hAnsi="Courier New" w:cs="Courier New" w:hint="default"/>
        <w:sz w:val="20"/>
        <w:rFonts w:cs="Courier New"/>
      </w:rPr>
    </w:lvl>
    <w:lvl w:ilvl="2">
      <w:start w:val="1"/>
      <w:numFmt w:val="bullet"/>
      <w:lvlText w:val=""/>
      <w:lvlJc w:val="left"/>
      <w:pPr>
        <w:tabs>
          <w:tab w:val="num" w:pos="2160"/>
        </w:tabs>
        <w:ind w:left="2160" w:hanging="360"/>
      </w:pPr>
      <w:rPr>
        <w:rFonts w:ascii="Wingdings" w:hAnsi="Wingdings" w:cs="Wingdings" w:hint="default"/>
        <w:sz w:val="20"/>
        <w:rFonts w:cs="Wingdings"/>
      </w:rPr>
    </w:lvl>
    <w:lvl w:ilvl="3">
      <w:start w:val="1"/>
      <w:numFmt w:val="bullet"/>
      <w:lvlText w:val=""/>
      <w:lvlJc w:val="left"/>
      <w:pPr>
        <w:tabs>
          <w:tab w:val="num" w:pos="2880"/>
        </w:tabs>
        <w:ind w:left="2880" w:hanging="360"/>
      </w:pPr>
      <w:rPr>
        <w:rFonts w:ascii="Wingdings" w:hAnsi="Wingdings" w:cs="Wingdings" w:hint="default"/>
        <w:sz w:val="20"/>
        <w:rFonts w:cs="Wingdings"/>
      </w:rPr>
    </w:lvl>
    <w:lvl w:ilvl="4">
      <w:start w:val="1"/>
      <w:numFmt w:val="bullet"/>
      <w:lvlText w:val=""/>
      <w:lvlJc w:val="left"/>
      <w:pPr>
        <w:tabs>
          <w:tab w:val="num" w:pos="3600"/>
        </w:tabs>
        <w:ind w:left="3600" w:hanging="360"/>
      </w:pPr>
      <w:rPr>
        <w:rFonts w:ascii="Wingdings" w:hAnsi="Wingdings" w:cs="Wingdings" w:hint="default"/>
        <w:sz w:val="20"/>
        <w:rFonts w:cs="Wingdings"/>
      </w:rPr>
    </w:lvl>
    <w:lvl w:ilvl="5">
      <w:start w:val="1"/>
      <w:numFmt w:val="bullet"/>
      <w:lvlText w:val=""/>
      <w:lvlJc w:val="left"/>
      <w:pPr>
        <w:tabs>
          <w:tab w:val="num" w:pos="4320"/>
        </w:tabs>
        <w:ind w:left="4320" w:hanging="360"/>
      </w:pPr>
      <w:rPr>
        <w:rFonts w:ascii="Wingdings" w:hAnsi="Wingdings" w:cs="Wingdings" w:hint="default"/>
        <w:sz w:val="20"/>
        <w:rFonts w:cs="Wingdings"/>
      </w:rPr>
    </w:lvl>
    <w:lvl w:ilvl="6">
      <w:start w:val="1"/>
      <w:numFmt w:val="bullet"/>
      <w:lvlText w:val=""/>
      <w:lvlJc w:val="left"/>
      <w:pPr>
        <w:tabs>
          <w:tab w:val="num" w:pos="5040"/>
        </w:tabs>
        <w:ind w:left="5040" w:hanging="360"/>
      </w:pPr>
      <w:rPr>
        <w:rFonts w:ascii="Wingdings" w:hAnsi="Wingdings" w:cs="Wingdings" w:hint="default"/>
        <w:sz w:val="20"/>
        <w:rFonts w:cs="Wingdings"/>
      </w:rPr>
    </w:lvl>
    <w:lvl w:ilvl="7">
      <w:start w:val="1"/>
      <w:numFmt w:val="bullet"/>
      <w:lvlText w:val=""/>
      <w:lvlJc w:val="left"/>
      <w:pPr>
        <w:tabs>
          <w:tab w:val="num" w:pos="5760"/>
        </w:tabs>
        <w:ind w:left="5760" w:hanging="360"/>
      </w:pPr>
      <w:rPr>
        <w:rFonts w:ascii="Wingdings" w:hAnsi="Wingdings" w:cs="Wingdings" w:hint="default"/>
        <w:sz w:val="20"/>
        <w:rFonts w:cs="Wingdings"/>
      </w:rPr>
    </w:lvl>
    <w:lvl w:ilvl="8">
      <w:start w:val="1"/>
      <w:numFmt w:val="bullet"/>
      <w:lvlText w:val=""/>
      <w:lvlJc w:val="left"/>
      <w:pPr>
        <w:tabs>
          <w:tab w:val="num" w:pos="6480"/>
        </w:tabs>
        <w:ind w:left="6480" w:hanging="360"/>
      </w:pPr>
      <w:rPr>
        <w:rFonts w:ascii="Wingdings" w:hAnsi="Wingdings" w:cs="Wingdings" w:hint="default"/>
        <w:sz w:val="20"/>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226"/>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mbria" w:hAnsi="Cambria" w:eastAsia="ＭＳ 明朝" w:cs=""/>
      <w:color w:val="auto"/>
      <w:kern w:val="0"/>
      <w:sz w:val="22"/>
      <w:szCs w:val="22"/>
      <w:lang w:val="en-US"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libri" w:hAnsi="Calibri" w:eastAsia="ＭＳ ゴシック" w:cs=""/>
      <w:b/>
      <w:bCs/>
      <w:color w:val="365F91"/>
      <w:sz w:val="28"/>
      <w:szCs w:val="28"/>
    </w:rPr>
  </w:style>
  <w:style w:type="paragraph" w:styleId="Heading2">
    <w:name w:val="Heading 2"/>
    <w:basedOn w:val="Normal"/>
    <w:next w:val="Normal"/>
    <w:qFormat/>
    <w:pPr>
      <w:keepNext w:val="true"/>
      <w:keepLines/>
      <w:numPr>
        <w:ilvl w:val="1"/>
        <w:numId w:val="1"/>
      </w:numPr>
      <w:spacing w:before="200" w:after="0"/>
      <w:outlineLvl w:val="1"/>
    </w:pPr>
    <w:rPr>
      <w:rFonts w:ascii="Calibri" w:hAnsi="Calibri" w:eastAsia="ＭＳ ゴシック" w:cs=""/>
      <w:b/>
      <w:bCs/>
      <w:color w:val="4F81BD"/>
      <w:sz w:val="26"/>
      <w:szCs w:val="26"/>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ＭＳ ゴシック" w:cs=""/>
      <w:b/>
      <w:bCs/>
      <w:color w:val="4F81BD"/>
    </w:rPr>
  </w:style>
  <w:style w:type="paragraph" w:styleId="Heading4">
    <w:name w:val="Heading 4"/>
    <w:basedOn w:val="Normal"/>
    <w:next w:val="Normal"/>
    <w:qFormat/>
    <w:pPr>
      <w:keepNext w:val="true"/>
      <w:keepLines/>
      <w:numPr>
        <w:ilvl w:val="3"/>
        <w:numId w:val="1"/>
      </w:numPr>
      <w:spacing w:before="200" w:after="0"/>
      <w:outlineLvl w:val="3"/>
    </w:pPr>
    <w:rPr>
      <w:rFonts w:ascii="Calibri" w:hAnsi="Calibri" w:eastAsia="ＭＳ ゴシック" w:cs=""/>
      <w:b/>
      <w:bCs/>
      <w:i/>
      <w:iCs/>
      <w:color w:val="4F81BD"/>
    </w:rPr>
  </w:style>
  <w:style w:type="paragraph" w:styleId="Heading5">
    <w:name w:val="Heading 5"/>
    <w:basedOn w:val="Normal"/>
    <w:next w:val="Normal"/>
    <w:qFormat/>
    <w:pPr>
      <w:keepNext w:val="true"/>
      <w:keepLines/>
      <w:numPr>
        <w:ilvl w:val="4"/>
        <w:numId w:val="1"/>
      </w:numPr>
      <w:spacing w:before="200" w:after="0"/>
      <w:outlineLvl w:val="4"/>
    </w:pPr>
    <w:rPr>
      <w:rFonts w:ascii="Calibri" w:hAnsi="Calibri" w:eastAsia="ＭＳ ゴシック" w:cs=""/>
      <w:color w:val="243F60"/>
    </w:rPr>
  </w:style>
  <w:style w:type="paragraph" w:styleId="Heading6">
    <w:name w:val="Heading 6"/>
    <w:basedOn w:val="Normal"/>
    <w:next w:val="Normal"/>
    <w:qFormat/>
    <w:pPr>
      <w:keepNext w:val="true"/>
      <w:keepLines/>
      <w:numPr>
        <w:ilvl w:val="5"/>
        <w:numId w:val="1"/>
      </w:numPr>
      <w:spacing w:before="200" w:after="0"/>
      <w:outlineLvl w:val="5"/>
    </w:pPr>
    <w:rPr>
      <w:rFonts w:ascii="Calibri" w:hAnsi="Calibri" w:eastAsia="ＭＳ ゴシック" w:cs=""/>
      <w:i/>
      <w:iCs/>
      <w:color w:val="243F60"/>
    </w:rPr>
  </w:style>
  <w:style w:type="paragraph" w:styleId="Heading7">
    <w:name w:val="Heading 7"/>
    <w:basedOn w:val="Normal"/>
    <w:next w:val="Normal"/>
    <w:qFormat/>
    <w:pPr>
      <w:keepNext w:val="true"/>
      <w:keepLines/>
      <w:numPr>
        <w:ilvl w:val="6"/>
        <w:numId w:val="1"/>
      </w:numPr>
      <w:spacing w:before="200" w:after="0"/>
      <w:outlineLvl w:val="6"/>
    </w:pPr>
    <w:rPr>
      <w:rFonts w:ascii="Calibri" w:hAnsi="Calibri" w:eastAsia="ＭＳ ゴシック" w:cs=""/>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Calibri" w:hAnsi="Calibri" w:eastAsia="ＭＳ ゴシック" w:cs=""/>
      <w:color w:val="4F81BD"/>
      <w:sz w:val="20"/>
      <w:szCs w:val="20"/>
    </w:rPr>
  </w:style>
  <w:style w:type="paragraph" w:styleId="Heading9">
    <w:name w:val="Heading 9"/>
    <w:basedOn w:val="Normal"/>
    <w:next w:val="Normal"/>
    <w:qFormat/>
    <w:pPr>
      <w:keepNext w:val="true"/>
      <w:keepLines/>
      <w:numPr>
        <w:ilvl w:val="8"/>
        <w:numId w:val="1"/>
      </w:numPr>
      <w:spacing w:before="200" w:after="0"/>
      <w:outlineLvl w:val="8"/>
    </w:pPr>
    <w:rPr>
      <w:rFonts w:ascii="Calibri" w:hAnsi="Calibri" w:eastAsia="ＭＳ ゴシック" w:cs=""/>
      <w:i/>
      <w:iCs/>
      <w:color w:val="404040"/>
      <w:sz w:val="20"/>
      <w:szCs w:val="20"/>
    </w:rPr>
  </w:style>
  <w:style w:type="character" w:styleId="WW8Num1z0">
    <w:name w:val="WW8Num1z0"/>
    <w:qFormat/>
    <w:rPr>
      <w:rFonts w:ascii="Symbol" w:hAnsi="Symbol" w:cs="Symbol"/>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Courier New" w:hAnsi="Courier New" w:eastAsia="Times New Roman"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sz w:val="20"/>
    </w:rPr>
  </w:style>
  <w:style w:type="character" w:styleId="WW8Num3z1">
    <w:name w:val="WW8Num3z1"/>
    <w:qFormat/>
    <w:rPr>
      <w:rFonts w:ascii="Courier New" w:hAnsi="Courier New" w:cs="Courier New"/>
      <w:sz w:val="20"/>
    </w:rPr>
  </w:style>
  <w:style w:type="character" w:styleId="WW8Num3z2">
    <w:name w:val="WW8Num3z2"/>
    <w:qFormat/>
    <w:rPr>
      <w:rFonts w:ascii="Wingdings" w:hAnsi="Wingdings" w:cs="Wingdings"/>
      <w:sz w:val="20"/>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w:hAnsi="Calibri" w:eastAsia="ＭＳ ゴシック" w:cs=""/>
      <w:b/>
      <w:bCs/>
      <w:color w:val="365F91"/>
      <w:sz w:val="28"/>
      <w:szCs w:val="28"/>
    </w:rPr>
  </w:style>
  <w:style w:type="character" w:styleId="Heading2Char">
    <w:name w:val="Heading 2 Char"/>
    <w:basedOn w:val="DefaultParagraphFont"/>
    <w:qFormat/>
    <w:rPr>
      <w:rFonts w:ascii="Calibri" w:hAnsi="Calibri" w:eastAsia="ＭＳ ゴシック" w:cs=""/>
      <w:b/>
      <w:bCs/>
      <w:color w:val="4F81BD"/>
      <w:sz w:val="26"/>
      <w:szCs w:val="26"/>
    </w:rPr>
  </w:style>
  <w:style w:type="character" w:styleId="Heading3Char">
    <w:name w:val="Heading 3 Char"/>
    <w:basedOn w:val="DefaultParagraphFont"/>
    <w:qFormat/>
    <w:rPr>
      <w:rFonts w:ascii="Calibri" w:hAnsi="Calibri" w:eastAsia="ＭＳ ゴシック" w:cs=""/>
      <w:b/>
      <w:bCs/>
      <w:color w:val="4F81BD"/>
    </w:rPr>
  </w:style>
  <w:style w:type="character" w:styleId="TitleChar">
    <w:name w:val="Title Char"/>
    <w:basedOn w:val="DefaultParagraphFont"/>
    <w:qFormat/>
    <w:rPr>
      <w:rFonts w:ascii="Calibri" w:hAnsi="Calibri" w:eastAsia="ＭＳ ゴシック" w:cs=""/>
      <w:color w:val="17365D"/>
      <w:spacing w:val="5"/>
      <w:kern w:val="2"/>
      <w:sz w:val="52"/>
      <w:szCs w:val="52"/>
    </w:rPr>
  </w:style>
  <w:style w:type="character" w:styleId="SubtitleChar">
    <w:name w:val="Subtitle Char"/>
    <w:basedOn w:val="DefaultParagraphFont"/>
    <w:qFormat/>
    <w:rPr>
      <w:rFonts w:ascii="Calibri" w:hAnsi="Calibri" w:eastAsia="ＭＳ ゴシック" w:cs=""/>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Courier New" w:hAnsi="Courier;Courier New" w:cs="Courier;Courier New"/>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
      <w:b/>
      <w:bCs/>
      <w:i/>
      <w:iCs/>
      <w:color w:val="4F81BD"/>
    </w:rPr>
  </w:style>
  <w:style w:type="character" w:styleId="Heading5Char">
    <w:name w:val="Heading 5 Char"/>
    <w:basedOn w:val="DefaultParagraphFont"/>
    <w:qFormat/>
    <w:rPr>
      <w:rFonts w:ascii="Calibri" w:hAnsi="Calibri" w:eastAsia="ＭＳ ゴシック" w:cs=""/>
      <w:color w:val="243F60"/>
    </w:rPr>
  </w:style>
  <w:style w:type="character" w:styleId="Heading6Char">
    <w:name w:val="Heading 6 Char"/>
    <w:basedOn w:val="DefaultParagraphFont"/>
    <w:qFormat/>
    <w:rPr>
      <w:rFonts w:ascii="Calibri" w:hAnsi="Calibri" w:eastAsia="ＭＳ ゴシック" w:cs=""/>
      <w:i/>
      <w:iCs/>
      <w:color w:val="243F60"/>
    </w:rPr>
  </w:style>
  <w:style w:type="character" w:styleId="Heading7Char">
    <w:name w:val="Heading 7 Char"/>
    <w:basedOn w:val="DefaultParagraphFont"/>
    <w:qFormat/>
    <w:rPr>
      <w:rFonts w:ascii="Calibri" w:hAnsi="Calibri" w:eastAsia="ＭＳ ゴシック" w:cs=""/>
      <w:i/>
      <w:iCs/>
      <w:color w:val="404040"/>
    </w:rPr>
  </w:style>
  <w:style w:type="character" w:styleId="Heading8Char">
    <w:name w:val="Heading 8 Char"/>
    <w:basedOn w:val="DefaultParagraphFont"/>
    <w:qFormat/>
    <w:rPr>
      <w:rFonts w:ascii="Calibri" w:hAnsi="Calibri" w:eastAsia="ＭＳ ゴシック" w:cs=""/>
      <w:color w:val="4F81BD"/>
      <w:sz w:val="20"/>
      <w:szCs w:val="20"/>
    </w:rPr>
  </w:style>
  <w:style w:type="character" w:styleId="Heading9Char">
    <w:name w:val="Heading 9 Char"/>
    <w:basedOn w:val="DefaultParagraphFont"/>
    <w:qFormat/>
    <w:rPr>
      <w:rFonts w:ascii="Calibri" w:hAnsi="Calibri" w:eastAsia="ＭＳ ゴシック" w:cs=""/>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character" w:styleId="InternetLink">
    <w:name w:val="Internet Link"/>
    <w:rPr>
      <w:rFonts w:ascii="Arial" w:hAnsi="Arial" w:cs="Arial"/>
      <w:color w:val="0092CF"/>
      <w:sz w:val="20"/>
      <w:u w:val="single"/>
    </w:rPr>
  </w:style>
  <w:style w:type="character" w:styleId="Pagenumber">
    <w:name w:val="page number"/>
    <w:basedOn w:val="DefaultParagraphFont"/>
    <w:qFormat/>
    <w:rPr/>
  </w:style>
  <w:style w:type="character" w:styleId="FollowedHyperlink">
    <w:name w:val="FollowedHyperlink"/>
    <w:basedOn w:val="DefaultParagraphFont"/>
    <w:qFormat/>
    <w:rPr>
      <w:color w:val="800080"/>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0" w:after="120"/>
    </w:pPr>
    <w:rPr/>
  </w:style>
  <w:style w:type="paragraph" w:styleId="List">
    <w:name w:val="List"/>
    <w:basedOn w:val="Normal"/>
    <w:pPr>
      <w:spacing w:before="0" w:after="200"/>
      <w:ind w:left="360" w:right="0" w:hanging="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NoSpacing">
    <w:name w:val="No Spacing"/>
    <w:qFormat/>
    <w:pPr>
      <w:widowControl/>
      <w:suppressAutoHyphens w:val="true"/>
      <w:bidi w:val="0"/>
      <w:spacing w:lineRule="auto" w:line="240" w:before="0" w:after="0"/>
      <w:jc w:val="left"/>
    </w:pPr>
    <w:rPr>
      <w:rFonts w:ascii="Cambria" w:hAnsi="Cambria" w:eastAsia="ＭＳ 明朝" w:cs=""/>
      <w:color w:val="auto"/>
      <w:kern w:val="0"/>
      <w:sz w:val="22"/>
      <w:szCs w:val="22"/>
      <w:lang w:val="en-US" w:eastAsia="en-US" w:bidi="ar-SA"/>
    </w:rPr>
  </w:style>
  <w:style w:type="paragraph" w:styleId="Title">
    <w:name w:val="Title"/>
    <w:basedOn w:val="Normal"/>
    <w:next w:val="Normal"/>
    <w:qFormat/>
    <w:pPr>
      <w:pBdr>
        <w:bottom w:val="single" w:sz="8" w:space="4" w:color="4F81BD"/>
      </w:pBdr>
      <w:spacing w:lineRule="auto" w:line="240" w:before="0" w:after="300"/>
      <w:contextualSpacing/>
    </w:pPr>
    <w:rPr>
      <w:rFonts w:ascii="Calibri" w:hAnsi="Calibri" w:eastAsia="ＭＳ ゴシック" w:cs=""/>
      <w:color w:val="17365D"/>
      <w:spacing w:val="5"/>
      <w:kern w:val="2"/>
      <w:sz w:val="52"/>
      <w:szCs w:val="52"/>
    </w:rPr>
  </w:style>
  <w:style w:type="paragraph" w:styleId="Subtitle">
    <w:name w:val="Subtitle"/>
    <w:basedOn w:val="Normal"/>
    <w:next w:val="Normal"/>
    <w:qFormat/>
    <w:pPr/>
    <w:rPr>
      <w:rFonts w:ascii="Calibri" w:hAnsi="Calibri" w:eastAsia="ＭＳ ゴシック" w:cs=""/>
      <w:i/>
      <w:iCs/>
      <w:color w:val="4F81BD"/>
      <w:spacing w:val="15"/>
      <w:sz w:val="24"/>
      <w:szCs w:val="24"/>
    </w:rPr>
  </w:style>
  <w:style w:type="paragraph" w:styleId="ListParagraph">
    <w:name w:val="List Paragraph"/>
    <w:basedOn w:val="Normal"/>
    <w:qFormat/>
    <w:pPr>
      <w:spacing w:before="0" w:after="200"/>
      <w:ind w:left="720" w:right="0" w:hanging="0"/>
      <w:contextualSpacing/>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List2">
    <w:name w:val="List Bullet 3"/>
    <w:basedOn w:val="Normal"/>
    <w:pPr>
      <w:spacing w:before="0" w:after="200"/>
      <w:ind w:left="720" w:right="0" w:hanging="360"/>
      <w:contextualSpacing/>
    </w:pPr>
    <w:rPr/>
  </w:style>
  <w:style w:type="paragraph" w:styleId="List3">
    <w:name w:val="List Bullet 4"/>
    <w:basedOn w:val="Normal"/>
    <w:pPr>
      <w:spacing w:before="0" w:after="200"/>
      <w:ind w:left="1080" w:right="0" w:hanging="360"/>
      <w:contextualSpacing/>
    </w:pPr>
    <w:rPr/>
  </w:style>
  <w:style w:type="paragraph" w:styleId="ListBullet">
    <w:name w:val="List Bullet"/>
    <w:basedOn w:val="Normal"/>
    <w:qFormat/>
    <w:pPr>
      <w:spacing w:before="0" w:after="200"/>
      <w:contextualSpacing/>
    </w:pPr>
    <w:rPr/>
  </w:style>
  <w:style w:type="paragraph" w:styleId="ListBullet2">
    <w:name w:val="List Bullet 2"/>
    <w:basedOn w:val="Normal"/>
    <w:qFormat/>
    <w:pPr>
      <w:spacing w:before="0" w:after="200"/>
      <w:contextualSpacing/>
    </w:pPr>
    <w:rPr/>
  </w:style>
  <w:style w:type="paragraph" w:styleId="ListBullet3">
    <w:name w:val="List Bullet 3"/>
    <w:basedOn w:val="Normal"/>
    <w:qFormat/>
    <w:pPr>
      <w:spacing w:before="0" w:after="200"/>
      <w:contextualSpacing/>
    </w:pPr>
    <w:rPr/>
  </w:style>
  <w:style w:type="paragraph" w:styleId="ListNumber">
    <w:name w:val="List Number"/>
    <w:basedOn w:val="Normal"/>
    <w:qFormat/>
    <w:pPr>
      <w:spacing w:before="0" w:after="200"/>
      <w:contextualSpacing/>
    </w:pPr>
    <w:rPr/>
  </w:style>
  <w:style w:type="paragraph" w:styleId="ListNumber2">
    <w:name w:val="List Number 2"/>
    <w:basedOn w:val="Normal"/>
    <w:qFormat/>
    <w:pPr>
      <w:spacing w:before="0" w:after="200"/>
      <w:contextualSpacing/>
    </w:pPr>
    <w:rPr/>
  </w:style>
  <w:style w:type="paragraph" w:styleId="ListNumber3">
    <w:name w:val="List Number 3"/>
    <w:basedOn w:val="Normal"/>
    <w:qFormat/>
    <w:pPr>
      <w:spacing w:before="0" w:after="200"/>
      <w:contextualSpacing/>
    </w:pPr>
    <w:rPr/>
  </w:style>
  <w:style w:type="paragraph" w:styleId="ListContinue">
    <w:name w:val="List Continue"/>
    <w:basedOn w:val="Normal"/>
    <w:qFormat/>
    <w:pPr>
      <w:spacing w:before="0" w:after="120"/>
      <w:ind w:left="360" w:right="0" w:hanging="0"/>
      <w:contextualSpacing/>
    </w:pPr>
    <w:rPr/>
  </w:style>
  <w:style w:type="paragraph" w:styleId="ListContinue2">
    <w:name w:val="List Continue 2"/>
    <w:basedOn w:val="Normal"/>
    <w:qFormat/>
    <w:pPr>
      <w:spacing w:before="0" w:after="120"/>
      <w:ind w:left="720" w:right="0" w:hanging="0"/>
      <w:contextualSpacing/>
    </w:pPr>
    <w:rPr/>
  </w:style>
  <w:style w:type="paragraph" w:styleId="ListContinue3">
    <w:name w:val="List Continue 3"/>
    <w:basedOn w:val="Normal"/>
    <w:qFormat/>
    <w:pPr>
      <w:spacing w:before="0" w:after="120"/>
      <w:ind w:left="1080" w:right="0" w:hanging="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Courier New" w:hAnsi="Courier;Courier New" w:eastAsia="ＭＳ 明朝" w:cs=""/>
      <w:color w:val="auto"/>
      <w:kern w:val="0"/>
      <w:sz w:val="20"/>
      <w:szCs w:val="20"/>
      <w:lang w:val="en-US" w:eastAsia="en-US" w:bidi="ar-SA"/>
    </w:rPr>
  </w:style>
  <w:style w:type="paragraph" w:styleId="Quote">
    <w:name w:val="Quote"/>
    <w:basedOn w:val="Normal"/>
    <w:next w:val="Normal"/>
    <w:qFormat/>
    <w:pPr/>
    <w:rPr>
      <w:i/>
      <w:iCs/>
      <w:color w:val="000000"/>
    </w:rPr>
  </w:style>
  <w:style w:type="paragraph" w:styleId="Caption1">
    <w:name w:val="caption"/>
    <w:basedOn w:val="Normal"/>
    <w:next w:val="Normal"/>
    <w:qFormat/>
    <w:pPr>
      <w:spacing w:lineRule="auto" w:line="240"/>
    </w:pPr>
    <w:rPr>
      <w:b/>
      <w:bCs/>
      <w:color w:val="4F81BD"/>
      <w:sz w:val="18"/>
      <w:szCs w:val="18"/>
    </w:rPr>
  </w:style>
  <w:style w:type="paragraph" w:styleId="IntenseQuote">
    <w:name w:val="Intense Quote"/>
    <w:basedOn w:val="Normal"/>
    <w:next w:val="Normal"/>
    <w:qFormat/>
    <w:pPr>
      <w:pBdr>
        <w:bottom w:val="single" w:sz="4" w:space="4" w:color="4F81BD"/>
      </w:pBdr>
      <w:spacing w:before="200" w:after="280"/>
      <w:ind w:left="936" w:right="936" w:hanging="0"/>
    </w:pPr>
    <w:rPr>
      <w:b/>
      <w:bCs/>
      <w:i/>
      <w:iCs/>
      <w:color w:val="4F81BD"/>
    </w:rPr>
  </w:style>
  <w:style w:type="paragraph" w:styleId="TOCHeading">
    <w:name w:val="TOC Heading"/>
    <w:basedOn w:val="Heading1"/>
    <w:next w:val="Normal"/>
    <w:qFormat/>
    <w:pPr>
      <w:numPr>
        <w:ilvl w:val="0"/>
        <w:numId w:val="0"/>
      </w:numPr>
    </w:pPr>
    <w:rPr/>
  </w:style>
  <w:style w:type="paragraph" w:styleId="RapidocsNotes1">
    <w:name w:val="Rapidocs Notes 1"/>
    <w:basedOn w:val="Normal"/>
    <w:qFormat/>
    <w:pPr>
      <w:tabs>
        <w:tab w:val="clear" w:pos="720"/>
        <w:tab w:val="left" w:pos="283" w:leader="none"/>
      </w:tabs>
      <w:suppressAutoHyphens w:val="true"/>
      <w:spacing w:lineRule="auto" w:line="240" w:before="0" w:after="0"/>
    </w:pPr>
    <w:rPr>
      <w:rFonts w:ascii="Times New Roman" w:hAnsi="Times New Roman" w:eastAsia="Times New Roman" w:cs="Times New Roman"/>
      <w:sz w:val="16"/>
      <w:szCs w:val="20"/>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val="en-GB" w:eastAsia="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Normal.dotm</Template>
  <TotalTime>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2026-05-07T10:53:00Z</dcterms:created>
  <dc:creator>python-docx</dc:creator>
  <dc:description>generated by python-docx</dc:description>
  <dc:language>en-US</dc:language>
  <cp:lastModifiedBy>Katie McDermott</cp:lastModifiedBy>
  <cp:lastPrinted>1995-11-21T17:41:00Z</cp:lastPrinted>
  <dcterms:modified xsi:type="dcterms:W3CDTF">2026-05-14T11:26:00Z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MSIP_Label_d1311d83-f667-40ff-9ccb-8c356ca3c17a_ActionId">
    <vt:lpwstr>1c9c153f-4c9e-43cd-80cd-9a3d492209e6</vt:lpwstr>
  </property>
  <property fmtid="{D5CDD505-2E9C-101B-9397-08002B2CF9AE}" pid="7" name="MSIP_Label_d1311d83-f667-40ff-9ccb-8c356ca3c17a_ContentBits">
    <vt:lpwstr>0</vt:lpwstr>
  </property>
  <property fmtid="{D5CDD505-2E9C-101B-9397-08002B2CF9AE}" pid="8" name="MSIP_Label_d1311d83-f667-40ff-9ccb-8c356ca3c17a_Enabled">
    <vt:lpwstr>true</vt:lpwstr>
  </property>
  <property fmtid="{D5CDD505-2E9C-101B-9397-08002B2CF9AE}" pid="9" name="MSIP_Label_d1311d83-f667-40ff-9ccb-8c356ca3c17a_Method">
    <vt:lpwstr>Standard</vt:lpwstr>
  </property>
  <property fmtid="{D5CDD505-2E9C-101B-9397-08002B2CF9AE}" pid="10" name="MSIP_Label_d1311d83-f667-40ff-9ccb-8c356ca3c17a_Name">
    <vt:lpwstr>defa4170-0d19-0005-0004-bc88714345d2</vt:lpwstr>
  </property>
  <property fmtid="{D5CDD505-2E9C-101B-9397-08002B2CF9AE}" pid="11" name="MSIP_Label_d1311d83-f667-40ff-9ccb-8c356ca3c17a_SetDate">
    <vt:lpwstr>2026-04-28T15:18:46Z</vt:lpwstr>
  </property>
  <property fmtid="{D5CDD505-2E9C-101B-9397-08002B2CF9AE}" pid="12" name="MSIP_Label_d1311d83-f667-40ff-9ccb-8c356ca3c17a_SiteId">
    <vt:lpwstr>4de300d1-94f4-4105-9335-eb8fdbd5024a</vt:lpwstr>
  </property>
  <property fmtid="{D5CDD505-2E9C-101B-9397-08002B2CF9AE}" pid="13" name="MSIP_Label_d1311d83-f667-40ff-9ccb-8c356ca3c17a_Tag">
    <vt:lpwstr>50, 3, 0, 1</vt:lpwstr>
  </property>
  <property fmtid="{D5CDD505-2E9C-101B-9397-08002B2CF9AE}" pid="14" name="ScaleCrop">
    <vt:bool>0</vt:bool>
  </property>
  <property fmtid="{D5CDD505-2E9C-101B-9397-08002B2CF9AE}" pid="15" name="ShareDoc">
    <vt:bool>0</vt:bool>
  </property>
</Properties>
</file>