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pBdr/>
        <w:jc w:val="right"/>
        <w:rPr>
          <w:rFonts w:ascii="Arial" w:hAnsi="Arial" w:eastAsia="Arial" w:cs="Arial"/>
          <w:b/>
          <w:b/>
          <w:color w:val="000000"/>
          <w:sz w:val="22"/>
          <w:szCs w:val="22"/>
        </w:rPr>
      </w:pPr>
      <w:r>
        <w:rPr>
          <w:rFonts w:eastAsia="Arial" w:cs="Arial" w:ascii="Arial" w:hAnsi="Arial"/>
          <w:b/>
          <w:color w:val="000000"/>
          <w:sz w:val="22"/>
          <w:szCs w:val="22"/>
        </w:rPr>
      </w:r>
    </w:p>
    <w:p>
      <w:pPr>
        <w:pStyle w:val="Normal"/>
        <w:pBdr/>
        <w:jc w:val="center"/>
        <w:rPr>
          <w:rFonts w:ascii="Arial" w:hAnsi="Arial" w:eastAsia="Arial" w:cs="Arial"/>
          <w:b/>
          <w:b/>
          <w:color w:val="000000"/>
          <w:sz w:val="22"/>
          <w:szCs w:val="22"/>
        </w:rPr>
      </w:pPr>
      <w:r>
        <w:rPr>
          <w:rFonts w:eastAsia="Arial" w:cs="Arial" w:ascii="Arial" w:hAnsi="Arial"/>
          <w:b/>
          <w:color w:val="000000"/>
          <w:sz w:val="22"/>
          <w:szCs w:val="22"/>
        </w:rPr>
        <w:drawing>
          <wp:anchor behindDoc="0" distT="0" distB="0" distL="0" distR="0" simplePos="0" locked="0" layoutInCell="1" allowOverlap="1" relativeHeight="2">
            <wp:simplePos x="0" y="0"/>
            <wp:positionH relativeFrom="column">
              <wp:posOffset>4683760</wp:posOffset>
            </wp:positionH>
            <wp:positionV relativeFrom="paragraph">
              <wp:posOffset>-276225</wp:posOffset>
            </wp:positionV>
            <wp:extent cx="1047115" cy="10172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11" r="-11" b="-11"/>
                    <a:stretch>
                      <a:fillRect/>
                    </a:stretch>
                  </pic:blipFill>
                  <pic:spPr bwMode="auto">
                    <a:xfrm>
                      <a:off x="0" y="0"/>
                      <a:ext cx="1047115" cy="1017270"/>
                    </a:xfrm>
                    <a:prstGeom prst="rect">
                      <a:avLst/>
                    </a:prstGeom>
                  </pic:spPr>
                </pic:pic>
              </a:graphicData>
            </a:graphic>
          </wp:anchor>
        </w:drawing>
      </w:r>
    </w:p>
    <w:p>
      <w:pPr>
        <w:pStyle w:val="Normal"/>
        <w:pBdr/>
        <w:rPr>
          <w:rFonts w:ascii="Arial" w:hAnsi="Arial" w:eastAsia="Arial" w:cs="Arial"/>
          <w:b/>
          <w:b/>
          <w:color w:val="000000"/>
        </w:rPr>
      </w:pPr>
      <w:r>
        <w:rPr>
          <w:rFonts w:eastAsia="Arial" w:cs="Arial" w:ascii="Arial" w:hAnsi="Arial"/>
          <w:b/>
          <w:color w:val="000000"/>
        </w:rPr>
      </w:r>
    </w:p>
    <w:p>
      <w:pPr>
        <w:pStyle w:val="Normal"/>
        <w:pBdr/>
        <w:jc w:val="center"/>
        <w:rPr>
          <w:rFonts w:ascii="Arial" w:hAnsi="Arial" w:eastAsia="Arial" w:cs="Arial"/>
          <w:b/>
          <w:b/>
          <w:color w:val="000000"/>
        </w:rPr>
      </w:pPr>
      <w:r>
        <w:rPr>
          <w:rFonts w:eastAsia="Arial" w:cs="Arial" w:ascii="Arial" w:hAnsi="Arial"/>
          <w:b/>
          <w:color w:val="000000"/>
        </w:rPr>
      </w:r>
    </w:p>
    <w:p>
      <w:pPr>
        <w:pStyle w:val="Normal"/>
        <w:pBdr/>
        <w:jc w:val="center"/>
        <w:rPr>
          <w:rFonts w:ascii="Arial" w:hAnsi="Arial" w:eastAsia="Arial" w:cs="Arial"/>
          <w:b/>
          <w:b/>
          <w:color w:val="000000"/>
        </w:rPr>
      </w:pPr>
      <w:r>
        <w:rPr>
          <w:rFonts w:eastAsia="Arial" w:cs="Arial" w:ascii="Arial" w:hAnsi="Arial"/>
          <w:b/>
          <w:color w:val="000000"/>
        </w:rPr>
        <w:t>Northern Education Trust – Job Description</w:t>
      </w:r>
    </w:p>
    <w:p>
      <w:pPr>
        <w:pStyle w:val="Normal"/>
        <w:pBdr/>
        <w:rPr>
          <w:rFonts w:ascii="Arial" w:hAnsi="Arial" w:eastAsia="Arial" w:cs="Arial"/>
          <w:b/>
          <w:b/>
          <w:color w:val="000000"/>
          <w:sz w:val="22"/>
          <w:szCs w:val="22"/>
        </w:rPr>
      </w:pPr>
      <w:r>
        <w:rPr>
          <w:rFonts w:eastAsia="Arial" w:cs="Arial" w:ascii="Arial" w:hAnsi="Arial"/>
          <w:b/>
          <w:color w:val="000000"/>
          <w:sz w:val="22"/>
          <w:szCs w:val="22"/>
        </w:rPr>
      </w:r>
    </w:p>
    <w:tbl>
      <w:tblPr>
        <w:tblW w:w="9025" w:type="dxa"/>
        <w:jc w:val="left"/>
        <w:tblInd w:w="0" w:type="dxa"/>
        <w:tblCellMar>
          <w:top w:w="0" w:type="dxa"/>
          <w:left w:w="108" w:type="dxa"/>
          <w:bottom w:w="0" w:type="dxa"/>
          <w:right w:w="108" w:type="dxa"/>
        </w:tblCellMar>
      </w:tblPr>
      <w:tblGrid>
        <w:gridCol w:w="2688"/>
        <w:gridCol w:w="2110"/>
        <w:gridCol w:w="507"/>
        <w:gridCol w:w="1069"/>
        <w:gridCol w:w="533"/>
        <w:gridCol w:w="2118"/>
      </w:tblGrid>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Job Title:</w:t>
            </w:r>
          </w:p>
        </w:tc>
        <w:tc>
          <w:tcPr>
            <w:tcW w:w="2110"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Breakfast Club Assistant</w:t>
            </w:r>
          </w:p>
        </w:tc>
        <w:tc>
          <w:tcPr>
            <w:tcW w:w="2109" w:type="dxa"/>
            <w:gridSpan w:val="3"/>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 xml:space="preserve">JE reference </w:t>
            </w:r>
          </w:p>
        </w:tc>
        <w:tc>
          <w:tcPr>
            <w:tcW w:w="211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JE078</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Base:</w:t>
            </w:r>
          </w:p>
        </w:tc>
        <w:tc>
          <w:tcPr>
            <w:tcW w:w="6337" w:type="dxa"/>
            <w:gridSpan w:val="5"/>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 xml:space="preserve">Academy </w:t>
            </w:r>
          </w:p>
        </w:tc>
      </w:tr>
      <w:tr>
        <w:trPr>
          <w:trHeight w:val="416" w:hRule="atLeast"/>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Reports to:</w:t>
            </w:r>
          </w:p>
        </w:tc>
        <w:tc>
          <w:tcPr>
            <w:tcW w:w="2617" w:type="dxa"/>
            <w:gridSpan w:val="2"/>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Vice Principal</w:t>
            </w:r>
          </w:p>
        </w:tc>
        <w:tc>
          <w:tcPr>
            <w:tcW w:w="1069"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Grade:</w:t>
            </w:r>
          </w:p>
        </w:tc>
        <w:tc>
          <w:tcPr>
            <w:tcW w:w="265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 xml:space="preserve">Grade 3 </w:t>
            </w:r>
          </w:p>
          <w:p>
            <w:pPr>
              <w:pStyle w:val="Normal"/>
              <w:pBdr/>
              <w:rPr>
                <w:rFonts w:ascii="Arial" w:hAnsi="Arial" w:eastAsia="Arial" w:cs="Arial"/>
                <w:color w:val="000000"/>
              </w:rPr>
            </w:pPr>
            <w:r>
              <w:rPr>
                <w:rFonts w:eastAsia="Arial" w:cs="Arial" w:ascii="Arial" w:hAnsi="Arial"/>
                <w:color w:val="000000"/>
              </w:rPr>
              <w:t xml:space="preserve">SCP 7 – SCP 8 </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Staff responsibility for:</w:t>
            </w:r>
          </w:p>
        </w:tc>
        <w:tc>
          <w:tcPr>
            <w:tcW w:w="2617" w:type="dxa"/>
            <w:gridSpan w:val="2"/>
            <w:tcBorders>
              <w:top w:val="single" w:sz="4" w:space="0" w:color="000000"/>
              <w:left w:val="single" w:sz="4" w:space="0" w:color="000000"/>
              <w:bottom w:val="single" w:sz="4" w:space="0" w:color="000000"/>
            </w:tcBorders>
            <w:shd w:fill="F2F2F2" w:val="clear"/>
          </w:tcPr>
          <w:p>
            <w:pPr>
              <w:pStyle w:val="Normal"/>
              <w:pBdr/>
              <w:snapToGrid w:val="false"/>
              <w:rPr>
                <w:rFonts w:ascii="Arial" w:hAnsi="Arial" w:eastAsia="Arial" w:cs="Arial"/>
                <w:color w:val="000000"/>
              </w:rPr>
            </w:pPr>
            <w:r>
              <w:rPr>
                <w:rFonts w:eastAsia="Arial" w:cs="Arial" w:ascii="Arial" w:hAnsi="Arial"/>
                <w:color w:val="000000"/>
              </w:rPr>
            </w:r>
          </w:p>
        </w:tc>
        <w:tc>
          <w:tcPr>
            <w:tcW w:w="1069"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Salary:</w:t>
            </w:r>
          </w:p>
        </w:tc>
        <w:tc>
          <w:tcPr>
            <w:tcW w:w="265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pPr>
            <w:r>
              <w:rPr>
                <w:rFonts w:eastAsia="Arial" w:cs="Arial" w:ascii="Arial" w:hAnsi="Arial"/>
                <w:color w:val="000000"/>
              </w:rPr>
              <w:t>£2</w:t>
            </w:r>
            <w:r>
              <w:rPr>
                <w:rFonts w:eastAsia="Arial" w:cs="Arial" w:ascii="Arial" w:hAnsi="Arial"/>
              </w:rPr>
              <w:t>7</w:t>
            </w:r>
            <w:r>
              <w:rPr>
                <w:rFonts w:eastAsia="Arial" w:cs="Arial" w:ascii="Arial" w:hAnsi="Arial"/>
                <w:color w:val="000000"/>
              </w:rPr>
              <w:t>,</w:t>
            </w:r>
            <w:r>
              <w:rPr>
                <w:rFonts w:eastAsia="Arial" w:cs="Arial" w:ascii="Arial" w:hAnsi="Arial"/>
              </w:rPr>
              <w:t>274</w:t>
            </w:r>
            <w:r>
              <w:rPr>
                <w:rFonts w:eastAsia="Arial" w:cs="Arial" w:ascii="Arial" w:hAnsi="Arial"/>
                <w:color w:val="000000"/>
              </w:rPr>
              <w:t>.00 - £2</w:t>
            </w:r>
            <w:r>
              <w:rPr>
                <w:rFonts w:eastAsia="Arial" w:cs="Arial" w:ascii="Arial" w:hAnsi="Arial"/>
              </w:rPr>
              <w:t>7</w:t>
            </w:r>
            <w:r>
              <w:rPr>
                <w:rFonts w:eastAsia="Arial" w:cs="Arial" w:ascii="Arial" w:hAnsi="Arial"/>
                <w:color w:val="000000"/>
              </w:rPr>
              <w:t>,</w:t>
            </w:r>
            <w:r>
              <w:rPr>
                <w:rFonts w:eastAsia="Arial" w:cs="Arial" w:ascii="Arial" w:hAnsi="Arial"/>
              </w:rPr>
              <w:t>709</w:t>
            </w:r>
            <w:r>
              <w:rPr>
                <w:rFonts w:eastAsia="Arial" w:cs="Arial" w:ascii="Arial" w:hAnsi="Arial"/>
                <w:color w:val="000000"/>
              </w:rPr>
              <w:t>.00</w:t>
            </w:r>
          </w:p>
          <w:p>
            <w:pPr>
              <w:pStyle w:val="Normal"/>
              <w:pBdr/>
              <w:rPr>
                <w:rFonts w:ascii="Arial" w:hAnsi="Arial" w:eastAsia="Arial" w:cs="Arial"/>
                <w:color w:val="000000"/>
              </w:rPr>
            </w:pPr>
            <w:r>
              <w:rPr>
                <w:rFonts w:eastAsia="Arial" w:cs="Arial" w:ascii="Arial" w:hAnsi="Arial"/>
                <w:color w:val="000000"/>
              </w:rPr>
              <w:t>(FTE, pro rata salary £3,256.29 - £3,308.23) </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Additional:</w:t>
            </w:r>
          </w:p>
        </w:tc>
        <w:tc>
          <w:tcPr>
            <w:tcW w:w="2617" w:type="dxa"/>
            <w:gridSpan w:val="2"/>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This role will run alongside the advertised fixed term TA position – Level 3 maternity cover</w:t>
            </w:r>
          </w:p>
        </w:tc>
        <w:tc>
          <w:tcPr>
            <w:tcW w:w="1069"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Term:</w:t>
            </w:r>
          </w:p>
        </w:tc>
        <w:tc>
          <w:tcPr>
            <w:tcW w:w="265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5 hours, 39 weeks</w:t>
            </w:r>
          </w:p>
        </w:tc>
      </w:tr>
    </w:tbl>
    <w:p>
      <w:pPr>
        <w:pStyle w:val="Normal"/>
        <w:pBdr/>
        <w:rPr>
          <w:rFonts w:ascii="Arial" w:hAnsi="Arial" w:eastAsia="Arial" w:cs="Arial"/>
          <w:b/>
          <w:b/>
          <w:color w:val="000000"/>
          <w:sz w:val="22"/>
          <w:szCs w:val="22"/>
        </w:rPr>
      </w:pPr>
      <w:r>
        <w:rPr>
          <w:rFonts w:eastAsia="Arial" w:cs="Arial" w:ascii="Arial" w:hAnsi="Arial"/>
          <w:b/>
          <w:color w:val="000000"/>
          <w:sz w:val="22"/>
          <w:szCs w:val="22"/>
        </w:rPr>
      </w:r>
    </w:p>
    <w:p>
      <w:pPr>
        <w:pStyle w:val="Normal"/>
        <w:pBdr/>
        <w:rPr>
          <w:rFonts w:ascii="Arial" w:hAnsi="Arial" w:eastAsia="Arial" w:cs="Arial"/>
          <w:b/>
          <w:b/>
          <w:color w:val="000000"/>
          <w:sz w:val="22"/>
          <w:szCs w:val="22"/>
        </w:rPr>
      </w:pPr>
      <w:r>
        <w:rPr>
          <w:rFonts w:eastAsia="Arial" w:cs="Arial" w:ascii="Arial" w:hAnsi="Arial"/>
          <w:b/>
          <w:color w:val="000000"/>
          <w:sz w:val="22"/>
          <w:szCs w:val="22"/>
        </w:rPr>
      </w:r>
    </w:p>
    <w:p>
      <w:pPr>
        <w:pStyle w:val="Normal"/>
        <w:pBdr/>
        <w:rPr>
          <w:rFonts w:ascii="Arial" w:hAnsi="Arial" w:eastAsia="Arial" w:cs="Arial"/>
          <w:b/>
          <w:b/>
          <w:color w:val="000000"/>
        </w:rPr>
      </w:pPr>
      <w:r>
        <w:rPr>
          <w:rFonts w:eastAsia="Arial" w:cs="Arial" w:ascii="Arial" w:hAnsi="Arial"/>
          <w:b/>
          <w:color w:val="000000"/>
        </w:rPr>
        <w:t>JOB PURPOSE</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Work to ensure the service operates within relevant legislation and regulations</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The children are safe and happy and that relevant educational and recreational activities take place</w:t>
      </w:r>
    </w:p>
    <w:p>
      <w:pPr>
        <w:pStyle w:val="Normal"/>
        <w:pBdr/>
        <w:rPr>
          <w:rFonts w:ascii="Arial" w:hAnsi="Arial" w:eastAsia="Arial" w:cs="Arial"/>
          <w:color w:val="000000"/>
        </w:rPr>
      </w:pPr>
      <w:r>
        <w:rPr>
          <w:rFonts w:eastAsia="Arial" w:cs="Arial" w:ascii="Arial" w:hAnsi="Arial"/>
          <w:color w:val="000000"/>
        </w:rPr>
      </w:r>
    </w:p>
    <w:p>
      <w:pPr>
        <w:pStyle w:val="Normal"/>
        <w:pBdr/>
        <w:rPr>
          <w:rFonts w:ascii="Arial" w:hAnsi="Arial" w:eastAsia="Arial" w:cs="Arial"/>
          <w:b/>
          <w:b/>
          <w:color w:val="000000"/>
        </w:rPr>
      </w:pPr>
      <w:r>
        <w:rPr>
          <w:rFonts w:eastAsia="Arial" w:cs="Arial" w:ascii="Arial" w:hAnsi="Arial"/>
          <w:b/>
          <w:color w:val="000000"/>
        </w:rPr>
        <w:t>JOB SUMMARY</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Ensure that the programme of activities is interesting to the children by providing a variety of educational and recreational activities</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Check play equipment regularly to ensure the safety and well-being of club users</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Ensure that parents, carers and other visitors are made to feel welcome on visiting the club and that they receive appropriate information and advice</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Maintain accurate records</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Undertake first aid training in order to administer first aid</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Prepare healthy snacks and meals where appropriate</w:t>
      </w:r>
    </w:p>
    <w:p>
      <w:pPr>
        <w:pStyle w:val="Normal"/>
        <w:numPr>
          <w:ilvl w:val="0"/>
          <w:numId w:val="3"/>
        </w:numPr>
        <w:ind w:left="709" w:right="0" w:hanging="425"/>
        <w:rPr>
          <w:rFonts w:ascii="Arial" w:hAnsi="Arial" w:eastAsia="Arial" w:cs="Arial"/>
          <w:color w:val="000000"/>
          <w:sz w:val="22"/>
          <w:szCs w:val="22"/>
        </w:rPr>
      </w:pPr>
      <w:r>
        <w:rPr>
          <w:rFonts w:eastAsia="Arial" w:cs="Arial" w:ascii="Arial" w:hAnsi="Arial"/>
          <w:color w:val="000000"/>
          <w:sz w:val="22"/>
          <w:szCs w:val="22"/>
        </w:rPr>
        <w:t>Assist with setting up and clearing away at the beginning and end of each session</w:t>
      </w:r>
    </w:p>
    <w:p>
      <w:pPr>
        <w:pStyle w:val="Normal"/>
        <w:numPr>
          <w:ilvl w:val="0"/>
          <w:numId w:val="3"/>
        </w:numPr>
        <w:ind w:left="709" w:right="0" w:hanging="425"/>
        <w:rPr>
          <w:rFonts w:ascii="Arial" w:hAnsi="Arial" w:eastAsia="Arial" w:cs="Arial"/>
          <w:color w:val="000000"/>
          <w:sz w:val="22"/>
          <w:szCs w:val="22"/>
        </w:rPr>
      </w:pPr>
      <w:r>
        <w:rPr>
          <w:rFonts w:eastAsia="Arial" w:cs="Arial" w:ascii="Arial" w:hAnsi="Arial"/>
          <w:color w:val="000000"/>
          <w:sz w:val="22"/>
          <w:szCs w:val="22"/>
        </w:rPr>
        <w:t>Take reasonable care of your own health and safety and co-operate with management, as far as is necessary to enable compliance with the academy’s health and safety rules and legislative requirements</w:t>
      </w:r>
    </w:p>
    <w:p>
      <w:pPr>
        <w:pStyle w:val="Normal"/>
        <w:numPr>
          <w:ilvl w:val="0"/>
          <w:numId w:val="3"/>
        </w:numPr>
        <w:ind w:left="709" w:right="0" w:hanging="425"/>
        <w:rPr>
          <w:rFonts w:ascii="Arial" w:hAnsi="Arial" w:eastAsia="Arial" w:cs="Arial"/>
          <w:color w:val="000000"/>
          <w:sz w:val="22"/>
          <w:szCs w:val="22"/>
        </w:rPr>
      </w:pPr>
      <w:r>
        <w:rPr>
          <w:rFonts w:eastAsia="Arial" w:cs="Arial" w:ascii="Arial" w:hAnsi="Arial"/>
          <w:color w:val="000000"/>
          <w:sz w:val="22"/>
          <w:szCs w:val="22"/>
        </w:rPr>
        <w:t>Undertake personal training that may be deemed necessary to meet the duties of the post</w:t>
      </w:r>
    </w:p>
    <w:p>
      <w:pPr>
        <w:pStyle w:val="Normal"/>
        <w:numPr>
          <w:ilvl w:val="0"/>
          <w:numId w:val="3"/>
        </w:numPr>
        <w:ind w:left="709" w:right="0" w:hanging="425"/>
        <w:rPr>
          <w:rFonts w:ascii="Arial" w:hAnsi="Arial" w:eastAsia="Arial" w:cs="Arial"/>
          <w:sz w:val="22"/>
          <w:szCs w:val="22"/>
        </w:rPr>
      </w:pPr>
      <w:r>
        <w:rPr>
          <w:rFonts w:eastAsia="Arial" w:cs="Arial" w:ascii="Arial" w:hAnsi="Arial"/>
          <w:sz w:val="22"/>
          <w:szCs w:val="22"/>
        </w:rPr>
        <w:t>Demonstrate and promote commitment to equal opportunities and to the elimination of behaviour and practices that could be discriminatory</w:t>
      </w:r>
    </w:p>
    <w:p>
      <w:pPr>
        <w:pStyle w:val="Normal"/>
        <w:ind w:left="709" w:right="0" w:hanging="0"/>
        <w:rPr>
          <w:rFonts w:ascii="Arial" w:hAnsi="Arial" w:eastAsia="Arial" w:cs="Arial"/>
          <w:b/>
          <w:b/>
        </w:rPr>
      </w:pPr>
      <w:r>
        <w:rPr>
          <w:rFonts w:eastAsia="Arial" w:cs="Arial" w:ascii="Arial" w:hAnsi="Arial"/>
          <w:b/>
        </w:rPr>
        <w:tab/>
      </w:r>
    </w:p>
    <w:p>
      <w:pPr>
        <w:pStyle w:val="Normal"/>
        <w:spacing w:lineRule="auto" w:line="256"/>
        <w:rPr>
          <w:rFonts w:ascii="Arial" w:hAnsi="Arial" w:eastAsia="Arial" w:cs="Arial"/>
          <w:b/>
          <w:b/>
          <w:sz w:val="22"/>
          <w:szCs w:val="22"/>
        </w:rPr>
      </w:pPr>
      <w:r>
        <w:rPr>
          <w:rFonts w:eastAsia="Arial" w:cs="Arial" w:ascii="Arial" w:hAnsi="Arial"/>
          <w:b/>
          <w:sz w:val="22"/>
          <w:szCs w:val="22"/>
        </w:rPr>
        <w:t>GDPR</w:t>
      </w:r>
    </w:p>
    <w:p>
      <w:pPr>
        <w:pStyle w:val="Normal"/>
        <w:numPr>
          <w:ilvl w:val="0"/>
          <w:numId w:val="5"/>
        </w:numPr>
        <w:spacing w:lineRule="auto" w:line="276"/>
        <w:rPr>
          <w:rFonts w:ascii="Arial" w:hAnsi="Arial" w:eastAsia="Arial" w:cs="Arial"/>
          <w:sz w:val="22"/>
          <w:szCs w:val="22"/>
        </w:rPr>
      </w:pPr>
      <w:r>
        <w:rPr>
          <w:rFonts w:eastAsia="Arial" w:cs="Arial" w:ascii="Arial" w:hAnsi="Arial"/>
          <w:sz w:val="22"/>
          <w:szCs w:val="22"/>
        </w:rPr>
        <w:t xml:space="preserve">To adhere to GDPR and Data Protection Regulations, whilst maintaining confidentiality </w:t>
      </w:r>
    </w:p>
    <w:p>
      <w:pPr>
        <w:pStyle w:val="Normal"/>
        <w:jc w:val="both"/>
        <w:rPr>
          <w:rFonts w:ascii="Arial" w:hAnsi="Arial" w:eastAsia="Arial" w:cs="Arial"/>
          <w:b/>
          <w:b/>
          <w:sz w:val="22"/>
          <w:szCs w:val="22"/>
        </w:rPr>
      </w:pPr>
      <w:r>
        <w:rPr>
          <w:rFonts w:eastAsia="Arial" w:cs="Arial" w:ascii="Arial" w:hAnsi="Arial"/>
          <w:b/>
          <w:sz w:val="22"/>
          <w:szCs w:val="22"/>
        </w:rPr>
      </w:r>
    </w:p>
    <w:p>
      <w:pPr>
        <w:pStyle w:val="Normal"/>
        <w:jc w:val="both"/>
        <w:rPr>
          <w:rFonts w:ascii="Arial" w:hAnsi="Arial" w:eastAsia="Arial" w:cs="Arial"/>
          <w:b/>
          <w:b/>
          <w:sz w:val="22"/>
          <w:szCs w:val="22"/>
        </w:rPr>
      </w:pPr>
      <w:r>
        <w:rPr>
          <w:rFonts w:eastAsia="Arial" w:cs="Arial" w:ascii="Arial" w:hAnsi="Arial"/>
          <w:b/>
          <w:sz w:val="22"/>
          <w:szCs w:val="22"/>
        </w:rPr>
        <w:t>Safeguarding</w:t>
      </w:r>
    </w:p>
    <w:p>
      <w:pPr>
        <w:pStyle w:val="Normal"/>
        <w:numPr>
          <w:ilvl w:val="0"/>
          <w:numId w:val="6"/>
        </w:numPr>
        <w:pBdr/>
        <w:jc w:val="both"/>
        <w:rPr>
          <w:rFonts w:ascii="Arial" w:hAnsi="Arial" w:eastAsia="Arial" w:cs="Arial"/>
          <w:color w:val="000000"/>
          <w:sz w:val="22"/>
          <w:szCs w:val="22"/>
        </w:rPr>
      </w:pPr>
      <w:r>
        <w:rPr>
          <w:rFonts w:eastAsia="Arial" w:cs="Arial" w:ascii="Arial" w:hAnsi="Arial"/>
          <w:color w:val="000000"/>
          <w:sz w:val="22"/>
          <w:szCs w:val="22"/>
        </w:rPr>
        <w:t>To follow all safeguarding and child protection policies and procedures</w:t>
      </w:r>
    </w:p>
    <w:p>
      <w:pPr>
        <w:pStyle w:val="Normal"/>
        <w:numPr>
          <w:ilvl w:val="0"/>
          <w:numId w:val="6"/>
        </w:numPr>
        <w:pBdr/>
        <w:spacing w:lineRule="auto" w:line="276" w:before="0" w:after="200"/>
        <w:rPr>
          <w:rFonts w:ascii="Arial" w:hAnsi="Arial" w:eastAsia="Arial" w:cs="Arial"/>
          <w:color w:val="000000"/>
          <w:sz w:val="22"/>
          <w:szCs w:val="22"/>
        </w:rPr>
      </w:pPr>
      <w:r>
        <w:rPr>
          <w:rFonts w:eastAsia="Arial" w:cs="Arial" w:ascii="Arial" w:hAnsi="Arial"/>
          <w:color w:val="000000"/>
          <w:sz w:val="22"/>
          <w:szCs w:val="22"/>
        </w:rPr>
        <w:t>This role wholly or mainly involves working with children</w:t>
      </w:r>
    </w:p>
    <w:p>
      <w:pPr>
        <w:pStyle w:val="Normal"/>
        <w:jc w:val="both"/>
        <w:rPr>
          <w:rFonts w:ascii="Arial" w:hAnsi="Arial" w:eastAsia="Arial" w:cs="Arial"/>
          <w:b/>
          <w:b/>
          <w:sz w:val="22"/>
          <w:szCs w:val="22"/>
        </w:rPr>
      </w:pPr>
      <w:r>
        <w:rPr>
          <w:rFonts w:eastAsia="Arial" w:cs="Arial" w:ascii="Arial" w:hAnsi="Arial"/>
          <w:b/>
          <w:sz w:val="22"/>
          <w:szCs w:val="22"/>
        </w:rPr>
        <w:t>General</w:t>
      </w:r>
    </w:p>
    <w:p>
      <w:pPr>
        <w:pStyle w:val="Normal"/>
        <w:widowControl w:val="false"/>
        <w:numPr>
          <w:ilvl w:val="0"/>
          <w:numId w:val="4"/>
        </w:numPr>
        <w:tabs>
          <w:tab w:val="clear" w:pos="720"/>
          <w:tab w:val="left" w:pos="220" w:leader="none"/>
          <w:tab w:val="left" w:pos="360" w:leader="none"/>
        </w:tabs>
        <w:spacing w:lineRule="auto" w:line="256" w:before="0" w:after="160"/>
        <w:rPr>
          <w:rFonts w:ascii="Arial" w:hAnsi="Arial" w:eastAsia="Arial" w:cs="Arial"/>
          <w:sz w:val="22"/>
          <w:szCs w:val="22"/>
        </w:rPr>
      </w:pPr>
      <w:r>
        <w:rPr>
          <w:rFonts w:eastAsia="Arial" w:cs="Arial" w:ascii="Arial" w:hAnsi="Arial"/>
          <w:sz w:val="22"/>
          <w:szCs w:val="22"/>
        </w:rPr>
        <w:t>To participate in wider trust meetings and working groups as required</w:t>
      </w:r>
    </w:p>
    <w:p>
      <w:pPr>
        <w:pStyle w:val="Normal"/>
        <w:pBdr/>
        <w:ind w:left="720" w:right="0" w:hanging="0"/>
        <w:rPr>
          <w:rFonts w:ascii="Arial" w:hAnsi="Arial" w:eastAsia="Arial" w:cs="Arial"/>
          <w:color w:val="000000"/>
          <w:sz w:val="22"/>
          <w:szCs w:val="22"/>
        </w:rPr>
      </w:pPr>
      <w:r>
        <w:rPr>
          <w:rFonts w:eastAsia="Arial" w:cs="Arial" w:ascii="Arial" w:hAnsi="Arial"/>
          <w:color w:val="000000"/>
          <w:sz w:val="22"/>
          <w:szCs w:val="22"/>
        </w:rPr>
      </w:r>
    </w:p>
    <w:p>
      <w:pPr>
        <w:pStyle w:val="Normal"/>
        <w:rPr>
          <w:rFonts w:ascii="Arial" w:hAnsi="Arial" w:eastAsia="Arial" w:cs="Arial"/>
          <w:sz w:val="22"/>
          <w:szCs w:val="22"/>
        </w:rPr>
      </w:pPr>
      <w:r>
        <w:rPr>
          <w:rFonts w:eastAsia="Arial" w:cs="Arial" w:ascii="Arial" w:hAnsi="Arial"/>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pStyle w:val="Normal"/>
        <w:rPr>
          <w:rFonts w:ascii="Arial" w:hAnsi="Arial" w:eastAsia="Arial" w:cs="Arial"/>
          <w:sz w:val="22"/>
          <w:szCs w:val="22"/>
        </w:rPr>
      </w:pPr>
      <w:r>
        <w:rPr>
          <w:rFonts w:eastAsia="Arial" w:cs="Arial" w:ascii="Arial" w:hAnsi="Arial"/>
          <w:sz w:val="22"/>
          <w:szCs w:val="22"/>
        </w:rPr>
      </w:r>
    </w:p>
    <w:p>
      <w:pPr>
        <w:pStyle w:val="Normal"/>
        <w:spacing w:lineRule="auto" w:line="256" w:before="0" w:after="160"/>
        <w:rPr>
          <w:rFonts w:ascii="Arial" w:hAnsi="Arial" w:eastAsia="Arial" w:cs="Arial"/>
          <w:sz w:val="22"/>
          <w:szCs w:val="22"/>
        </w:rPr>
      </w:pPr>
      <w:r>
        <w:rPr>
          <w:rFonts w:eastAsia="Arial" w:cs="Arial" w:ascii="Arial" w:hAnsi="Arial"/>
          <w:sz w:val="22"/>
          <w:szCs w:val="22"/>
        </w:rPr>
        <w:t>NET is committed to safeguarding and promoting the welfare of children and young people. We expect all staff to share this commitment and to undergo appropriate checks, including an enhanced DBS check.</w:t>
      </w:r>
    </w:p>
    <w:p>
      <w:pPr>
        <w:pStyle w:val="Normal"/>
        <w:rPr>
          <w:rFonts w:ascii="Arial" w:hAnsi="Arial" w:eastAsia="Arial" w:cs="Arial"/>
          <w:sz w:val="22"/>
          <w:szCs w:val="22"/>
        </w:rPr>
      </w:pPr>
      <w:r>
        <w:rPr>
          <w:rFonts w:eastAsia="Arial" w:cs="Arial" w:ascii="Arial" w:hAnsi="Arial"/>
          <w:sz w:val="22"/>
          <w:szCs w:val="22"/>
        </w:rPr>
      </w:r>
    </w:p>
    <w:p>
      <w:pPr>
        <w:pStyle w:val="Normal"/>
        <w:rPr>
          <w:rFonts w:ascii="Arial" w:hAnsi="Arial" w:eastAsia="Arial" w:cs="Arial"/>
          <w:sz w:val="22"/>
          <w:szCs w:val="22"/>
        </w:rPr>
      </w:pPr>
      <w:r>
        <w:rPr>
          <w:rFonts w:eastAsia="Arial" w:cs="Arial" w:ascii="Arial" w:hAnsi="Arial"/>
          <w:sz w:val="22"/>
          <w:szCs w:val="22"/>
        </w:rPr>
        <w:t>Signed: ……………………………………</w:t>
        <w:tab/>
        <w:tab/>
        <w:t>Date: ……………………………….</w:t>
      </w:r>
    </w:p>
    <w:p>
      <w:pPr>
        <w:pStyle w:val="Normal"/>
        <w:spacing w:lineRule="auto" w:line="256" w:before="0" w:after="160"/>
        <w:rPr>
          <w:rFonts w:ascii="Calibri" w:hAnsi="Calibri" w:eastAsia="Calibri" w:cs="Calibri"/>
          <w:sz w:val="22"/>
          <w:szCs w:val="22"/>
        </w:rPr>
      </w:pPr>
      <w:r>
        <w:rPr>
          <w:rFonts w:eastAsia="Calibri" w:cs="Calibri" w:ascii="Calibri" w:hAnsi="Calibri"/>
          <w:sz w:val="22"/>
          <w:szCs w:val="22"/>
        </w:rPr>
      </w:r>
    </w:p>
    <w:p>
      <w:pPr>
        <w:pStyle w:val="Normal"/>
        <w:pBdr/>
        <w:tabs>
          <w:tab w:val="clear" w:pos="720"/>
          <w:tab w:val="left" w:pos="2300" w:leader="none"/>
        </w:tabs>
        <w:jc w:val="both"/>
        <w:rPr>
          <w:rFonts w:ascii="Arial" w:hAnsi="Arial" w:eastAsia="Arial" w:cs="Arial"/>
          <w:b/>
          <w:b/>
          <w:color w:val="000000"/>
          <w:sz w:val="22"/>
          <w:szCs w:val="22"/>
        </w:rPr>
      </w:pPr>
      <w:r>
        <w:rPr>
          <w:rFonts w:eastAsia="Arial" w:cs="Arial" w:ascii="Arial" w:hAnsi="Arial"/>
          <w:b/>
          <w:color w:val="000000"/>
          <w:sz w:val="22"/>
          <w:szCs w:val="22"/>
        </w:rPr>
      </w:r>
    </w:p>
    <w:p>
      <w:pPr>
        <w:pStyle w:val="Normal"/>
        <w:pBdr/>
        <w:rPr>
          <w:rFonts w:ascii="Arial" w:hAnsi="Arial" w:eastAsia="Arial" w:cs="Arial"/>
          <w:b/>
          <w:b/>
          <w:color w:val="000000"/>
          <w:sz w:val="22"/>
          <w:szCs w:val="22"/>
        </w:rPr>
      </w:pPr>
      <w:r>
        <w:rPr>
          <w:rFonts w:eastAsia="Arial" w:cs="Arial" w:ascii="Arial" w:hAnsi="Arial"/>
          <w:b/>
          <w:color w:val="000000"/>
          <w:sz w:val="22"/>
          <w:szCs w:val="22"/>
        </w:rPr>
      </w:r>
    </w:p>
    <w:sectPr>
      <w:footerReference w:type="default" r:id="rId3"/>
      <w:type w:val="nextPage"/>
      <w:pgSz w:w="11906" w:h="16838"/>
      <w:pgMar w:left="1440" w:right="1440" w:header="0" w:top="1026" w:footer="708" w:bottom="1196" w:gutter="0"/>
      <w:pgNumType w:start="32"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Symbols">
    <w:charset w:val="01"/>
    <w:family w:val="auto"/>
    <w:pitch w:val="default"/>
  </w:font>
  <w:font w:name="Courier New">
    <w:charset w:val="01"/>
    <w:family w:val="modern"/>
    <w:pitch w:val="default"/>
  </w:font>
  <w:font w:name="Liberation Sans">
    <w:altName w:val="Arial"/>
    <w:charset w:val="00"/>
    <w:family w:val="swiss"/>
    <w:pitch w:val="variable"/>
  </w:font>
  <w:font w:name="Georgia">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lear" w:pos="720"/>
        <w:tab w:val="center" w:pos="4513" w:leader="none"/>
        <w:tab w:val="right" w:pos="9026" w:leader="none"/>
      </w:tabs>
      <w:jc w:val="right"/>
      <w:rPr/>
    </w:pPr>
    <w:r>
      <w:rPr/>
    </w:r>
  </w:p>
  <w:p>
    <w:pPr>
      <w:pStyle w:val="Normal"/>
      <w:pBdr/>
      <w:tabs>
        <w:tab w:val="clear" w:pos="720"/>
        <w:tab w:val="center" w:pos="4513" w:leader="none"/>
        <w:tab w:val="right" w:pos="9026" w:leader="none"/>
      </w:tabs>
      <w:ind w:left="0" w:right="360" w:hanging="0"/>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Noto Sans Symbols" w:hAnsi="Noto Sans Symbols" w:cs="Noto Sans Symbols" w:hint="default"/>
        <w:sz w:val="22"/>
        <w:rFonts w:cs="Noto Sans Symbol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3">
    <w:lvl w:ilvl="0">
      <w:start w:val="1"/>
      <w:numFmt w:val="decimal"/>
      <w:lvlText w:val="%1."/>
      <w:lvlJc w:val="left"/>
      <w:pPr>
        <w:ind w:left="1260" w:hanging="360"/>
      </w:pPr>
      <w:rPr/>
    </w:lvl>
    <w:lvl w:ilvl="1">
      <w:start w:val="1"/>
      <w:numFmt w:val="lowerLetter"/>
      <w:lvlText w:val="%2."/>
      <w:lvlJc w:val="left"/>
      <w:pPr>
        <w:ind w:left="1980" w:hanging="360"/>
      </w:pPr>
      <w:rPr/>
    </w:lvl>
    <w:lvl w:ilvl="2">
      <w:start w:val="1"/>
      <w:numFmt w:val="lowerRoman"/>
      <w:lvlText w:val="%3."/>
      <w:lvlJc w:val="right"/>
      <w:pPr>
        <w:ind w:left="2700" w:hanging="180"/>
      </w:pPr>
      <w:rPr/>
    </w:lvl>
    <w:lvl w:ilvl="3">
      <w:start w:val="1"/>
      <w:numFmt w:val="decimal"/>
      <w:lvlText w:val="%4."/>
      <w:lvlJc w:val="left"/>
      <w:pPr>
        <w:ind w:left="3420" w:hanging="360"/>
      </w:pPr>
      <w:rPr/>
    </w:lvl>
    <w:lvl w:ilvl="4">
      <w:start w:val="1"/>
      <w:numFmt w:val="lowerLetter"/>
      <w:lvlText w:val="%5."/>
      <w:lvlJc w:val="left"/>
      <w:pPr>
        <w:ind w:left="4140" w:hanging="360"/>
      </w:pPr>
      <w:rPr/>
    </w:lvl>
    <w:lvl w:ilvl="5">
      <w:start w:val="1"/>
      <w:numFmt w:val="lowerRoman"/>
      <w:lvlText w:val="%6."/>
      <w:lvlJc w:val="right"/>
      <w:pPr>
        <w:ind w:left="4860" w:hanging="180"/>
      </w:pPr>
      <w:rPr/>
    </w:lvl>
    <w:lvl w:ilvl="6">
      <w:start w:val="1"/>
      <w:numFmt w:val="decimal"/>
      <w:lvlText w:val="%7."/>
      <w:lvlJc w:val="left"/>
      <w:pPr>
        <w:ind w:left="5580" w:hanging="360"/>
      </w:pPr>
      <w:rPr/>
    </w:lvl>
    <w:lvl w:ilvl="7">
      <w:start w:val="1"/>
      <w:numFmt w:val="lowerLetter"/>
      <w:lvlText w:val="%8."/>
      <w:lvlJc w:val="left"/>
      <w:pPr>
        <w:ind w:left="6300" w:hanging="360"/>
      </w:pPr>
      <w:rPr/>
    </w:lvl>
    <w:lvl w:ilvl="8">
      <w:start w:val="1"/>
      <w:numFmt w:val="lowerRoman"/>
      <w:lvlText w:val="%9."/>
      <w:lvlJc w:val="right"/>
      <w:pPr>
        <w:ind w:left="702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1z0">
    <w:name w:val="WW8Num1z0"/>
    <w:qFormat/>
    <w:rPr>
      <w:rFonts w:ascii="Noto Sans Symbols" w:hAnsi="Noto Sans Symbols" w:cs="Noto Sans Symbols"/>
      <w:sz w:val="22"/>
    </w:rPr>
  </w:style>
  <w:style w:type="character" w:styleId="WW8Num1z1">
    <w:name w:val="WW8Num1z1"/>
    <w:qFormat/>
    <w:rPr>
      <w:rFonts w:ascii="Courier New" w:hAnsi="Courier New" w:cs="Courier New"/>
    </w:rPr>
  </w:style>
  <w:style w:type="character" w:styleId="WW8Num1z2">
    <w:name w:val="WW8Num1z2"/>
    <w:qFormat/>
    <w:rPr>
      <w:rFonts w:ascii="Noto Sans Symbols" w:hAnsi="Noto Sans Symbols" w:cs="Noto Sans Symbol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rFonts w:ascii="Courier New" w:hAnsi="Courier New" w:cs="Courier New"/>
    </w:rPr>
  </w:style>
  <w:style w:type="character" w:styleId="WW8Num4z2">
    <w:name w:val="WW8Num4z2"/>
    <w:qFormat/>
    <w:rPr>
      <w:rFonts w:ascii="Noto Sans Symbols" w:hAnsi="Noto Sans Symbols" w:cs="Noto Sans Symbol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FooterChar">
    <w:name w:val="Footer Char"/>
    <w:basedOn w:val="DefaultParagraphFont"/>
    <w:qFormat/>
    <w:rPr>
      <w:sz w:val="22"/>
      <w:szCs w:val="22"/>
      <w:lang w:val="en-GB"/>
    </w:rPr>
  </w:style>
  <w:style w:type="character" w:styleId="Pagenumber">
    <w:name w:val="page number"/>
    <w:basedOn w:val="DefaultParagraphFont"/>
    <w:qFormat/>
    <w:rPr/>
  </w:style>
  <w:style w:type="character" w:styleId="HeaderChar">
    <w:name w:val="Header Char"/>
    <w:basedOn w:val="DefaultParagraphFont"/>
    <w:qFormat/>
    <w:rPr>
      <w:sz w:val="22"/>
      <w:szCs w:val="22"/>
      <w:lang w:val="en-GB"/>
    </w:rPr>
  </w:style>
  <w:style w:type="character" w:styleId="DocumentMapChar">
    <w:name w:val="Document Map Char"/>
    <w:basedOn w:val="DefaultParagraphFont"/>
    <w:qFormat/>
    <w:rPr>
      <w:rFonts w:ascii="Times New Roman" w:hAnsi="Times New Roman" w:cs="Times New Roman"/>
      <w:lang w:val="en-GB"/>
    </w:rPr>
  </w:style>
  <w:style w:type="character" w:styleId="BodyTextChar">
    <w:name w:val="Body Text Char"/>
    <w:basedOn w:val="DefaultParagraphFont"/>
    <w:qFormat/>
    <w:rPr>
      <w:rFonts w:ascii="Arial" w:hAnsi="Arial" w:eastAsia="Times New Roman" w:cs="Arial"/>
      <w:sz w:val="36"/>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center"/>
    </w:pPr>
    <w:rPr>
      <w:rFonts w:ascii="Arial" w:hAnsi="Arial" w:cs="Arial"/>
      <w:sz w:val="36"/>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2"/>
      <w:szCs w:val="22"/>
      <w:lang w:val="en-GB" w:eastAsia="en-GB" w:bidi="ar-SA"/>
    </w:rPr>
  </w:style>
  <w:style w:type="paragraph" w:styleId="ListParagraph">
    <w:name w:val="List Paragraph"/>
    <w:basedOn w:val="Normal"/>
    <w:qFormat/>
    <w:pPr>
      <w:spacing w:before="0" w:after="0"/>
      <w:ind w:left="720" w:right="0" w:hanging="0"/>
      <w:contextualSpacing/>
    </w:pPr>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style>
  <w:style w:type="paragraph" w:styleId="Header">
    <w:name w:val="Header"/>
    <w:basedOn w:val="Normal"/>
    <w:pPr>
      <w:tabs>
        <w:tab w:val="clear" w:pos="720"/>
        <w:tab w:val="center" w:pos="4513" w:leader="none"/>
        <w:tab w:val="right" w:pos="9026" w:leader="none"/>
      </w:tabs>
    </w:pPr>
    <w:rPr/>
  </w:style>
  <w:style w:type="paragraph" w:styleId="DocumentMap">
    <w:name w:val="Document Map"/>
    <w:basedOn w:val="Normal"/>
    <w:qFormat/>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NormalWeb">
    <w:name w:val="Normal (Web)"/>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