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ind w:left="-567" w:right="-461" w:hanging="0"/>
        <w:jc w:val="center"/>
        <w:rPr>
          <w:rFonts w:cs="Calibri Light"/>
          <w:i/>
          <w:i/>
          <w:iCs/>
          <w:color w:val="000000"/>
          <w:sz w:val="24"/>
          <w:szCs w:val="24"/>
        </w:rPr>
      </w:pPr>
      <w:r>
        <w:rPr>
          <w:rFonts w:cs="Calibri Light"/>
          <w:i/>
          <w:iCs/>
          <w:color w:val="000000"/>
          <w:sz w:val="24"/>
          <w:szCs w:val="24"/>
        </w:rPr>
        <w:t>Changing Lives, Building Futures, Striving for Success</w:t>
      </w:r>
    </w:p>
    <w:p>
      <w:pPr>
        <w:pStyle w:val="Header"/>
        <w:ind w:left="-567" w:right="-461" w:hanging="0"/>
        <w:jc w:val="center"/>
        <w:rPr>
          <w:rFonts w:cs="Calibri Light"/>
          <w:i/>
          <w:i/>
          <w:iCs/>
          <w:color w:val="000000"/>
          <w:sz w:val="24"/>
          <w:szCs w:val="24"/>
        </w:rPr>
      </w:pPr>
      <w:r>
        <w:rPr>
          <w:rFonts w:cs="Calibri Light"/>
          <w:i/>
          <w:iCs/>
          <w:color w:val="000000"/>
          <w:sz w:val="24"/>
          <w:szCs w:val="24"/>
        </w:rPr>
      </w:r>
    </w:p>
    <w:p>
      <w:pPr>
        <w:pStyle w:val="Title"/>
        <w:rPr>
          <w:rFonts w:cs="Calibri Light"/>
        </w:rPr>
      </w:pPr>
      <w:r>
        <w:rPr>
          <w:rFonts w:cs="Calibri Light"/>
        </w:rPr>
        <w:t xml:space="preserve">PASTORAL SAFEGUARDING LEAD </w:t>
      </w:r>
    </w:p>
    <w:p>
      <w:pPr>
        <w:pStyle w:val="Title"/>
        <w:rPr>
          <w:rFonts w:cs="Calibri Light"/>
        </w:rPr>
      </w:pPr>
      <w:r>
        <w:rPr>
          <w:rFonts w:cs="Calibri Light"/>
        </w:rPr>
        <w:t>Job Description and Person Specification</w:t>
      </w:r>
    </w:p>
    <w:p>
      <w:pPr>
        <w:pStyle w:val="Normal"/>
        <w:rPr/>
      </w:pPr>
      <w:r>
        <w:rPr/>
      </w:r>
    </w:p>
    <w:tbl>
      <w:tblPr>
        <w:tblW w:w="5512" w:type="dxa"/>
        <w:jc w:val="left"/>
        <w:tblInd w:w="0" w:type="dxa"/>
        <w:tblCellMar>
          <w:top w:w="0" w:type="dxa"/>
          <w:left w:w="108" w:type="dxa"/>
          <w:bottom w:w="0" w:type="dxa"/>
          <w:right w:w="108" w:type="dxa"/>
        </w:tblCellMar>
      </w:tblPr>
      <w:tblGrid>
        <w:gridCol w:w="5512"/>
      </w:tblGrid>
      <w:tr>
        <w:trPr>
          <w:trHeight w:val="1453" w:hRule="atLeast"/>
        </w:trPr>
        <w:tc>
          <w:tcPr>
            <w:tcW w:w="551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alibri Light"/>
              </w:rPr>
              <w:t>Post: Pastoral Safeguarding Lead</w:t>
            </w:r>
            <w:r>
              <w:rPr/>
              <w:br/>
            </w:r>
            <w:r>
              <w:rPr>
                <w:rFonts w:cs="Calibri Light"/>
              </w:rPr>
              <w:t>Location: Elysium Training, 10E Silk St, Leigh, WN7 1DE</w:t>
            </w:r>
            <w:r>
              <w:rPr/>
              <w:br/>
            </w:r>
            <w:r>
              <w:rPr>
                <w:rFonts w:cs="Calibri Light"/>
              </w:rPr>
              <w:t>Hours: 35.5 hours per week (term-time only, permanent)</w:t>
            </w:r>
            <w:r>
              <w:rPr/>
              <w:br/>
            </w:r>
            <w:r>
              <w:rPr>
                <w:rFonts w:cs="Calibri Light"/>
                <w:lang w:val="en-GB"/>
              </w:rPr>
              <w:t>Responsible To: Designated Safeguarding Lead</w:t>
            </w:r>
          </w:p>
          <w:p>
            <w:pPr>
              <w:pStyle w:val="Normal"/>
              <w:spacing w:lineRule="auto" w:line="240" w:before="0" w:after="0"/>
              <w:rPr>
                <w:rFonts w:cs="Calibri Light"/>
                <w:lang w:val="en-GB"/>
              </w:rPr>
            </w:pPr>
            <w:r>
              <w:rPr>
                <w:rFonts w:cs="Calibri Light"/>
                <w:lang w:val="en-GB"/>
              </w:rPr>
              <w:t>Working Closely With: Pastoral Manager</w:t>
            </w:r>
          </w:p>
        </w:tc>
      </w:tr>
    </w:tbl>
    <w:p>
      <w:pPr>
        <w:pStyle w:val="Heading1"/>
        <w:rPr>
          <w:rFonts w:cs="Calibri Light"/>
        </w:rPr>
      </w:pPr>
      <w:r>
        <w:rPr>
          <w:rFonts w:cs="Calibri Light"/>
        </w:rPr>
        <w:t>Elysium Training Context</w:t>
      </w:r>
    </w:p>
    <w:p>
      <w:pPr>
        <w:pStyle w:val="NoSpacing"/>
        <w:rPr>
          <w:lang w:val="en-GB"/>
        </w:rPr>
      </w:pPr>
      <w:r>
        <w:rPr>
          <w:lang w:val="en-GB"/>
        </w:rPr>
        <w:t>Elysium Training provides alternative provision for young people with significant barriers to learning, all of whom have Education, Health and Care Plans (EHCPs). We specialise in supporting learners with SEND, primarily those with SEMH needs, offering KS4 intervention and a post-16 curriculum.</w:t>
      </w:r>
    </w:p>
    <w:p>
      <w:pPr>
        <w:pStyle w:val="NoSpacing"/>
        <w:rPr>
          <w:lang w:val="en-GB"/>
        </w:rPr>
      </w:pPr>
      <w:r>
        <w:rPr>
          <w:lang w:val="en-GB"/>
        </w:rPr>
      </w:r>
    </w:p>
    <w:p>
      <w:pPr>
        <w:pStyle w:val="NoSpacing"/>
        <w:rPr>
          <w:lang w:val="en-GB"/>
        </w:rPr>
      </w:pPr>
      <w:r>
        <w:rPr>
          <w:lang w:val="en-GB"/>
        </w:rPr>
        <w:t>Our programmes combine construction-based vocational pathways with Preparing for Adulthood and employability skills, delivered through a trauma-informed, relational approach.</w:t>
      </w:r>
    </w:p>
    <w:p>
      <w:pPr>
        <w:pStyle w:val="NoSpacing"/>
        <w:rPr>
          <w:lang w:val="en-GB"/>
        </w:rPr>
      </w:pPr>
      <w:r>
        <w:rPr>
          <w:lang w:val="en-GB"/>
        </w:rPr>
      </w:r>
    </w:p>
    <w:p>
      <w:pPr>
        <w:pStyle w:val="NoSpacing"/>
        <w:rPr>
          <w:lang w:val="en-GB"/>
        </w:rPr>
      </w:pPr>
      <w:r>
        <w:rPr>
          <w:lang w:val="en-GB"/>
        </w:rPr>
        <w:t>Many of our learners have experienced disrupted education, exclusion or anxiety within traditional settings. Elysium provides a structured, safe and purposeful environment where learners can rebuild confidence, develop practical competence and progress towards realistic, meaningful adult outcomes.</w:t>
      </w:r>
    </w:p>
    <w:p>
      <w:pPr>
        <w:pStyle w:val="NoSpacing"/>
        <w:rPr>
          <w:lang w:val="en-GB"/>
        </w:rPr>
      </w:pPr>
      <w:r>
        <w:rPr>
          <w:lang w:val="en-GB"/>
        </w:rPr>
      </w:r>
    </w:p>
    <w:p>
      <w:pPr>
        <w:pStyle w:val="NoSpacing"/>
        <w:rPr/>
      </w:pPr>
      <w:r>
        <w:rPr>
          <w:lang w:val="en-GB"/>
        </w:rPr>
        <w:t xml:space="preserve">Our mission — </w:t>
      </w:r>
      <w:r>
        <w:rPr>
          <w:i/>
          <w:iCs/>
          <w:lang w:val="en-GB"/>
        </w:rPr>
        <w:t>Changing Lives, Building Futures, Striving for Success</w:t>
      </w:r>
      <w:r>
        <w:rPr>
          <w:lang w:val="en-GB"/>
        </w:rPr>
        <w:t xml:space="preserve"> — is underpinned by our values:</w:t>
      </w:r>
    </w:p>
    <w:p>
      <w:pPr>
        <w:pStyle w:val="NoSpacing"/>
        <w:rPr>
          <w:b/>
          <w:b/>
          <w:bCs/>
          <w:lang w:val="en-GB"/>
        </w:rPr>
      </w:pPr>
      <w:r>
        <w:rPr>
          <w:b/>
          <w:bCs/>
          <w:lang w:val="en-GB"/>
        </w:rPr>
      </w:r>
    </w:p>
    <w:p>
      <w:pPr>
        <w:pStyle w:val="NoSpacing"/>
        <w:rPr>
          <w:b/>
          <w:b/>
          <w:bCs/>
          <w:lang w:val="en-GB"/>
        </w:rPr>
      </w:pPr>
      <w:r>
        <w:rPr>
          <w:b/>
          <w:bCs/>
          <w:lang w:val="en-GB"/>
        </w:rPr>
        <w:t>Self-Worth | Unity | Creativity | Commitment | Empathy | Safety | Stability</w:t>
      </w:r>
    </w:p>
    <w:p>
      <w:pPr>
        <w:pStyle w:val="NoSpacing"/>
        <w:rPr>
          <w:lang w:val="en-GB"/>
        </w:rPr>
      </w:pPr>
      <w:r>
        <w:rPr>
          <w:lang w:val="en-GB"/>
        </w:rPr>
      </w:r>
    </w:p>
    <w:p>
      <w:pPr>
        <w:pStyle w:val="NoSpacing"/>
        <w:rPr>
          <w:lang w:val="en-GB"/>
        </w:rPr>
      </w:pPr>
      <w:r>
        <w:rPr>
          <w:lang w:val="en-GB"/>
        </w:rPr>
        <w:t>These values shape our culture, relationships and daily practice.</w:t>
      </w:r>
    </w:p>
    <w:p>
      <w:pPr>
        <w:pStyle w:val="NoSpacing"/>
        <w:rPr>
          <w:lang w:val="en-GB"/>
        </w:rPr>
      </w:pPr>
      <w:r>
        <w:rPr>
          <w:lang w:val="en-GB"/>
        </w:rPr>
      </w:r>
    </w:p>
    <w:p>
      <w:pPr>
        <w:pStyle w:val="Heading1"/>
        <w:spacing w:lineRule="auto" w:line="240" w:before="360" w:after="0"/>
        <w:rPr/>
      </w:pPr>
      <w:r>
        <w:rPr/>
        <w:t>Purpose of the Role</w:t>
      </w:r>
    </w:p>
    <w:p>
      <w:pPr>
        <w:pStyle w:val="Heading1"/>
        <w:spacing w:lineRule="auto" w:line="240" w:before="360" w:after="0"/>
        <w:rPr>
          <w:color w:val="auto"/>
          <w:sz w:val="24"/>
          <w:szCs w:val="32"/>
        </w:rPr>
      </w:pPr>
      <w:r>
        <w:rPr>
          <w:color w:val="auto"/>
          <w:sz w:val="24"/>
          <w:szCs w:val="32"/>
        </w:rPr>
        <w:t>The Pastoral Safeguarding Lead provides operational leadership for safeguarding, learner welfare and pastoral support across the provision.</w:t>
      </w:r>
    </w:p>
    <w:p>
      <w:pPr>
        <w:pStyle w:val="Heading1"/>
        <w:spacing w:lineRule="auto" w:line="240" w:before="360" w:after="0"/>
        <w:rPr/>
      </w:pPr>
      <w:r>
        <w:rPr>
          <w:color w:val="auto"/>
          <w:sz w:val="24"/>
          <w:szCs w:val="32"/>
        </w:rPr>
        <w:t xml:space="preserve">Acting as Deputy Designated Safeguarding Lead (DDSL), the postholder supports the Designated Safeguarding Lead (DSL) in ensuring safeguarding systems are effective, responsive and fully aligned with statutory guidance including </w:t>
      </w:r>
      <w:r>
        <w:rPr>
          <w:i/>
          <w:iCs/>
          <w:color w:val="auto"/>
          <w:sz w:val="24"/>
          <w:szCs w:val="32"/>
        </w:rPr>
        <w:t>Keeping Children Safe in Education (2025)</w:t>
      </w:r>
      <w:r>
        <w:rPr>
          <w:color w:val="auto"/>
          <w:sz w:val="24"/>
          <w:szCs w:val="32"/>
        </w:rPr>
        <w:t xml:space="preserve"> and local safeguarding partnership procedures.</w:t>
      </w:r>
    </w:p>
    <w:p>
      <w:pPr>
        <w:pStyle w:val="Heading1"/>
        <w:spacing w:lineRule="auto" w:line="240" w:before="360" w:after="0"/>
        <w:rPr>
          <w:color w:val="auto"/>
          <w:sz w:val="24"/>
          <w:szCs w:val="32"/>
        </w:rPr>
      </w:pPr>
      <w:r>
        <w:rPr>
          <w:color w:val="auto"/>
          <w:sz w:val="24"/>
          <w:szCs w:val="32"/>
        </w:rPr>
        <w:t>Working closely with the DSL, Pastoral Manager and pastoral team, the role ensures safeguarding, behaviour, attendance and wellbeing systems operate cohesively to support vulnerable learners with SEND and SEMH needs.</w:t>
      </w:r>
    </w:p>
    <w:p>
      <w:pPr>
        <w:pStyle w:val="Normal"/>
        <w:rPr>
          <w:lang w:val="en-GB"/>
        </w:rPr>
      </w:pPr>
      <w:r>
        <w:rPr>
          <w:lang w:val="en-GB"/>
        </w:rPr>
      </w:r>
    </w:p>
    <w:p>
      <w:pPr>
        <w:pStyle w:val="Normal"/>
        <w:rPr>
          <w:lang w:val="en-GB"/>
        </w:rPr>
      </w:pPr>
      <w:r>
        <w:rPr>
          <w:lang w:val="en-GB"/>
        </w:rPr>
      </w:r>
    </w:p>
    <w:p>
      <w:pPr>
        <w:pStyle w:val="Heading1"/>
        <w:spacing w:lineRule="auto" w:line="240" w:before="360" w:after="0"/>
        <w:rPr>
          <w:color w:val="auto"/>
          <w:sz w:val="24"/>
          <w:szCs w:val="32"/>
        </w:rPr>
      </w:pPr>
      <w:r>
        <w:rPr>
          <w:color w:val="auto"/>
          <w:sz w:val="24"/>
          <w:szCs w:val="32"/>
        </w:rPr>
        <w:t>The Pastoral Safeguarding Lead provides day-to-day oversight of safeguarding concerns, multi-agency working and pastoral interventions whilst supporting staff to maintain a safe, stable and supportive environment for all learners.</w:t>
      </w:r>
    </w:p>
    <w:p>
      <w:pPr>
        <w:pStyle w:val="Heading1"/>
        <w:rPr/>
      </w:pPr>
      <w:r>
        <w:rPr/>
        <w:t>Key Responsibilities</w:t>
      </w:r>
    </w:p>
    <w:p>
      <w:pPr>
        <w:pStyle w:val="Heading2"/>
        <w:rPr/>
      </w:pPr>
      <w:r>
        <w:rPr/>
        <w:t xml:space="preserve">1. </w:t>
      </w:r>
      <w:r>
        <w:rPr>
          <w:lang w:val="en-US"/>
        </w:rPr>
        <w:t>Operational Safeguarding Leadership</w:t>
      </w:r>
    </w:p>
    <w:p>
      <w:pPr>
        <w:pStyle w:val="Heading2"/>
        <w:numPr>
          <w:ilvl w:val="0"/>
          <w:numId w:val="9"/>
        </w:numPr>
        <w:spacing w:lineRule="auto" w:line="240" w:before="0" w:after="0"/>
        <w:ind w:left="714" w:right="0" w:hanging="357"/>
        <w:rPr>
          <w:i w:val="false"/>
          <w:i w:val="false"/>
          <w:iCs/>
          <w:color w:val="auto"/>
        </w:rPr>
      </w:pPr>
      <w:r>
        <w:rPr>
          <w:i w:val="false"/>
          <w:iCs/>
          <w:color w:val="auto"/>
        </w:rPr>
        <w:t xml:space="preserve">Act as Deputy Designated Safeguarding Lead (DDSL) and support the DSL in the implementation of safeguarding and child protection arrangements. </w:t>
      </w:r>
    </w:p>
    <w:p>
      <w:pPr>
        <w:pStyle w:val="Heading2"/>
        <w:numPr>
          <w:ilvl w:val="0"/>
          <w:numId w:val="9"/>
        </w:numPr>
        <w:spacing w:lineRule="auto" w:line="240" w:before="0" w:after="0"/>
        <w:ind w:left="714" w:right="0" w:hanging="357"/>
        <w:rPr>
          <w:i w:val="false"/>
          <w:i w:val="false"/>
          <w:iCs/>
          <w:color w:val="auto"/>
        </w:rPr>
      </w:pPr>
      <w:r>
        <w:rPr>
          <w:i w:val="false"/>
          <w:iCs/>
          <w:color w:val="auto"/>
        </w:rPr>
        <w:t xml:space="preserve">Maintain oversight of day-to-day safeguarding concerns, referrals and actions. </w:t>
      </w:r>
    </w:p>
    <w:p>
      <w:pPr>
        <w:pStyle w:val="Heading2"/>
        <w:numPr>
          <w:ilvl w:val="0"/>
          <w:numId w:val="9"/>
        </w:numPr>
        <w:spacing w:lineRule="auto" w:line="240" w:before="0" w:after="0"/>
        <w:ind w:left="714" w:right="0" w:hanging="357"/>
        <w:rPr>
          <w:i w:val="false"/>
          <w:i w:val="false"/>
          <w:iCs/>
          <w:color w:val="auto"/>
        </w:rPr>
      </w:pPr>
      <w:r>
        <w:rPr>
          <w:i w:val="false"/>
          <w:iCs/>
          <w:color w:val="auto"/>
        </w:rPr>
        <w:t xml:space="preserve">Support staff in identifying safeguarding risks and responding appropriately to disclosures or concerns. </w:t>
      </w:r>
    </w:p>
    <w:p>
      <w:pPr>
        <w:pStyle w:val="Heading2"/>
        <w:numPr>
          <w:ilvl w:val="0"/>
          <w:numId w:val="9"/>
        </w:numPr>
        <w:spacing w:lineRule="auto" w:line="240" w:before="0" w:after="0"/>
        <w:ind w:left="714" w:right="0" w:hanging="357"/>
        <w:rPr>
          <w:i w:val="false"/>
          <w:i w:val="false"/>
          <w:iCs/>
          <w:color w:val="auto"/>
        </w:rPr>
      </w:pPr>
      <w:r>
        <w:rPr>
          <w:i w:val="false"/>
          <w:iCs/>
          <w:color w:val="auto"/>
        </w:rPr>
        <w:t xml:space="preserve">Ensure safeguarding concerns are recorded accurately and managed in accordance with organisational procedures. </w:t>
      </w:r>
    </w:p>
    <w:p>
      <w:pPr>
        <w:pStyle w:val="Heading2"/>
        <w:numPr>
          <w:ilvl w:val="0"/>
          <w:numId w:val="9"/>
        </w:numPr>
        <w:spacing w:lineRule="auto" w:line="240" w:before="0" w:after="0"/>
        <w:ind w:left="714" w:right="0" w:hanging="357"/>
        <w:rPr>
          <w:i w:val="false"/>
          <w:i w:val="false"/>
          <w:iCs/>
          <w:color w:val="auto"/>
        </w:rPr>
      </w:pPr>
      <w:r>
        <w:rPr>
          <w:i w:val="false"/>
          <w:iCs/>
          <w:color w:val="auto"/>
        </w:rPr>
        <w:t xml:space="preserve">Promote a proactive safeguarding culture focused on early intervention and professional curiosity. </w:t>
      </w:r>
    </w:p>
    <w:p>
      <w:pPr>
        <w:pStyle w:val="Heading2"/>
        <w:numPr>
          <w:ilvl w:val="0"/>
          <w:numId w:val="9"/>
        </w:numPr>
        <w:spacing w:lineRule="auto" w:line="240" w:before="0" w:after="0"/>
        <w:ind w:left="714" w:right="0" w:hanging="357"/>
        <w:rPr>
          <w:i w:val="false"/>
          <w:i w:val="false"/>
          <w:iCs/>
          <w:color w:val="auto"/>
        </w:rPr>
      </w:pPr>
      <w:r>
        <w:rPr>
          <w:i w:val="false"/>
          <w:iCs/>
          <w:color w:val="auto"/>
        </w:rPr>
        <w:t xml:space="preserve">Provide safeguarding advice and guidance to staff across the provision. </w:t>
      </w:r>
    </w:p>
    <w:p>
      <w:pPr>
        <w:pStyle w:val="Heading2"/>
        <w:numPr>
          <w:ilvl w:val="0"/>
          <w:numId w:val="9"/>
        </w:numPr>
        <w:spacing w:lineRule="auto" w:line="240" w:before="0" w:after="0"/>
        <w:ind w:left="714" w:right="0" w:hanging="357"/>
        <w:rPr>
          <w:rFonts w:eastAsia="" w:cs=""/>
          <w:i w:val="false"/>
          <w:i w:val="false"/>
          <w:iCs/>
          <w:color w:val="auto"/>
          <w:kern w:val="0"/>
          <w:sz w:val="22"/>
          <w:szCs w:val="22"/>
          <w:lang w:val="en-US"/>
        </w:rPr>
      </w:pPr>
      <w:r>
        <w:rPr>
          <w:rFonts w:eastAsia="" w:cs=""/>
          <w:i w:val="false"/>
          <w:iCs/>
          <w:color w:val="auto"/>
          <w:kern w:val="0"/>
          <w:sz w:val="22"/>
          <w:szCs w:val="22"/>
          <w:lang w:val="en-US"/>
        </w:rPr>
        <w:t xml:space="preserve">Support learners to understand safeguarding themes including online safety, exploitation, healthy relationships and personal safety. </w:t>
      </w:r>
    </w:p>
    <w:p>
      <w:pPr>
        <w:pStyle w:val="Heading2"/>
        <w:rPr/>
      </w:pPr>
      <w:r>
        <w:rPr/>
        <w:t xml:space="preserve">2. </w:t>
      </w:r>
      <w:r>
        <w:rPr>
          <w:lang w:val="en-US"/>
        </w:rPr>
        <w:t>Safeguarding Systems and Record Management</w:t>
      </w:r>
    </w:p>
    <w:p>
      <w:pPr>
        <w:pStyle w:val="Heading2"/>
        <w:numPr>
          <w:ilvl w:val="0"/>
          <w:numId w:val="10"/>
        </w:numPr>
        <w:spacing w:lineRule="auto" w:line="240" w:before="0" w:after="0"/>
        <w:ind w:left="714" w:right="0" w:hanging="357"/>
        <w:rPr>
          <w:i w:val="false"/>
          <w:i w:val="false"/>
          <w:iCs/>
          <w:color w:val="auto"/>
        </w:rPr>
      </w:pPr>
      <w:r>
        <w:rPr>
          <w:i w:val="false"/>
          <w:iCs/>
          <w:color w:val="auto"/>
        </w:rPr>
        <w:t xml:space="preserve">Maintain safeguarding records and case files in accordance with statutory guidance and organisational procedures. </w:t>
      </w:r>
    </w:p>
    <w:p>
      <w:pPr>
        <w:pStyle w:val="Heading2"/>
        <w:numPr>
          <w:ilvl w:val="0"/>
          <w:numId w:val="10"/>
        </w:numPr>
        <w:spacing w:lineRule="auto" w:line="240" w:before="0" w:after="0"/>
        <w:ind w:left="714" w:right="0" w:hanging="357"/>
        <w:rPr>
          <w:i w:val="false"/>
          <w:i w:val="false"/>
          <w:iCs/>
          <w:color w:val="auto"/>
        </w:rPr>
      </w:pPr>
      <w:r>
        <w:rPr>
          <w:i w:val="false"/>
          <w:iCs/>
          <w:color w:val="auto"/>
        </w:rPr>
        <w:t xml:space="preserve">Monitor safeguarding information, trends and emerging risks affecting learners. </w:t>
      </w:r>
    </w:p>
    <w:p>
      <w:pPr>
        <w:pStyle w:val="Heading2"/>
        <w:numPr>
          <w:ilvl w:val="0"/>
          <w:numId w:val="10"/>
        </w:numPr>
        <w:spacing w:lineRule="auto" w:line="240" w:before="0" w:after="0"/>
        <w:ind w:left="714" w:right="0" w:hanging="357"/>
        <w:rPr>
          <w:i w:val="false"/>
          <w:i w:val="false"/>
          <w:iCs/>
          <w:color w:val="auto"/>
        </w:rPr>
      </w:pPr>
      <w:r>
        <w:rPr>
          <w:i w:val="false"/>
          <w:iCs/>
          <w:color w:val="auto"/>
        </w:rPr>
        <w:t xml:space="preserve">Ensure safeguarding information is shared appropriately and securely. </w:t>
      </w:r>
    </w:p>
    <w:p>
      <w:pPr>
        <w:pStyle w:val="Heading2"/>
        <w:numPr>
          <w:ilvl w:val="0"/>
          <w:numId w:val="10"/>
        </w:numPr>
        <w:spacing w:lineRule="auto" w:line="240" w:before="0" w:after="0"/>
        <w:ind w:left="714" w:right="0" w:hanging="357"/>
        <w:rPr>
          <w:i w:val="false"/>
          <w:i w:val="false"/>
          <w:iCs/>
          <w:color w:val="auto"/>
        </w:rPr>
      </w:pPr>
      <w:r>
        <w:rPr>
          <w:i w:val="false"/>
          <w:iCs/>
          <w:color w:val="auto"/>
        </w:rPr>
        <w:t xml:space="preserve">Support safeguarding audits and quality assurance activities. </w:t>
      </w:r>
    </w:p>
    <w:p>
      <w:pPr>
        <w:pStyle w:val="Heading2"/>
        <w:numPr>
          <w:ilvl w:val="0"/>
          <w:numId w:val="10"/>
        </w:numPr>
        <w:spacing w:lineRule="auto" w:line="240" w:before="0" w:after="0"/>
        <w:ind w:left="714" w:right="0" w:hanging="357"/>
        <w:rPr>
          <w:i w:val="false"/>
          <w:i w:val="false"/>
          <w:iCs/>
          <w:color w:val="auto"/>
        </w:rPr>
      </w:pPr>
      <w:r>
        <w:rPr>
          <w:i w:val="false"/>
          <w:iCs/>
          <w:color w:val="auto"/>
        </w:rPr>
        <w:t xml:space="preserve">Contribute to safeguarding reports and updates for the DSL and leadership team. </w:t>
      </w:r>
    </w:p>
    <w:p>
      <w:pPr>
        <w:pStyle w:val="Heading2"/>
        <w:numPr>
          <w:ilvl w:val="0"/>
          <w:numId w:val="10"/>
        </w:numPr>
        <w:spacing w:lineRule="auto" w:line="240" w:before="0" w:after="0"/>
        <w:ind w:left="714" w:right="0" w:hanging="357"/>
        <w:rPr>
          <w:rFonts w:eastAsia="" w:cs=""/>
          <w:i w:val="false"/>
          <w:i w:val="false"/>
          <w:iCs/>
          <w:color w:val="auto"/>
          <w:kern w:val="0"/>
          <w:sz w:val="22"/>
          <w:szCs w:val="22"/>
          <w:lang w:val="en-US"/>
        </w:rPr>
      </w:pPr>
      <w:r>
        <w:rPr>
          <w:rFonts w:eastAsia="" w:cs=""/>
          <w:i w:val="false"/>
          <w:iCs/>
          <w:color w:val="auto"/>
          <w:kern w:val="0"/>
          <w:sz w:val="22"/>
          <w:szCs w:val="22"/>
          <w:lang w:val="en-US"/>
        </w:rPr>
        <w:t>Ensure safeguarding arrangements remain effective during off-site activities, employer placements and community learning.</w:t>
      </w:r>
    </w:p>
    <w:p>
      <w:pPr>
        <w:pStyle w:val="Heading2"/>
        <w:rPr/>
      </w:pPr>
      <w:r>
        <w:rPr/>
        <w:t xml:space="preserve">3. </w:t>
      </w:r>
      <w:r>
        <w:rPr>
          <w:lang w:val="en-US"/>
        </w:rPr>
        <w:t>Multi-Agency Working</w:t>
      </w:r>
    </w:p>
    <w:p>
      <w:pPr>
        <w:pStyle w:val="Heading2"/>
        <w:numPr>
          <w:ilvl w:val="0"/>
          <w:numId w:val="11"/>
        </w:numPr>
        <w:spacing w:lineRule="auto" w:line="240" w:before="0" w:after="0"/>
        <w:ind w:left="714" w:right="0" w:hanging="357"/>
        <w:rPr>
          <w:i w:val="false"/>
          <w:i w:val="false"/>
          <w:iCs/>
          <w:color w:val="auto"/>
        </w:rPr>
      </w:pPr>
      <w:r>
        <w:rPr>
          <w:i w:val="false"/>
          <w:iCs/>
          <w:color w:val="auto"/>
        </w:rPr>
        <w:t xml:space="preserve">Act as a key liaison with children's social care, Early Help, CAMHS and external agencies. </w:t>
      </w:r>
    </w:p>
    <w:p>
      <w:pPr>
        <w:pStyle w:val="Heading2"/>
        <w:numPr>
          <w:ilvl w:val="0"/>
          <w:numId w:val="11"/>
        </w:numPr>
        <w:spacing w:lineRule="auto" w:line="240" w:before="0" w:after="0"/>
        <w:ind w:left="714" w:right="0" w:hanging="357"/>
        <w:rPr>
          <w:i w:val="false"/>
          <w:i w:val="false"/>
          <w:iCs/>
          <w:color w:val="auto"/>
        </w:rPr>
      </w:pPr>
      <w:r>
        <w:rPr>
          <w:i w:val="false"/>
          <w:iCs/>
          <w:color w:val="auto"/>
        </w:rPr>
        <w:t xml:space="preserve">Support the completion of referrals and safeguarding documentation. </w:t>
      </w:r>
    </w:p>
    <w:p>
      <w:pPr>
        <w:pStyle w:val="Heading2"/>
        <w:numPr>
          <w:ilvl w:val="0"/>
          <w:numId w:val="11"/>
        </w:numPr>
        <w:spacing w:lineRule="auto" w:line="240" w:before="0" w:after="0"/>
        <w:ind w:left="714" w:right="0" w:hanging="357"/>
        <w:rPr>
          <w:i w:val="false"/>
          <w:i w:val="false"/>
          <w:iCs/>
          <w:color w:val="auto"/>
        </w:rPr>
      </w:pPr>
      <w:r>
        <w:rPr>
          <w:i w:val="false"/>
          <w:iCs/>
          <w:color w:val="auto"/>
        </w:rPr>
        <w:t xml:space="preserve">Attend multi-agency meetings, strategy discussions and professional reviews where appropriate. </w:t>
      </w:r>
    </w:p>
    <w:p>
      <w:pPr>
        <w:pStyle w:val="Heading2"/>
        <w:numPr>
          <w:ilvl w:val="0"/>
          <w:numId w:val="11"/>
        </w:numPr>
        <w:spacing w:lineRule="auto" w:line="240" w:before="0" w:after="0"/>
        <w:ind w:left="714" w:right="0" w:hanging="357"/>
        <w:rPr>
          <w:i w:val="false"/>
          <w:i w:val="false"/>
          <w:iCs/>
          <w:color w:val="auto"/>
        </w:rPr>
      </w:pPr>
      <w:r>
        <w:rPr>
          <w:i w:val="false"/>
          <w:iCs/>
          <w:color w:val="auto"/>
        </w:rPr>
        <w:t xml:space="preserve">Ensure effective communication between external professionals and internal staff. </w:t>
      </w:r>
    </w:p>
    <w:p>
      <w:pPr>
        <w:pStyle w:val="Heading2"/>
        <w:numPr>
          <w:ilvl w:val="0"/>
          <w:numId w:val="11"/>
        </w:numPr>
        <w:spacing w:lineRule="auto" w:line="240" w:before="0" w:after="0"/>
        <w:ind w:left="714" w:right="0" w:hanging="357"/>
        <w:rPr>
          <w:rFonts w:eastAsia="" w:cs=""/>
          <w:i w:val="false"/>
          <w:i w:val="false"/>
          <w:iCs/>
          <w:color w:val="auto"/>
          <w:kern w:val="0"/>
          <w:sz w:val="22"/>
          <w:szCs w:val="22"/>
          <w:lang w:val="en-US"/>
        </w:rPr>
      </w:pPr>
      <w:r>
        <w:rPr>
          <w:rFonts w:eastAsia="" w:cs=""/>
          <w:i w:val="false"/>
          <w:iCs/>
          <w:color w:val="auto"/>
          <w:kern w:val="0"/>
          <w:sz w:val="22"/>
          <w:szCs w:val="22"/>
          <w:lang w:val="en-US"/>
        </w:rPr>
        <w:t>Coordinate support plans and interventions for vulnerable learners.</w:t>
      </w:r>
    </w:p>
    <w:p>
      <w:pPr>
        <w:pStyle w:val="Heading2"/>
        <w:rPr/>
      </w:pPr>
      <w:r>
        <w:rPr/>
        <w:t xml:space="preserve">4. </w:t>
      </w:r>
      <w:r>
        <w:rPr>
          <w:lang w:val="en-US"/>
        </w:rPr>
        <w:t>Pastoral Leadership and Learner Support</w:t>
      </w:r>
    </w:p>
    <w:p>
      <w:pPr>
        <w:pStyle w:val="NoSpacing"/>
        <w:numPr>
          <w:ilvl w:val="0"/>
          <w:numId w:val="5"/>
        </w:numPr>
        <w:rPr>
          <w:lang w:val="en-GB"/>
        </w:rPr>
      </w:pPr>
      <w:r>
        <w:rPr>
          <w:lang w:val="en-GB"/>
        </w:rPr>
        <w:t xml:space="preserve">Provide operational leadership of pastoral support across the provision. </w:t>
      </w:r>
    </w:p>
    <w:p>
      <w:pPr>
        <w:pStyle w:val="NoSpacing"/>
        <w:numPr>
          <w:ilvl w:val="0"/>
          <w:numId w:val="5"/>
        </w:numPr>
        <w:rPr>
          <w:lang w:val="en-GB"/>
        </w:rPr>
      </w:pPr>
      <w:r>
        <w:rPr>
          <w:lang w:val="en-GB"/>
        </w:rPr>
        <w:t xml:space="preserve">Line manage and support the Pastoral Lead and wider pastoral team. </w:t>
      </w:r>
    </w:p>
    <w:p>
      <w:pPr>
        <w:pStyle w:val="NoSpacing"/>
        <w:numPr>
          <w:ilvl w:val="0"/>
          <w:numId w:val="5"/>
        </w:numPr>
        <w:rPr>
          <w:lang w:val="en-GB"/>
        </w:rPr>
      </w:pPr>
      <w:r>
        <w:rPr>
          <w:lang w:val="en-GB"/>
        </w:rPr>
        <w:t xml:space="preserve">Oversee pastoral interventions relating to behaviour, attendance and learner wellbeing. </w:t>
      </w:r>
    </w:p>
    <w:p>
      <w:pPr>
        <w:pStyle w:val="NoSpacing"/>
        <w:numPr>
          <w:ilvl w:val="0"/>
          <w:numId w:val="5"/>
        </w:numPr>
        <w:rPr>
          <w:lang w:val="en-GB"/>
        </w:rPr>
      </w:pPr>
      <w:r>
        <w:rPr>
          <w:lang w:val="en-GB"/>
        </w:rPr>
        <w:t xml:space="preserve">Monitor learner vulnerabilities and coordinate appropriate interventions. </w:t>
      </w:r>
    </w:p>
    <w:p>
      <w:pPr>
        <w:pStyle w:val="NoSpacing"/>
        <w:numPr>
          <w:ilvl w:val="0"/>
          <w:numId w:val="5"/>
        </w:numPr>
        <w:rPr>
          <w:lang w:val="en-GB"/>
        </w:rPr>
      </w:pPr>
      <w:r>
        <w:rPr>
          <w:lang w:val="en-GB"/>
        </w:rPr>
        <w:t xml:space="preserve">Support staff in implementing trauma-informed and relational approaches. </w:t>
      </w:r>
    </w:p>
    <w:p>
      <w:pPr>
        <w:pStyle w:val="NoSpacing"/>
        <w:numPr>
          <w:ilvl w:val="0"/>
          <w:numId w:val="5"/>
        </w:numPr>
        <w:rPr>
          <w:lang w:val="en-GB"/>
        </w:rPr>
      </w:pPr>
      <w:r>
        <w:rPr>
          <w:lang w:val="en-GB"/>
        </w:rPr>
        <w:t xml:space="preserve">Promote restorative practice and reflective approaches following incidents. </w:t>
      </w:r>
    </w:p>
    <w:p>
      <w:pPr>
        <w:pStyle w:val="NoSpacing"/>
        <w:numPr>
          <w:ilvl w:val="0"/>
          <w:numId w:val="5"/>
        </w:numPr>
        <w:rPr>
          <w:lang w:val="en-GB"/>
        </w:rPr>
      </w:pPr>
      <w:r>
        <w:rPr>
          <w:lang w:val="en-GB"/>
        </w:rPr>
        <w:t>Contribute to learner support planning and risk management arrangements.</w:t>
      </w:r>
    </w:p>
    <w:p>
      <w:pPr>
        <w:pStyle w:val="NoSpacing"/>
        <w:ind w:left="720" w:right="0" w:hanging="0"/>
        <w:rPr>
          <w:lang w:val="en-GB"/>
        </w:rPr>
      </w:pPr>
      <w:r>
        <w:rPr>
          <w:lang w:val="en-GB"/>
        </w:rPr>
      </w:r>
    </w:p>
    <w:p>
      <w:pPr>
        <w:pStyle w:val="Heading2"/>
        <w:rPr/>
      </w:pPr>
      <w:r>
        <w:rPr/>
        <w:t xml:space="preserve">5. </w:t>
      </w:r>
      <w:r>
        <w:rPr>
          <w:lang w:val="en-US"/>
        </w:rPr>
        <w:t>Attendance, Behaviour and Engagement</w:t>
      </w:r>
    </w:p>
    <w:p>
      <w:pPr>
        <w:pStyle w:val="NoSpacing"/>
        <w:numPr>
          <w:ilvl w:val="0"/>
          <w:numId w:val="6"/>
        </w:numPr>
        <w:rPr>
          <w:lang w:val="en-GB"/>
        </w:rPr>
      </w:pPr>
      <w:r>
        <w:rPr>
          <w:lang w:val="en-GB"/>
        </w:rPr>
        <w:t xml:space="preserve">Monitor patterns relating to attendance, behaviour and learner engagement. </w:t>
      </w:r>
    </w:p>
    <w:p>
      <w:pPr>
        <w:pStyle w:val="NoSpacing"/>
        <w:numPr>
          <w:ilvl w:val="0"/>
          <w:numId w:val="6"/>
        </w:numPr>
        <w:rPr>
          <w:lang w:val="en-GB"/>
        </w:rPr>
      </w:pPr>
      <w:r>
        <w:rPr>
          <w:lang w:val="en-GB"/>
        </w:rPr>
        <w:t xml:space="preserve">Support reintegration plans and interventions for learners experiencing barriers to engagement. </w:t>
      </w:r>
    </w:p>
    <w:p>
      <w:pPr>
        <w:pStyle w:val="NoSpacing"/>
        <w:numPr>
          <w:ilvl w:val="0"/>
          <w:numId w:val="6"/>
        </w:numPr>
        <w:rPr>
          <w:lang w:val="en-GB"/>
        </w:rPr>
      </w:pPr>
      <w:r>
        <w:rPr>
          <w:lang w:val="en-GB"/>
        </w:rPr>
        <w:t xml:space="preserve">Identify safeguarding risks associated with persistent absence or disengagement. </w:t>
      </w:r>
    </w:p>
    <w:p>
      <w:pPr>
        <w:pStyle w:val="NoSpacing"/>
        <w:numPr>
          <w:ilvl w:val="0"/>
          <w:numId w:val="6"/>
        </w:numPr>
        <w:rPr>
          <w:lang w:val="en-GB"/>
        </w:rPr>
      </w:pPr>
      <w:r>
        <w:rPr>
          <w:lang w:val="en-GB"/>
        </w:rPr>
        <w:t xml:space="preserve">Ensure pastoral responses are implemented consistently across the provision. </w:t>
      </w:r>
    </w:p>
    <w:p>
      <w:pPr>
        <w:pStyle w:val="NoSpacing"/>
        <w:numPr>
          <w:ilvl w:val="0"/>
          <w:numId w:val="6"/>
        </w:numPr>
        <w:rPr>
          <w:lang w:val="en-GB"/>
        </w:rPr>
      </w:pPr>
      <w:r>
        <w:rPr>
          <w:lang w:val="en-GB"/>
        </w:rPr>
        <w:t>Escalate significant concerns to the DSL where required.</w:t>
      </w:r>
    </w:p>
    <w:p>
      <w:pPr>
        <w:pStyle w:val="Heading2"/>
        <w:rPr/>
      </w:pPr>
      <w:r>
        <w:rPr/>
        <w:t>6. Staff Support and Training</w:t>
      </w:r>
    </w:p>
    <w:p>
      <w:pPr>
        <w:pStyle w:val="NoSpacing"/>
        <w:numPr>
          <w:ilvl w:val="0"/>
          <w:numId w:val="7"/>
        </w:numPr>
        <w:rPr>
          <w:lang w:val="en-GB"/>
        </w:rPr>
      </w:pPr>
      <w:r>
        <w:rPr>
          <w:lang w:val="en-GB"/>
        </w:rPr>
        <w:t xml:space="preserve">Support safeguarding induction for new staff. </w:t>
      </w:r>
    </w:p>
    <w:p>
      <w:pPr>
        <w:pStyle w:val="NoSpacing"/>
        <w:numPr>
          <w:ilvl w:val="0"/>
          <w:numId w:val="7"/>
        </w:numPr>
        <w:rPr>
          <w:lang w:val="en-GB"/>
        </w:rPr>
      </w:pPr>
      <w:r>
        <w:rPr>
          <w:lang w:val="en-GB"/>
        </w:rPr>
        <w:t xml:space="preserve">Deliver safeguarding updates and reminders under the direction of the DSL. </w:t>
      </w:r>
    </w:p>
    <w:p>
      <w:pPr>
        <w:pStyle w:val="NoSpacing"/>
        <w:numPr>
          <w:ilvl w:val="0"/>
          <w:numId w:val="7"/>
        </w:numPr>
        <w:rPr>
          <w:lang w:val="en-GB"/>
        </w:rPr>
      </w:pPr>
      <w:r>
        <w:rPr>
          <w:lang w:val="en-GB"/>
        </w:rPr>
        <w:t xml:space="preserve">Support staff understanding of safeguarding procedures and professional boundaries. </w:t>
      </w:r>
    </w:p>
    <w:p>
      <w:pPr>
        <w:pStyle w:val="NoSpacing"/>
        <w:numPr>
          <w:ilvl w:val="0"/>
          <w:numId w:val="7"/>
        </w:numPr>
        <w:rPr>
          <w:lang w:val="en-GB"/>
        </w:rPr>
      </w:pPr>
      <w:r>
        <w:rPr>
          <w:lang w:val="en-GB"/>
        </w:rPr>
        <w:t>Promote a culture where concerns relating to learner welfare or staff conduct are reported promptly.</w:t>
      </w:r>
    </w:p>
    <w:p>
      <w:pPr>
        <w:pStyle w:val="Heading2"/>
        <w:rPr/>
      </w:pPr>
      <w:r>
        <w:rPr/>
        <w:t xml:space="preserve">7. </w:t>
      </w:r>
      <w:r>
        <w:rPr>
          <w:lang w:val="en-US"/>
        </w:rPr>
        <w:t>Family and Professional Liaison</w:t>
      </w:r>
    </w:p>
    <w:p>
      <w:pPr>
        <w:pStyle w:val="NoSpacing"/>
        <w:numPr>
          <w:ilvl w:val="0"/>
          <w:numId w:val="8"/>
        </w:numPr>
        <w:rPr>
          <w:lang w:val="en-GB"/>
        </w:rPr>
      </w:pPr>
      <w:r>
        <w:rPr>
          <w:lang w:val="en-GB"/>
        </w:rPr>
        <w:t xml:space="preserve">Maintain effective relationships with parents and carers regarding safeguarding and wellbeing concerns. </w:t>
      </w:r>
    </w:p>
    <w:p>
      <w:pPr>
        <w:pStyle w:val="NoSpacing"/>
        <w:numPr>
          <w:ilvl w:val="0"/>
          <w:numId w:val="8"/>
        </w:numPr>
        <w:rPr>
          <w:lang w:val="en-GB"/>
        </w:rPr>
      </w:pPr>
      <w:r>
        <w:rPr>
          <w:lang w:val="en-GB"/>
        </w:rPr>
        <w:t xml:space="preserve">Support communication with professionals involved in learner support. </w:t>
      </w:r>
    </w:p>
    <w:p>
      <w:pPr>
        <w:pStyle w:val="NoSpacing"/>
        <w:numPr>
          <w:ilvl w:val="0"/>
          <w:numId w:val="8"/>
        </w:numPr>
        <w:rPr>
          <w:lang w:val="en-GB"/>
        </w:rPr>
      </w:pPr>
      <w:r>
        <w:rPr>
          <w:lang w:val="en-GB"/>
        </w:rPr>
        <w:t>Attend annual reviews, professionals meetings and support planning meetings where appropriate.</w:t>
      </w:r>
    </w:p>
    <w:p>
      <w:pPr>
        <w:pStyle w:val="Heading1"/>
        <w:rPr/>
      </w:pPr>
      <w:r>
        <w:rPr/>
        <w:t>Team Working</w:t>
      </w:r>
    </w:p>
    <w:p>
      <w:pPr>
        <w:pStyle w:val="NoSpacing"/>
        <w:numPr>
          <w:ilvl w:val="0"/>
          <w:numId w:val="4"/>
        </w:numPr>
        <w:rPr/>
      </w:pPr>
      <w:r>
        <w:rPr/>
        <w:t>Work collaboratively with the Pastoral Manager, Outreach Support Officer, Pastoral Support Lead, DSL, and Learning Support Assistants.</w:t>
      </w:r>
    </w:p>
    <w:p>
      <w:pPr>
        <w:pStyle w:val="NoSpacing"/>
        <w:numPr>
          <w:ilvl w:val="0"/>
          <w:numId w:val="4"/>
        </w:numPr>
        <w:rPr>
          <w:lang w:val="en-GB"/>
        </w:rPr>
      </w:pPr>
      <w:r>
        <w:rPr>
          <w:lang w:val="en-GB"/>
        </w:rPr>
        <w:t>Contribute to a consistent, relational and supportive organisational culture.</w:t>
      </w:r>
    </w:p>
    <w:p>
      <w:pPr>
        <w:pStyle w:val="NoSpacing"/>
        <w:numPr>
          <w:ilvl w:val="0"/>
          <w:numId w:val="4"/>
        </w:numPr>
        <w:rPr>
          <w:lang w:val="en-GB"/>
        </w:rPr>
      </w:pPr>
      <w:r>
        <w:rPr>
          <w:lang w:val="en-GB"/>
        </w:rPr>
        <w:t>Participate in staff meetings, supervision, reflective practice, training and CPD.</w:t>
      </w:r>
    </w:p>
    <w:p>
      <w:pPr>
        <w:pStyle w:val="NoSpacing"/>
        <w:numPr>
          <w:ilvl w:val="0"/>
          <w:numId w:val="4"/>
        </w:numPr>
        <w:rPr>
          <w:lang w:val="en-GB"/>
        </w:rPr>
      </w:pPr>
      <w:r>
        <w:rPr>
          <w:lang w:val="en-GB"/>
        </w:rPr>
        <w:t>Support wider organisational activities and learner support initiatives where appropriate.</w:t>
      </w:r>
    </w:p>
    <w:p>
      <w:pPr>
        <w:pStyle w:val="NoSpacing"/>
        <w:numPr>
          <w:ilvl w:val="0"/>
          <w:numId w:val="4"/>
        </w:numPr>
        <w:rPr>
          <w:lang w:val="en-GB"/>
        </w:rPr>
      </w:pPr>
      <w:r>
        <w:rPr>
          <w:lang w:val="en-GB"/>
        </w:rPr>
        <w:t>Model Elysium’s values and professional expectations in all interactions.</w:t>
      </w:r>
    </w:p>
    <w:p>
      <w:pPr>
        <w:pStyle w:val="Heading1"/>
        <w:rPr>
          <w:rFonts w:cs="Calibri Light"/>
        </w:rPr>
      </w:pPr>
      <w:r>
        <w:rPr>
          <w:rFonts w:cs="Calibri Light"/>
        </w:rPr>
        <w:t>Safeguarding and Professional Conduct</w:t>
      </w:r>
    </w:p>
    <w:p>
      <w:pPr>
        <w:pStyle w:val="NoSpacing"/>
        <w:rPr/>
      </w:pPr>
      <w:r>
        <w:rPr/>
        <w:t>All staff at Elysium play a vital role in creating a safe, stable and supportive environment for every learner. The Pastoral Safeguarding Lead must:</w:t>
      </w:r>
    </w:p>
    <w:p>
      <w:pPr>
        <w:pStyle w:val="NoSpacing"/>
        <w:rPr>
          <w:lang w:val="en-GB" w:eastAsia="en-GB"/>
        </w:rPr>
      </w:pPr>
      <w:r>
        <w:rPr>
          <w:lang w:val="en-GB" w:eastAsia="en-GB"/>
        </w:rPr>
      </w:r>
    </w:p>
    <w:p>
      <w:pPr>
        <w:pStyle w:val="NoSpacing"/>
        <w:numPr>
          <w:ilvl w:val="0"/>
          <w:numId w:val="2"/>
        </w:numPr>
        <w:rPr/>
      </w:pPr>
      <w:r>
        <w:rPr>
          <w:lang w:val="en-GB"/>
        </w:rPr>
        <w:t xml:space="preserve">Uphold Elysium Training’s safeguarding responsibilities in accordance with </w:t>
      </w:r>
      <w:r>
        <w:rPr>
          <w:b/>
          <w:bCs/>
          <w:lang w:val="en-GB"/>
        </w:rPr>
        <w:t>Keeping Children Safe in Education (2025)</w:t>
      </w:r>
      <w:r>
        <w:rPr>
          <w:lang w:val="en-GB"/>
        </w:rPr>
        <w:t xml:space="preserve"> and local authority procedures.</w:t>
      </w:r>
    </w:p>
    <w:p>
      <w:pPr>
        <w:pStyle w:val="NoSpacing"/>
        <w:numPr>
          <w:ilvl w:val="0"/>
          <w:numId w:val="2"/>
        </w:numPr>
        <w:rPr>
          <w:rFonts w:eastAsia="Times New Roman"/>
          <w:lang w:val="en-GB" w:eastAsia="en-GB"/>
        </w:rPr>
      </w:pPr>
      <w:r>
        <w:rPr>
          <w:rFonts w:eastAsia="Times New Roman"/>
          <w:lang w:val="en-GB" w:eastAsia="en-GB"/>
        </w:rPr>
        <w:t>Recognise and report safeguarding concerns promptly to the DSL or Deputy DSL.</w:t>
      </w:r>
    </w:p>
    <w:p>
      <w:pPr>
        <w:pStyle w:val="NoSpacing"/>
        <w:numPr>
          <w:ilvl w:val="0"/>
          <w:numId w:val="2"/>
        </w:numPr>
        <w:rPr>
          <w:rFonts w:eastAsia="Times New Roman"/>
          <w:lang w:val="en-GB" w:eastAsia="en-GB"/>
        </w:rPr>
      </w:pPr>
      <w:r>
        <w:rPr>
          <w:rFonts w:eastAsia="Times New Roman"/>
          <w:lang w:val="en-GB" w:eastAsia="en-GB"/>
        </w:rPr>
        <w:t>Maintain professional boundaries, confidentiality and safer working practices at all times.</w:t>
      </w:r>
    </w:p>
    <w:p>
      <w:pPr>
        <w:pStyle w:val="NoSpacing"/>
        <w:numPr>
          <w:ilvl w:val="0"/>
          <w:numId w:val="2"/>
        </w:numPr>
        <w:rPr>
          <w:rFonts w:eastAsia="Times New Roman"/>
          <w:lang w:val="en-GB" w:eastAsia="en-GB"/>
        </w:rPr>
      </w:pPr>
      <w:r>
        <w:rPr>
          <w:rFonts w:eastAsia="Times New Roman"/>
          <w:lang w:val="en-GB" w:eastAsia="en-GB"/>
        </w:rPr>
        <w:t>Understand the increased safeguarding vulnerabilities of learners with SEND and SEMH needs.</w:t>
      </w:r>
    </w:p>
    <w:p>
      <w:pPr>
        <w:pStyle w:val="NoSpacing"/>
        <w:numPr>
          <w:ilvl w:val="0"/>
          <w:numId w:val="2"/>
        </w:numPr>
        <w:rPr>
          <w:rFonts w:eastAsia="Times New Roman"/>
          <w:lang w:val="en-GB" w:eastAsia="en-GB"/>
        </w:rPr>
      </w:pPr>
      <w:r>
        <w:rPr>
          <w:rFonts w:eastAsia="Times New Roman"/>
          <w:lang w:val="en-GB" w:eastAsia="en-GB"/>
        </w:rPr>
        <w:t>Participate in mandatory training which includes safeguarding, Prevent and ongoing CPD.</w:t>
      </w:r>
    </w:p>
    <w:p>
      <w:pPr>
        <w:pStyle w:val="Heading1"/>
        <w:rPr/>
      </w:pPr>
      <w:r>
        <w:rPr/>
        <w:t>Safeguarding and Safer Recruitment Statement</w:t>
      </w:r>
    </w:p>
    <w:p>
      <w:pPr>
        <w:pStyle w:val="Normal"/>
        <w:rPr/>
      </w:pPr>
      <w:r>
        <w:rPr>
          <w:rFonts w:eastAsia="Calibri Light" w:cs="Calibri Light"/>
        </w:rPr>
        <w:t xml:space="preserve">Elysium Training is committed to safeguarding the welfare of children, young people, and adults at risk. We work in alignment with </w:t>
      </w:r>
      <w:r>
        <w:rPr>
          <w:rFonts w:eastAsia="Calibri Light" w:cs="Calibri Light"/>
          <w:i/>
          <w:iCs/>
        </w:rPr>
        <w:t>Wigan Safeguarding Children Partnership (WSCP)</w:t>
      </w:r>
      <w:r>
        <w:rPr>
          <w:rFonts w:eastAsia="Calibri Light" w:cs="Calibri Light"/>
        </w:rPr>
        <w:t xml:space="preserve"> and </w:t>
      </w:r>
      <w:r>
        <w:rPr>
          <w:rFonts w:eastAsia="Calibri Light" w:cs="Calibri Light"/>
          <w:i/>
          <w:iCs/>
        </w:rPr>
        <w:t>Wigan Safeguarding Adults Board (WSAB</w:t>
      </w:r>
      <w:r>
        <w:rPr>
          <w:rFonts w:eastAsia="Calibri Light" w:cs="Calibri Light"/>
        </w:rPr>
        <w:t xml:space="preserve">) procedures, in accordance with </w:t>
      </w:r>
      <w:r>
        <w:rPr>
          <w:rFonts w:eastAsia="Calibri Light" w:cs="Calibri Light"/>
          <w:b/>
          <w:bCs/>
        </w:rPr>
        <w:t>Keeping Children Safe in Education (2025)</w:t>
      </w:r>
      <w:r>
        <w:rPr>
          <w:rFonts w:eastAsia="Calibri Light" w:cs="Calibri Light"/>
        </w:rPr>
        <w:t xml:space="preserve">, </w:t>
      </w:r>
      <w:r>
        <w:rPr>
          <w:rFonts w:eastAsia="Calibri Light" w:cs="Calibri Light"/>
          <w:b/>
          <w:bCs/>
        </w:rPr>
        <w:t>Working Together to Safeguard Children (2023)</w:t>
      </w:r>
      <w:r>
        <w:rPr>
          <w:rFonts w:eastAsia="Calibri Light" w:cs="Calibri Light"/>
        </w:rPr>
        <w:t xml:space="preserve"> and the </w:t>
      </w:r>
      <w:r>
        <w:rPr>
          <w:rFonts w:eastAsia="Calibri Light" w:cs="Calibri Light"/>
          <w:b/>
          <w:bCs/>
        </w:rPr>
        <w:t>Care Act 2014</w:t>
      </w:r>
      <w:r>
        <w:rPr>
          <w:rFonts w:eastAsia="Calibri Light" w:cs="Calibri Light"/>
        </w:rPr>
        <w:t>.</w:t>
      </w:r>
    </w:p>
    <w:p>
      <w:pPr>
        <w:pStyle w:val="NoSpacing"/>
        <w:rPr>
          <w:lang w:val="en-GB"/>
        </w:rPr>
      </w:pPr>
      <w:r>
        <w:rPr>
          <w:lang w:val="en-GB"/>
        </w:rPr>
        <w:t>The successful applicant will be subject to:</w:t>
      </w:r>
    </w:p>
    <w:p>
      <w:pPr>
        <w:pStyle w:val="NoSpacing"/>
        <w:numPr>
          <w:ilvl w:val="0"/>
          <w:numId w:val="3"/>
        </w:numPr>
        <w:rPr/>
      </w:pPr>
      <w:r>
        <w:rPr>
          <w:lang w:val="en-GB"/>
        </w:rPr>
        <w:t xml:space="preserve">an </w:t>
      </w:r>
      <w:r>
        <w:rPr>
          <w:b/>
          <w:bCs/>
          <w:lang w:val="en-GB"/>
        </w:rPr>
        <w:t>Enhanced DBS check</w:t>
      </w:r>
      <w:r>
        <w:rPr>
          <w:lang w:val="en-GB"/>
        </w:rPr>
        <w:t xml:space="preserve"> with Barred List information;</w:t>
      </w:r>
    </w:p>
    <w:p>
      <w:pPr>
        <w:pStyle w:val="NoSpacing"/>
        <w:numPr>
          <w:ilvl w:val="0"/>
          <w:numId w:val="3"/>
        </w:numPr>
        <w:rPr/>
      </w:pPr>
      <w:r>
        <w:rPr>
          <w:b/>
          <w:bCs/>
          <w:lang w:val="en-GB"/>
        </w:rPr>
        <w:t>identity and right-to-work verification</w:t>
      </w:r>
      <w:r>
        <w:rPr>
          <w:lang w:val="en-GB"/>
        </w:rPr>
        <w:t>;</w:t>
      </w:r>
    </w:p>
    <w:p>
      <w:pPr>
        <w:pStyle w:val="NoSpacing"/>
        <w:numPr>
          <w:ilvl w:val="0"/>
          <w:numId w:val="3"/>
        </w:numPr>
        <w:rPr/>
      </w:pPr>
      <w:r>
        <w:rPr>
          <w:b/>
          <w:bCs/>
          <w:lang w:val="en-GB"/>
        </w:rPr>
        <w:t>full employment history</w:t>
      </w:r>
      <w:r>
        <w:rPr>
          <w:lang w:val="en-GB"/>
        </w:rPr>
        <w:t xml:space="preserve"> checks and satisfactory references;</w:t>
      </w:r>
    </w:p>
    <w:p>
      <w:pPr>
        <w:pStyle w:val="NoSpacing"/>
        <w:numPr>
          <w:ilvl w:val="0"/>
          <w:numId w:val="3"/>
        </w:numPr>
        <w:rPr/>
      </w:pPr>
      <w:r>
        <w:rPr>
          <w:b/>
          <w:bCs/>
          <w:lang w:val="en-GB"/>
        </w:rPr>
        <w:t>qualification verification</w:t>
      </w:r>
      <w:r>
        <w:rPr>
          <w:lang w:val="en-GB"/>
        </w:rPr>
        <w:t>;</w:t>
      </w:r>
    </w:p>
    <w:p>
      <w:pPr>
        <w:pStyle w:val="NoSpacing"/>
        <w:numPr>
          <w:ilvl w:val="0"/>
          <w:numId w:val="3"/>
        </w:numPr>
        <w:rPr/>
      </w:pPr>
      <w:r>
        <w:rPr>
          <w:b/>
          <w:bCs/>
          <w:lang w:val="en-GB"/>
        </w:rPr>
        <w:t>online and social media screening</w:t>
      </w:r>
      <w:r>
        <w:rPr>
          <w:lang w:val="en-GB"/>
        </w:rPr>
        <w:t xml:space="preserve"> in line with KCSIE (2025);</w:t>
      </w:r>
    </w:p>
    <w:p>
      <w:pPr>
        <w:pStyle w:val="NoSpacing"/>
        <w:numPr>
          <w:ilvl w:val="0"/>
          <w:numId w:val="3"/>
        </w:numPr>
        <w:rPr>
          <w:lang w:val="en-GB"/>
        </w:rPr>
      </w:pPr>
      <w:r>
        <w:rPr>
          <w:lang w:val="en-GB"/>
        </w:rPr>
        <w:t>completion of safeguarding induction and all mandatory training.</w:t>
      </w:r>
    </w:p>
    <w:p>
      <w:pPr>
        <w:pStyle w:val="NoSpacing"/>
        <w:rPr>
          <w:lang w:val="en-GB"/>
        </w:rPr>
      </w:pPr>
      <w:r>
        <w:rPr>
          <w:lang w:val="en-GB"/>
        </w:rPr>
      </w:r>
    </w:p>
    <w:p>
      <w:pPr>
        <w:pStyle w:val="NoSpacing"/>
        <w:rPr>
          <w:lang w:val="en-GB"/>
        </w:rPr>
      </w:pPr>
      <w:r>
        <w:rPr>
          <w:lang w:val="en-GB"/>
        </w:rPr>
        <w:t>Elysium Training is an equal opportunities employer and welcomes applications from all suitably qualified individuals.</w:t>
      </w:r>
    </w:p>
    <w:p>
      <w:pPr>
        <w:pStyle w:val="Heading1"/>
        <w:rPr/>
      </w:pPr>
      <w:r>
        <w:rPr/>
        <w:t>Person Specification</w:t>
      </w:r>
    </w:p>
    <w:p>
      <w:pPr>
        <w:pStyle w:val="Heading2"/>
        <w:rPr/>
      </w:pPr>
      <w:r>
        <w:rPr/>
        <w:t>Pastoral Safeguarding Lead</w:t>
      </w:r>
    </w:p>
    <w:p>
      <w:pPr>
        <w:pStyle w:val="NoSpacing"/>
        <w:rPr>
          <w:rFonts w:cs="Calibri Light"/>
        </w:rPr>
      </w:pPr>
      <w:r>
        <w:rPr>
          <w:rFonts w:cs="Calibri Light"/>
        </w:rPr>
        <w:t>This Person Specification outlines the qualifications, experience, knowledge, skills and personal attributes required for this role at Elysium Training. </w:t>
      </w:r>
    </w:p>
    <w:p>
      <w:pPr>
        <w:pStyle w:val="NoSpacing"/>
        <w:rPr>
          <w:rFonts w:cs="Calibri Light"/>
          <w:lang w:val="en-GB"/>
        </w:rPr>
      </w:pPr>
      <w:r>
        <w:rPr>
          <w:rFonts w:cs="Calibri Light"/>
          <w:lang w:val="en-GB"/>
        </w:rPr>
      </w:r>
    </w:p>
    <w:p>
      <w:pPr>
        <w:pStyle w:val="NoSpacing"/>
        <w:rPr/>
      </w:pPr>
      <w:r>
        <w:rPr>
          <w:rFonts w:cs="Calibri Light"/>
        </w:rPr>
        <w:t>Criteria are identified as </w:t>
      </w:r>
      <w:r>
        <w:rPr>
          <w:rFonts w:cs="Calibri Light"/>
          <w:b/>
          <w:bCs/>
        </w:rPr>
        <w:t>Essential (must have)</w:t>
      </w:r>
      <w:r>
        <w:rPr>
          <w:rFonts w:cs="Calibri Light"/>
        </w:rPr>
        <w:t> or </w:t>
      </w:r>
      <w:r>
        <w:rPr>
          <w:rFonts w:cs="Calibri Light"/>
          <w:b/>
          <w:bCs/>
        </w:rPr>
        <w:t>Desirable (would strengthen an application)</w:t>
      </w:r>
      <w:r>
        <w:rPr>
          <w:rFonts w:cs="Calibri Light"/>
        </w:rPr>
        <w:t>.</w:t>
      </w:r>
    </w:p>
    <w:p>
      <w:pPr>
        <w:pStyle w:val="NoSpacing"/>
        <w:rPr>
          <w:rFonts w:cs="Calibri Light"/>
          <w:lang w:val="en-GB"/>
        </w:rPr>
      </w:pPr>
      <w:r>
        <w:rPr>
          <w:rFonts w:cs="Calibri Light"/>
          <w:lang w:val="en-GB"/>
        </w:rPr>
      </w:r>
    </w:p>
    <w:tbl>
      <w:tblPr>
        <w:tblW w:w="9026" w:type="dxa"/>
        <w:jc w:val="left"/>
        <w:tblInd w:w="0" w:type="dxa"/>
        <w:tblCellMar>
          <w:top w:w="0" w:type="dxa"/>
          <w:left w:w="108" w:type="dxa"/>
          <w:bottom w:w="0" w:type="dxa"/>
          <w:right w:w="108" w:type="dxa"/>
        </w:tblCellMar>
      </w:tblPr>
      <w:tblGrid>
        <w:gridCol w:w="1600"/>
        <w:gridCol w:w="4255"/>
        <w:gridCol w:w="3171"/>
      </w:tblGrid>
      <w:tr>
        <w:trPr/>
        <w:tc>
          <w:tcPr>
            <w:tcW w:w="1600"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b/>
                <w:b/>
                <w:bCs/>
                <w:lang w:val="en-GB"/>
              </w:rPr>
            </w:pPr>
            <w:r>
              <w:rPr>
                <w:rFonts w:cs="Calibri Light"/>
                <w:b/>
                <w:bCs/>
                <w:lang w:val="en-GB"/>
              </w:rPr>
              <w:t>Criteria</w:t>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b/>
                <w:b/>
                <w:bCs/>
                <w:lang w:val="en-GB"/>
              </w:rPr>
            </w:pPr>
            <w:r>
              <w:rPr>
                <w:rFonts w:cs="Calibri Light"/>
                <w:b/>
                <w:bCs/>
                <w:lang w:val="en-GB"/>
              </w:rPr>
              <w:t>Essential</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b/>
                <w:b/>
                <w:bCs/>
                <w:lang w:val="en-GB"/>
              </w:rPr>
            </w:pPr>
            <w:r>
              <w:rPr>
                <w:rFonts w:cs="Calibri Light"/>
                <w:b/>
                <w:bCs/>
                <w:lang w:val="en-GB"/>
              </w:rPr>
              <w:t>Desirable</w:t>
            </w:r>
          </w:p>
        </w:tc>
      </w:tr>
      <w:tr>
        <w:trPr/>
        <w:tc>
          <w:tcPr>
            <w:tcW w:w="1600" w:type="dxa"/>
            <w:vMerge w:val="restart"/>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b/>
                <w:b/>
                <w:bCs/>
                <w:lang w:val="en-GB"/>
              </w:rPr>
            </w:pPr>
            <w:r>
              <w:rPr>
                <w:rFonts w:cs="Calibri Light"/>
                <w:b/>
                <w:bCs/>
                <w:lang w:val="en-GB"/>
              </w:rPr>
              <w:t>Qualifications</w:t>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lang w:val="en-GB"/>
              </w:rPr>
            </w:pPr>
            <w:r>
              <w:rPr>
                <w:rFonts w:cs="Calibri Light"/>
                <w:lang w:val="en-GB"/>
              </w:rPr>
              <w:t>Level 2 or above in English and Maths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rPr>
            </w:pPr>
            <w:r>
              <w:rPr>
                <w:rFonts w:cs="Calibri Light"/>
              </w:rPr>
              <w:t>Level 3 safeguarding qualification</w:t>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b/>
                <w:b/>
                <w:bCs/>
                <w:lang w:val="en-GB"/>
              </w:rPr>
            </w:pPr>
            <w:r>
              <w:rPr>
                <w:rFonts w:cs="Calibri Light"/>
                <w:b/>
                <w:bCs/>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lang w:val="en-GB"/>
              </w:rPr>
            </w:pPr>
            <w:r>
              <w:rPr>
                <w:rFonts w:cs="Calibri Light"/>
                <w:lang w:val="en-GB"/>
              </w:rPr>
              <w:t>Relevant qualification in education, youth work, pastoral care, social care or safeguarding</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rPr>
            </w:pPr>
            <w:r>
              <w:rPr>
                <w:rFonts w:cs="Calibri Light"/>
              </w:rPr>
              <w:t>Training related to SEND, SEMH or trauma-informed practice</w:t>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Current Designated Safeguarding Lead (DSL) training or willingness to undertake DSL training immediately upon appointment</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rPr>
            </w:pPr>
            <w:r>
              <w:rPr>
                <w:rFonts w:cs="Calibri Light"/>
              </w:rPr>
              <w:t>Mental Health First Aid qualification</w:t>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lang w:val="en-GB"/>
              </w:rPr>
            </w:pPr>
            <w:r>
              <w:rPr>
                <w:rFonts w:cs="Calibri Light"/>
                <w:lang w:val="en-GB"/>
              </w:rPr>
              <w:t>Safeguarding training appropriate to a Deputy DSL role</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rPr>
            </w:pPr>
            <w:r>
              <w:rPr>
                <w:rFonts w:cs="Calibri Light"/>
              </w:rPr>
            </w:r>
          </w:p>
        </w:tc>
      </w:tr>
      <w:tr>
        <w:trPr>
          <w:trHeight w:val="480" w:hRule="atLeast"/>
        </w:trPr>
        <w:tc>
          <w:tcPr>
            <w:tcW w:w="1600" w:type="dxa"/>
            <w:vMerge w:val="restart"/>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b/>
                <w:b/>
                <w:bCs/>
                <w:lang w:val="en-GB"/>
              </w:rPr>
            </w:pPr>
            <w:r>
              <w:rPr>
                <w:rFonts w:cs="Calibri Light"/>
                <w:b/>
                <w:bCs/>
                <w:lang w:val="en-GB"/>
              </w:rPr>
              <w:t>Experience</w:t>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Experience supporting safeguarding practice within an education, youth or care setting</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rPr>
            </w:pPr>
            <w:r>
              <w:rPr>
                <w:rFonts w:cs="Calibri Light"/>
              </w:rPr>
              <w:t>Experience working in alternative provision or specialist SEND settings</w:t>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Experience working with vulnerable young people with SEND, SEMH or additional needs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rPr>
            </w:pPr>
            <w:r>
              <w:rPr>
                <w:rFonts w:cs="Calibri Light"/>
              </w:rPr>
              <w:t>Experience as a Deputy DSL or safeguarding lead</w:t>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Experience making or contributing to safeguarding referrals and multi-agency working</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rPr>
            </w:pPr>
            <w:r>
              <w:rPr>
                <w:rFonts w:cs="Calibri Light"/>
              </w:rPr>
              <w:t>Experience contributing to safeguarding audits or inspections</w:t>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Experience maintaining safeguarding or pastoral records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rPr>
            </w:pPr>
            <w:r>
              <w:rPr>
                <w:rFonts w:cs="Calibri Light"/>
              </w:rPr>
              <w:t>Experience of line management, supervision or performance management of staff</w:t>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Experience coordinating support for learners presenting safeguarding vulnerabilities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rPr>
            </w:pPr>
            <w:r>
              <w:rPr>
                <w:rFonts w:cs="Calibri Light"/>
              </w:rPr>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Experience supporting staff, coordinating interventions or leading pastoral responses within a team</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rPr>
            </w:pPr>
            <w:r>
              <w:rPr>
                <w:rFonts w:cs="Calibri Light"/>
              </w:rPr>
            </w:r>
          </w:p>
        </w:tc>
      </w:tr>
      <w:tr>
        <w:trPr/>
        <w:tc>
          <w:tcPr>
            <w:tcW w:w="1600" w:type="dxa"/>
            <w:vMerge w:val="restart"/>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b/>
                <w:b/>
                <w:bCs/>
                <w:lang w:val="en-GB"/>
              </w:rPr>
            </w:pPr>
            <w:r>
              <w:rPr>
                <w:rFonts w:cs="Calibri Light"/>
                <w:b/>
                <w:bCs/>
                <w:lang w:val="en-GB"/>
              </w:rPr>
              <w:t>Knowledge and Skills</w:t>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Strong understanding of safeguarding responsibilities, thresholds and referral processes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rPr>
            </w:pPr>
            <w:r>
              <w:rPr>
                <w:rFonts w:cs="Calibri Light"/>
              </w:rPr>
              <w:t>Understanding of safeguarding expectations within alternative provision</w:t>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Knowledge of CPOMS or equivalent safeguarding recording systems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cs="Calibri Light"/>
              </w:rPr>
            </w:pPr>
            <w:r>
              <w:rPr>
                <w:rFonts w:cs="Calibri Light"/>
              </w:rPr>
              <w:t>Understanding of Ofsted safeguarding expectations</w:t>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Knowledge of Keeping Children Safe in Education and Working Together to Safeguard Children</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Understanding of contextual safeguarding, exploitation, county lines, online harm and attendance as a safeguarding issue</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Understanding of the relationship between SEND, SEMH and safeguarding vulnerability</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Ability to maintain confidential safeguarding records and documentation</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Ability to support staff in recognising and responding to safeguarding concerns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Strong communication skills when working with families and external agencies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Ability to analyse information and identify safeguarding risk</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vMerge w:val="restart"/>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b/>
                <w:b/>
                <w:bCs/>
                <w:lang w:val="en-GB"/>
              </w:rPr>
            </w:pPr>
            <w:r>
              <w:rPr>
                <w:rFonts w:cs="Calibri Light"/>
                <w:b/>
                <w:bCs/>
                <w:lang w:val="en-GB"/>
              </w:rPr>
              <w:t>Personal Qualities</w:t>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Empathetic, patient and learner-centred</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Calm, resilient and solution-focused</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Reliable and consistent</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Strong interpersonal skills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vMerge w:val="continue"/>
            <w:tcBorders>
              <w:top w:val="single" w:sz="4" w:space="0" w:color="000000"/>
              <w:left w:val="single" w:sz="4" w:space="0" w:color="000000"/>
              <w:bottom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Committed to safeguarding and professional integrity</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High professional integrity and discretion</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Calm under pressure and able to manage complex safeguarding situations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Professional curiosity and sound judgement</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Ability to challenge appropriately and advocate for learners</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Commitment to safeguarding and learner welfare</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r>
        <w:trPr/>
        <w:tc>
          <w:tcPr>
            <w:tcW w:w="1600" w:type="dxa"/>
            <w:tcBorders>
              <w:top w:val="single" w:sz="4" w:space="0" w:color="000000"/>
              <w:left w:val="single" w:sz="4" w:space="0" w:color="000000"/>
              <w:bottom w:val="single" w:sz="4" w:space="0" w:color="000000"/>
            </w:tcBorders>
            <w:shd w:fill="auto" w:val="clear"/>
            <w:vAlign w:val="center"/>
          </w:tcPr>
          <w:p>
            <w:pPr>
              <w:pStyle w:val="NoSpacing"/>
              <w:snapToGrid w:val="false"/>
              <w:spacing w:lineRule="auto" w:line="240" w:before="0" w:after="0"/>
              <w:rPr>
                <w:rFonts w:cs="Calibri Light"/>
                <w:lang w:val="en-GB"/>
              </w:rPr>
            </w:pPr>
            <w:r>
              <w:rPr>
                <w:rFonts w:cs="Calibri Light"/>
                <w:lang w:val="en-GB"/>
              </w:rPr>
            </w:r>
          </w:p>
        </w:tc>
        <w:tc>
          <w:tcPr>
            <w:tcW w:w="425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cs="Calibri Light"/>
              </w:rPr>
            </w:pPr>
            <w:r>
              <w:rPr>
                <w:rFonts w:cs="Calibri Light"/>
              </w:rPr>
              <w:t>Commitment to reflective supervision and continuous professional development</w:t>
            </w:r>
          </w:p>
        </w:tc>
        <w:tc>
          <w:tcPr>
            <w:tcW w:w="3171" w:type="dxa"/>
            <w:tcBorders>
              <w:top w:val="single" w:sz="4" w:space="0" w:color="000000"/>
              <w:left w:val="single" w:sz="4" w:space="0" w:color="000000"/>
              <w:bottom w:val="single" w:sz="4" w:space="0" w:color="000000"/>
              <w:right w:val="single" w:sz="4" w:space="0" w:color="000000"/>
            </w:tcBorders>
            <w:shd w:fill="auto" w:val="clear"/>
          </w:tcPr>
          <w:p>
            <w:pPr>
              <w:pStyle w:val="NoSpacing"/>
              <w:snapToGrid w:val="false"/>
              <w:spacing w:lineRule="auto" w:line="240" w:before="0" w:after="0"/>
              <w:rPr>
                <w:rFonts w:cs="Calibri Light"/>
                <w:lang w:val="en-GB"/>
              </w:rPr>
            </w:pPr>
            <w:r>
              <w:rPr>
                <w:rFonts w:cs="Calibri Light"/>
                <w:lang w:val="en-GB"/>
              </w:rPr>
            </w:r>
          </w:p>
        </w:tc>
      </w:tr>
    </w:tbl>
    <w:p>
      <w:pPr>
        <w:pStyle w:val="NoSpacing"/>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Narrow" w:hAnsi="Arial Narrow" w:cs="Arial Narrow"/>
        <w:i/>
        <w:i/>
        <w:iCs/>
        <w:caps/>
        <w:color w:val="156082"/>
      </w:rPr>
    </w:pPr>
    <w:r>
      <w:rPr>
        <w:caps/>
        <w:color w:val="156082"/>
      </w:rPr>
      <w:fldChar w:fldCharType="begin"/>
    </w:r>
    <w:r>
      <w:rPr>
        <w:caps/>
      </w:rPr>
      <w:instrText> PAGE </w:instrText>
    </w:r>
    <w:r>
      <w:rPr>
        <w:caps/>
      </w:rPr>
      <w:fldChar w:fldCharType="separate"/>
    </w:r>
    <w:r>
      <w:rPr>
        <w:caps/>
      </w:rPr>
      <w:t>5</w:t>
    </w:r>
    <w:r>
      <w:rPr>
        <w:caps/>
      </w:rPr>
      <w:fldChar w:fldCharType="end"/>
    </w:r>
  </w:p>
  <w:p>
    <w:pPr>
      <w:pStyle w:val="Footer"/>
      <w:rPr>
        <w:rFonts w:ascii="Arial Narrow" w:hAnsi="Arial Narrow" w:cs="Arial Narrow"/>
        <w:i/>
        <w:i/>
        <w:iCs/>
      </w:rPr>
    </w:pPr>
    <w:r>
      <w:rPr>
        <w:rFonts w:cs="Arial Narrow" w:ascii="Arial Narrow" w:hAnsi="Arial Narrow"/>
        <w:i/>
        <w:iCs/>
      </w:rPr>
      <w:t>Elysium Training – Pastoral Safeguarding Lead - Job Description and Person Specification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567" w:right="-461" w:hanging="0"/>
      <w:jc w:val="right"/>
      <w:rPr/>
    </w:pPr>
    <w:r>
      <w:rPr/>
      <w:drawing>
        <wp:anchor behindDoc="0" distT="0" distB="0" distL="114300" distR="114300" simplePos="0" locked="0" layoutInCell="1" allowOverlap="1" relativeHeight="6">
          <wp:simplePos x="0" y="0"/>
          <wp:positionH relativeFrom="column">
            <wp:posOffset>-407670</wp:posOffset>
          </wp:positionH>
          <wp:positionV relativeFrom="paragraph">
            <wp:posOffset>-360680</wp:posOffset>
          </wp:positionV>
          <wp:extent cx="2064385" cy="569595"/>
          <wp:effectExtent l="0" t="0" r="0" b="0"/>
          <wp:wrapTight wrapText="bothSides">
            <wp:wrapPolygon edited="0">
              <wp:start x="3157" y="0"/>
              <wp:lineTo x="-36" y="5745"/>
              <wp:lineTo x="-36" y="16559"/>
              <wp:lineTo x="4954" y="20880"/>
              <wp:lineTo x="6749" y="20880"/>
              <wp:lineTo x="21315" y="17275"/>
              <wp:lineTo x="21315" y="5028"/>
              <wp:lineTo x="12136" y="0"/>
              <wp:lineTo x="315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2" t="-45" r="-12" b="-45"/>
                  <a:stretch>
                    <a:fillRect/>
                  </a:stretch>
                </pic:blipFill>
                <pic:spPr bwMode="auto">
                  <a:xfrm>
                    <a:off x="0" y="0"/>
                    <a:ext cx="2064385" cy="569595"/>
                  </a:xfrm>
                  <a:prstGeom prst="rect">
                    <a:avLst/>
                  </a:prstGeom>
                </pic:spPr>
              </pic:pic>
            </a:graphicData>
          </a:graphic>
        </wp:anchor>
      </w:drawing>
      <mc:AlternateContent>
        <mc:Choice Requires="wps">
          <w:drawing>
            <wp:anchor behindDoc="1" distT="0" distB="0" distL="114935" distR="114935" simplePos="0" locked="0" layoutInCell="1" allowOverlap="1" relativeHeight="11">
              <wp:simplePos x="0" y="0"/>
              <wp:positionH relativeFrom="column">
                <wp:posOffset>-1033780</wp:posOffset>
              </wp:positionH>
              <wp:positionV relativeFrom="paragraph">
                <wp:posOffset>284480</wp:posOffset>
              </wp:positionV>
              <wp:extent cx="9405620" cy="635"/>
              <wp:effectExtent l="0" t="0" r="0" b="0"/>
              <wp:wrapNone/>
              <wp:docPr id="2" name="Straight Connector 1"/>
              <a:graphic xmlns:a="http://schemas.openxmlformats.org/drawingml/2006/main">
                <a:graphicData uri="http://schemas.microsoft.com/office/word/2010/wordprocessingShape">
                  <wps:wsp>
                    <wps:cNvSpPr/>
                    <wps:spPr>
                      <a:xfrm>
                        <a:off x="0" y="0"/>
                        <a:ext cx="9405000" cy="0"/>
                      </a:xfrm>
                      <a:prstGeom prst="line">
                        <a:avLst/>
                      </a:prstGeom>
                      <a:ln w="25560">
                        <a:solidFill>
                          <a:srgbClr val="e97132"/>
                        </a:solidFill>
                        <a:miter/>
                      </a:ln>
                    </wps:spPr>
                    <wps:style>
                      <a:lnRef idx="0"/>
                      <a:fillRef idx="0"/>
                      <a:effectRef idx="0"/>
                      <a:fontRef idx="minor"/>
                    </wps:style>
                    <wps:bodyPr/>
                  </wps:wsp>
                </a:graphicData>
              </a:graphic>
            </wp:anchor>
          </w:drawing>
        </mc:Choice>
        <mc:Fallback>
          <w:pict>
            <v:line id="shape_0" from="-81.4pt,22.4pt" to="659.1pt,22.4pt" ID="Straight Connector 1" stroked="t" style="position:absolute">
              <v:stroke color="#e97132" weight="25560" joinstyle="miter" endcap="flat"/>
              <v:fill o:detectmouseclick="t" on="false"/>
            </v:line>
          </w:pict>
        </mc:Fallback>
      </mc:AlternateContent>
    </w:r>
  </w:p>
  <w:p>
    <w:pPr>
      <w:pStyle w:val="Header"/>
      <w:ind w:left="-567" w:right="-461" w:hanging="0"/>
      <w:jc w:val="right"/>
      <w:rPr>
        <w:b/>
        <w:b/>
        <w:bCs/>
        <w:i/>
        <w:i/>
        <w:iCs/>
        <w:color w:val="000000"/>
        <w:sz w:val="18"/>
        <w:szCs w:val="18"/>
      </w:rPr>
    </w:pPr>
    <w:r>
      <w:rPr>
        <w:b/>
        <w:bCs/>
        <w:i/>
        <w:iCs/>
        <w:color w:val="000000"/>
        <w:sz w:val="18"/>
        <w:szCs w:val="18"/>
      </w:rPr>
      <w:t>A Specialist Provider of Alternative Education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Light" w:hAnsi="Calibri Light" w:eastAsia="" w:cs=""/>
      <w:color w:val="auto"/>
      <w:kern w:val="0"/>
      <w:sz w:val="22"/>
      <w:szCs w:val="22"/>
      <w:lang w:val="en-US"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eastAsia="" w:cs=""/>
      <w:color w:val="E97132"/>
      <w:kern w:val="2"/>
      <w:sz w:val="32"/>
      <w:szCs w:val="40"/>
      <w:lang w:val="en-GB"/>
    </w:rPr>
  </w:style>
  <w:style w:type="paragraph" w:styleId="Heading2">
    <w:name w:val="Heading 2"/>
    <w:basedOn w:val="Normal"/>
    <w:next w:val="Normal"/>
    <w:qFormat/>
    <w:pPr>
      <w:keepNext w:val="true"/>
      <w:keepLines/>
      <w:numPr>
        <w:ilvl w:val="1"/>
        <w:numId w:val="1"/>
      </w:numPr>
      <w:spacing w:before="160" w:after="80"/>
      <w:outlineLvl w:val="1"/>
    </w:pPr>
    <w:rPr>
      <w:rFonts w:eastAsia="" w:cs=""/>
      <w:i/>
      <w:color w:val="0F4761"/>
      <w:kern w:val="2"/>
      <w:sz w:val="24"/>
      <w:szCs w:val="32"/>
      <w:lang w:val="en-GB"/>
    </w:rPr>
  </w:style>
  <w:style w:type="paragraph" w:styleId="Heading3">
    <w:name w:val="Heading 3"/>
    <w:basedOn w:val="Normal"/>
    <w:next w:val="Normal"/>
    <w:qFormat/>
    <w:pPr>
      <w:keepNext w:val="true"/>
      <w:keepLines/>
      <w:numPr>
        <w:ilvl w:val="2"/>
        <w:numId w:val="1"/>
      </w:numPr>
      <w:spacing w:before="160" w:after="80"/>
      <w:outlineLvl w:val="2"/>
    </w:pPr>
    <w:rPr>
      <w:rFonts w:eastAsia="" w:cs=""/>
      <w:i/>
      <w:color w:val="0F4761"/>
      <w:kern w:val="2"/>
      <w:sz w:val="24"/>
      <w:szCs w:val="28"/>
      <w:lang w:val="en-GB"/>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lang w:val="en-G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lang w:val="en-G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 w:cs=""/>
      <w:color w:val="E97132"/>
      <w:sz w:val="32"/>
      <w:szCs w:val="40"/>
    </w:rPr>
  </w:style>
  <w:style w:type="character" w:styleId="Heading2Char">
    <w:name w:val="Heading 2 Char"/>
    <w:basedOn w:val="DefaultParagraphFont"/>
    <w:qFormat/>
    <w:rPr>
      <w:rFonts w:ascii="Calibri Light" w:hAnsi="Calibri Light" w:eastAsia="" w:cs=""/>
      <w:i/>
      <w:color w:val="0F4761"/>
      <w:szCs w:val="32"/>
    </w:rPr>
  </w:style>
  <w:style w:type="character" w:styleId="Heading3Char">
    <w:name w:val="Heading 3 Char"/>
    <w:basedOn w:val="DefaultParagraphFont"/>
    <w:qFormat/>
    <w:rPr>
      <w:rFonts w:eastAsia="" w:cs=""/>
      <w:i/>
      <w:color w:val="0F4761"/>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Calibri Light" w:hAnsi="Calibri Light" w:eastAsia="" w:cs=""/>
      <w:spacing w:val="-10"/>
      <w:kern w:val="2"/>
      <w:sz w:val="36"/>
      <w:szCs w:val="56"/>
      <w:lang w:val="en-US"/>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eastAsia=""/>
      <w:kern w:val="0"/>
      <w:sz w:val="20"/>
      <w:szCs w:val="20"/>
      <w:lang w:val="en-US"/>
    </w:rPr>
  </w:style>
  <w:style w:type="character" w:styleId="CommentSubjectChar">
    <w:name w:val="Comment Subject Char"/>
    <w:basedOn w:val="CommentTextChar"/>
    <w:qFormat/>
    <w:rPr>
      <w:rFonts w:eastAsia=""/>
      <w:b/>
      <w:bCs/>
      <w:kern w:val="0"/>
      <w:sz w:val="20"/>
      <w:szCs w:val="20"/>
      <w:lang w:val="en-US"/>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jc w:val="center"/>
    </w:pPr>
    <w:rPr>
      <w:rFonts w:eastAsia="" w:cs=""/>
      <w:spacing w:val="-10"/>
      <w:kern w:val="2"/>
      <w:sz w:val="3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200"/>
      <w:jc w:val="center"/>
    </w:pPr>
    <w:rPr>
      <w:i/>
      <w:iCs/>
      <w:color w:val="404040"/>
    </w:rPr>
  </w:style>
  <w:style w:type="paragraph" w:styleId="ListParagraph">
    <w:name w:val="List Paragraph"/>
    <w:basedOn w:val="Normal"/>
    <w:qFormat/>
    <w:pPr>
      <w:spacing w:before="0" w:after="20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NormalWeb">
    <w:name w:val="Normal (Web)"/>
    <w:basedOn w:val="Normal"/>
    <w:qFormat/>
    <w:pPr/>
    <w:rPr>
      <w:rFonts w:ascii="Times New Roman" w:hAnsi="Times New Roman" w:cs="Times New Roman"/>
      <w:sz w:val="24"/>
      <w:szCs w:val="24"/>
    </w:rPr>
  </w:style>
  <w:style w:type="paragraph" w:styleId="NoSpacing">
    <w:name w:val="No Spacing"/>
    <w:qFormat/>
    <w:pPr>
      <w:widowControl/>
      <w:suppressAutoHyphens w:val="true"/>
      <w:bidi w:val="0"/>
      <w:spacing w:lineRule="auto" w:line="240" w:before="0" w:after="0"/>
      <w:jc w:val="left"/>
    </w:pPr>
    <w:rPr>
      <w:rFonts w:ascii="Calibri Light" w:hAnsi="Calibri Light" w:eastAsia="" w:cs=""/>
      <w:color w:val="auto"/>
      <w:kern w:val="0"/>
      <w:sz w:val="22"/>
      <w:szCs w:val="22"/>
      <w:lang w:val="en-US" w:eastAsia="en-US" w:bidi="ar-SA"/>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24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2026-07-06T11:51:00Z</dcterms:created>
  <dc:creator>Michael Fletcher</dc:creator>
  <dc:description/>
  <dc:language>en-US</dc:language>
  <cp:lastModifiedBy>Jen Latham</cp:lastModifiedBy>
  <cp:lastPrinted>1995-11-21T17:41:00Z</cp:lastPrinted>
  <dcterms:modified xsi:type="dcterms:W3CDTF">2026-07-06T12:20:00Z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0x01010055C0BD2FE784DF4CA93F0294617A163A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