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b/>
          <w:b/>
          <w:bCs/>
        </w:rPr>
      </w:pPr>
      <w:r>
        <w:rPr>
          <w:b/>
          <w:bCs/>
        </w:rPr>
        <w:t>Attendance Officer – Job Description</w:t>
      </w:r>
    </w:p>
    <w:p>
      <w:pPr>
        <w:pStyle w:val="Normal"/>
        <w:rPr/>
      </w:pPr>
      <w:r>
        <w:rPr>
          <w:b/>
          <w:bCs/>
        </w:rPr>
        <w:t>Job Title:</w:t>
      </w:r>
      <w:r>
        <w:rPr/>
        <w:t xml:space="preserve"> Attendance Officer</w:t>
        <w:br/>
      </w:r>
      <w:r>
        <w:rPr>
          <w:b/>
          <w:bCs/>
        </w:rPr>
        <w:t>Location:</w:t>
      </w:r>
      <w:r>
        <w:rPr/>
        <w:t xml:space="preserve"> Tameside Alternative Provision Academy (Dual-Site: White Bridge College &amp; Elmbridge School)</w:t>
        <w:br/>
      </w:r>
      <w:r>
        <w:rPr>
          <w:b/>
          <w:bCs/>
        </w:rPr>
        <w:t>Contract Type:</w:t>
      </w:r>
      <w:r>
        <w:rPr/>
        <w:t xml:space="preserve"> Full-Time / Term-Time Only</w:t>
      </w:r>
    </w:p>
    <w:p>
      <w:pPr>
        <w:pStyle w:val="Normal"/>
        <w:rPr>
          <w:b/>
          <w:b/>
          <w:bCs/>
        </w:rPr>
      </w:pPr>
      <w:r>
        <w:rPr>
          <w:b/>
          <w:bCs/>
        </w:rPr>
        <w:t>Job Purpose Outline</w:t>
      </w:r>
    </w:p>
    <w:p>
      <w:pPr>
        <w:pStyle w:val="Normal"/>
        <w:rPr/>
      </w:pPr>
      <w:r>
        <w:rPr/>
        <w:t>The Attendance Officer manages, monitors, and improves student attendance and punctuality across both academy sites.</w:t>
      </w:r>
    </w:p>
    <w:p>
      <w:pPr>
        <w:pStyle w:val="Normal"/>
        <w:rPr/>
      </w:pPr>
      <w:r>
        <w:rPr/>
        <w:t>White Bridge College serves vulnerable learners from Key Stage 2 through Year 11 in a Pupil Referral Unit (PRU) setting. Elmbridge School supports Key Stage 4 students (Years 10 and 11) who hold Education, Health, and Care Plans (EHCPs) for Social, Emotional, and Mental Health (SEMH) needs.</w:t>
      </w:r>
    </w:p>
    <w:p>
      <w:pPr>
        <w:pStyle w:val="Normal"/>
        <w:rPr/>
      </w:pPr>
      <w:r>
        <w:rPr/>
        <w:t>The successful candidate will implement robust attendance strategies, identify barriers to school engagement, and work collaboratively with families, multi-agency partners, and school leadership. The ultimate goal is to reduce persistent absence and support student reintegration into education.</w:t>
      </w:r>
    </w:p>
    <w:p>
      <w:pPr>
        <w:pStyle w:val="Normal"/>
        <w:rPr>
          <w:b/>
          <w:b/>
          <w:bCs/>
        </w:rPr>
      </w:pPr>
      <w:r>
        <w:rPr>
          <w:b/>
          <w:bCs/>
        </w:rPr>
      </w:r>
    </w:p>
    <w:p>
      <w:pPr>
        <w:pStyle w:val="Normal"/>
        <w:rPr>
          <w:b/>
          <w:b/>
          <w:bCs/>
        </w:rPr>
      </w:pPr>
      <w:r>
        <w:rPr>
          <w:b/>
          <w:bCs/>
        </w:rPr>
        <w:t>Standard Duties</w:t>
      </w:r>
    </w:p>
    <w:p>
      <w:pPr>
        <w:pStyle w:val="ListParagraph"/>
        <w:numPr>
          <w:ilvl w:val="0"/>
          <w:numId w:val="5"/>
        </w:numPr>
        <w:rPr/>
      </w:pPr>
      <w:r>
        <w:rPr/>
        <w:t>To understand the importance of inclusion, equality and diversity, both when working with pupils and with colleagues, and to promote equal opportunities for all.</w:t>
      </w:r>
    </w:p>
    <w:p>
      <w:pPr>
        <w:pStyle w:val="ListParagraph"/>
        <w:numPr>
          <w:ilvl w:val="0"/>
          <w:numId w:val="5"/>
        </w:numPr>
        <w:rPr/>
      </w:pPr>
      <w:r>
        <w:rPr/>
        <w:t>To uphold and promote the values and the ethos of the school.</w:t>
      </w:r>
    </w:p>
    <w:p>
      <w:pPr>
        <w:pStyle w:val="ListParagraph"/>
        <w:numPr>
          <w:ilvl w:val="0"/>
          <w:numId w:val="5"/>
        </w:numPr>
        <w:rPr/>
      </w:pPr>
      <w:r>
        <w:rPr/>
        <w:t>To implement and uphold the policies, procedures and codes of practice of the school, including relating to customer care, finance, data protection, ICT, health &amp; safety, anti-bullying and safeguarding/child protection.</w:t>
      </w:r>
    </w:p>
    <w:p>
      <w:pPr>
        <w:pStyle w:val="ListParagraph"/>
        <w:numPr>
          <w:ilvl w:val="0"/>
          <w:numId w:val="5"/>
        </w:numPr>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ListParagraph"/>
        <w:numPr>
          <w:ilvl w:val="0"/>
          <w:numId w:val="5"/>
        </w:numPr>
        <w:rPr/>
      </w:pPr>
      <w:r>
        <w:rPr/>
        <w:t>To participate and engage with workplace learning and development opportunities, subject to the school’s training plan, working to continually improve own performance and that of the team/school.</w:t>
      </w:r>
    </w:p>
    <w:p>
      <w:pPr>
        <w:pStyle w:val="ListParagraph"/>
        <w:numPr>
          <w:ilvl w:val="0"/>
          <w:numId w:val="5"/>
        </w:numPr>
        <w:rPr/>
      </w:pPr>
      <w:r>
        <w:rPr/>
        <w:t>To attend and participate in relevant meetings as appropriate.</w:t>
      </w:r>
    </w:p>
    <w:p>
      <w:pPr>
        <w:pStyle w:val="ListParagraph"/>
        <w:numPr>
          <w:ilvl w:val="0"/>
          <w:numId w:val="5"/>
        </w:numPr>
        <w:rPr/>
      </w:pPr>
      <w:r>
        <w:rPr/>
        <w:t>To undertake any other additional duties commensurate with the grade of the post.</w:t>
      </w:r>
    </w:p>
    <w:p>
      <w:pPr>
        <w:pStyle w:val="Normal"/>
        <w:rPr>
          <w:b/>
          <w:b/>
          <w:bCs/>
        </w:rPr>
      </w:pPr>
      <w:r>
        <w:rPr>
          <w:b/>
          <w:bCs/>
        </w:rPr>
        <w:t>Key Tasks &amp; Responsibilities</w:t>
      </w:r>
    </w:p>
    <w:p>
      <w:pPr>
        <w:pStyle w:val="Normal"/>
        <w:rPr>
          <w:b/>
          <w:b/>
          <w:bCs/>
          <w:u w:val="single"/>
        </w:rPr>
      </w:pPr>
      <w:r>
        <w:rPr>
          <w:b/>
          <w:bCs/>
          <w:u w:val="single"/>
        </w:rPr>
        <w:t>Attendance Monitoring &amp; Data Management</w:t>
      </w:r>
    </w:p>
    <w:p>
      <w:pPr>
        <w:pStyle w:val="Normal"/>
        <w:numPr>
          <w:ilvl w:val="0"/>
          <w:numId w:val="2"/>
        </w:numPr>
        <w:rPr/>
      </w:pPr>
      <w:r>
        <w:rPr>
          <w:b/>
          <w:bCs/>
        </w:rPr>
        <w:t>Daily Tracking</w:t>
      </w:r>
      <w:r>
        <w:rPr/>
        <w:t>: Monitor registers daily across both sites to identify unexplained or unauthorised absences.</w:t>
      </w:r>
    </w:p>
    <w:p>
      <w:pPr>
        <w:pStyle w:val="Normal"/>
        <w:numPr>
          <w:ilvl w:val="0"/>
          <w:numId w:val="2"/>
        </w:numPr>
        <w:rPr/>
      </w:pPr>
      <w:r>
        <w:rPr>
          <w:b/>
          <w:bCs/>
        </w:rPr>
        <w:t>Database Management</w:t>
      </w:r>
      <w:r>
        <w:rPr/>
        <w:t>: Maintain accurate records on the academy’s Management Information System (Arbor), ensuring correct attendance codes are applied.</w:t>
      </w:r>
    </w:p>
    <w:p>
      <w:pPr>
        <w:pStyle w:val="Normal"/>
        <w:numPr>
          <w:ilvl w:val="0"/>
          <w:numId w:val="2"/>
        </w:numPr>
        <w:rPr/>
      </w:pPr>
      <w:r>
        <w:rPr>
          <w:b/>
          <w:bCs/>
        </w:rPr>
        <w:t>Targeting Cohorts</w:t>
      </w:r>
      <w:r>
        <w:rPr/>
        <w:t>: Track specific sub-groups including Pupil Premium, Looked After Children (LAC), and students with EHCPs.</w:t>
      </w:r>
    </w:p>
    <w:p>
      <w:pPr>
        <w:pStyle w:val="Normal"/>
        <w:numPr>
          <w:ilvl w:val="0"/>
          <w:numId w:val="2"/>
        </w:numPr>
        <w:rPr/>
      </w:pPr>
      <w:r>
        <w:rPr>
          <w:b/>
          <w:bCs/>
        </w:rPr>
        <w:t>Weekly Attendance Tracking:</w:t>
      </w:r>
      <w:r>
        <w:rPr/>
        <w:t xml:space="preserve"> Update and maintain the attendance monitoring spreadsheet per year group for pastoral managers.</w:t>
      </w:r>
    </w:p>
    <w:p>
      <w:pPr>
        <w:pStyle w:val="Normal"/>
        <w:numPr>
          <w:ilvl w:val="0"/>
          <w:numId w:val="2"/>
        </w:numPr>
        <w:rPr/>
      </w:pPr>
      <w:r>
        <w:rPr>
          <w:b/>
          <w:bCs/>
        </w:rPr>
        <w:t>Adding and removing Students:</w:t>
      </w:r>
      <w:r>
        <w:rPr/>
        <w:t xml:space="preserve"> When directed, off rolling of student leavers and enrolment of in-year new joiners onto Arbor.</w:t>
      </w:r>
    </w:p>
    <w:p>
      <w:pPr>
        <w:pStyle w:val="Normal"/>
        <w:numPr>
          <w:ilvl w:val="0"/>
          <w:numId w:val="2"/>
        </w:numPr>
        <w:rPr/>
      </w:pPr>
      <w:r>
        <w:rPr>
          <w:b/>
          <w:bCs/>
        </w:rPr>
        <w:t xml:space="preserve">Onboarding Student Data: </w:t>
      </w:r>
      <w:r>
        <w:rPr/>
        <w:t>Transfer of CTF files for both incoming and exiting students.</w:t>
      </w:r>
    </w:p>
    <w:p>
      <w:pPr>
        <w:pStyle w:val="Normal"/>
        <w:rPr/>
      </w:pPr>
      <w:r>
        <w:rPr/>
      </w:r>
    </w:p>
    <w:p>
      <w:pPr>
        <w:pStyle w:val="Normal"/>
        <w:rPr>
          <w:b/>
          <w:b/>
          <w:bCs/>
          <w:u w:val="single"/>
        </w:rPr>
      </w:pPr>
      <w:r>
        <w:rPr>
          <w:b/>
          <w:bCs/>
          <w:u w:val="single"/>
        </w:rPr>
        <w:t>Intervention &amp; Family Engagement</w:t>
      </w:r>
    </w:p>
    <w:p>
      <w:pPr>
        <w:pStyle w:val="Normal"/>
        <w:numPr>
          <w:ilvl w:val="0"/>
          <w:numId w:val="3"/>
        </w:numPr>
        <w:rPr/>
      </w:pPr>
      <w:r>
        <w:rPr>
          <w:b/>
          <w:bCs/>
        </w:rPr>
        <w:t>First-Day Calling</w:t>
      </w:r>
      <w:r>
        <w:rPr/>
        <w:t>: Conduct immediate phone calls, text alerts, or emails to parents and carers for missing students at the start of the school day.</w:t>
      </w:r>
    </w:p>
    <w:p>
      <w:pPr>
        <w:pStyle w:val="Normal"/>
        <w:numPr>
          <w:ilvl w:val="0"/>
          <w:numId w:val="3"/>
        </w:numPr>
        <w:rPr/>
      </w:pPr>
      <w:r>
        <w:rPr>
          <w:b/>
          <w:bCs/>
        </w:rPr>
        <w:t>Home Visits</w:t>
      </w:r>
      <w:r>
        <w:rPr/>
        <w:t>: Conduct targeted home visits to check on student welfare and discuss attendance barriers with families.</w:t>
      </w:r>
    </w:p>
    <w:p>
      <w:pPr>
        <w:pStyle w:val="Normal"/>
        <w:numPr>
          <w:ilvl w:val="0"/>
          <w:numId w:val="3"/>
        </w:numPr>
        <w:rPr/>
      </w:pPr>
      <w:r>
        <w:rPr>
          <w:b/>
          <w:bCs/>
        </w:rPr>
        <w:t>Proactive Re-engagement</w:t>
      </w:r>
      <w:r>
        <w:rPr/>
        <w:t>: Contacting students who have absence patterns to prevent further attendance issues.</w:t>
      </w:r>
    </w:p>
    <w:p>
      <w:pPr>
        <w:pStyle w:val="Normal"/>
        <w:numPr>
          <w:ilvl w:val="0"/>
          <w:numId w:val="4"/>
        </w:numPr>
        <w:rPr/>
      </w:pPr>
      <w:r>
        <w:rPr>
          <w:b/>
          <w:bCs/>
        </w:rPr>
        <w:t>Parental Contact:</w:t>
      </w:r>
      <w:r>
        <w:rPr/>
        <w:t xml:space="preserve"> Oversee the sending of letters to parents with regards to attendance</w:t>
      </w:r>
    </w:p>
    <w:p>
      <w:pPr>
        <w:pStyle w:val="Normal"/>
        <w:rPr>
          <w:b/>
          <w:b/>
          <w:bCs/>
          <w:u w:val="single"/>
        </w:rPr>
      </w:pPr>
      <w:r>
        <w:rPr>
          <w:b/>
          <w:bCs/>
          <w:u w:val="single"/>
        </w:rPr>
        <w:t>Multi-Agency Collaboration</w:t>
      </w:r>
    </w:p>
    <w:p>
      <w:pPr>
        <w:pStyle w:val="Normal"/>
        <w:numPr>
          <w:ilvl w:val="0"/>
          <w:numId w:val="4"/>
        </w:numPr>
        <w:rPr/>
      </w:pPr>
      <w:r>
        <w:rPr>
          <w:b/>
          <w:bCs/>
        </w:rPr>
        <w:t>Safeguarding</w:t>
      </w:r>
      <w:r>
        <w:rPr/>
        <w:t>: Report any Children Missing in Education (CME) or immediate safeguarding concerns to the Designated Safeguarding Lead (DSL).</w:t>
      </w:r>
    </w:p>
    <w:p>
      <w:pPr>
        <w:pStyle w:val="Normal"/>
        <w:numPr>
          <w:ilvl w:val="0"/>
          <w:numId w:val="4"/>
        </w:numPr>
        <w:rPr/>
      </w:pPr>
      <w:r>
        <w:rPr>
          <w:b/>
          <w:bCs/>
        </w:rPr>
        <w:t>Reporting of attendance fines</w:t>
      </w:r>
      <w:r>
        <w:rPr/>
        <w:t>: Report unauthorised holidays to Tameside Council through their online reporting tool.</w:t>
      </w:r>
    </w:p>
    <w:p>
      <w:pPr>
        <w:pStyle w:val="Normal"/>
        <w:numPr>
          <w:ilvl w:val="0"/>
          <w:numId w:val="4"/>
        </w:numPr>
        <w:rPr/>
      </w:pPr>
      <w:r>
        <w:rPr>
          <w:b/>
          <w:bCs/>
        </w:rPr>
        <w:t>External Liaison:</w:t>
      </w:r>
      <w:r>
        <w:rPr/>
        <w:t xml:space="preserve"> Respond to attendance related queries from external agencies</w:t>
      </w:r>
    </w:p>
    <w:p>
      <w:pPr>
        <w:pStyle w:val="Normal"/>
        <w:rPr/>
      </w:pPr>
      <w:r>
        <w:rPr/>
      </w:r>
    </w:p>
    <w:p>
      <w:pPr>
        <w:pStyle w:val="Normal"/>
        <w:rPr>
          <w:b/>
          <w:b/>
          <w:bCs/>
        </w:rPr>
      </w:pPr>
      <w:r>
        <w:rPr>
          <w:b/>
          <w:bCs/>
        </w:rPr>
        <w:t>Person Specification</w:t>
      </w:r>
    </w:p>
    <w:p>
      <w:pPr>
        <w:pStyle w:val="Normal"/>
        <w:rPr/>
      </w:pPr>
      <w:r>
        <w:rPr/>
      </w:r>
    </w:p>
    <w:tbl>
      <w:tblPr>
        <w:tblW w:w="9958" w:type="dxa"/>
        <w:jc w:val="left"/>
        <w:tblInd w:w="0" w:type="dxa"/>
        <w:tblCellMar>
          <w:top w:w="0" w:type="dxa"/>
          <w:left w:w="108" w:type="dxa"/>
          <w:bottom w:w="0" w:type="dxa"/>
          <w:right w:w="108" w:type="dxa"/>
        </w:tblCellMar>
      </w:tblPr>
      <w:tblGrid>
        <w:gridCol w:w="1834"/>
        <w:gridCol w:w="3828"/>
        <w:gridCol w:w="2977"/>
        <w:gridCol w:w="1319"/>
      </w:tblGrid>
      <w:tr>
        <w:trPr/>
        <w:tc>
          <w:tcPr>
            <w:tcW w:w="1834" w:type="dxa"/>
            <w:tcBorders>
              <w:top w:val="single" w:sz="6" w:space="0" w:color="000000"/>
              <w:left w:val="single" w:sz="6" w:space="0" w:color="000000"/>
              <w:bottom w:val="single" w:sz="6" w:space="0" w:color="000000"/>
            </w:tcBorders>
            <w:shd w:fill="auto" w:val="clear"/>
          </w:tcPr>
          <w:p>
            <w:pPr>
              <w:pStyle w:val="Normal"/>
              <w:snapToGrid w:val="false"/>
              <w:spacing w:before="0" w:after="160"/>
              <w:jc w:val="center"/>
              <w:rPr>
                <w:b/>
                <w:b/>
              </w:rPr>
            </w:pPr>
            <w:r>
              <w:rPr>
                <w:b/>
              </w:rPr>
            </w:r>
          </w:p>
        </w:tc>
        <w:tc>
          <w:tcPr>
            <w:tcW w:w="3828" w:type="dxa"/>
            <w:tcBorders>
              <w:top w:val="single" w:sz="6" w:space="0" w:color="000000"/>
              <w:left w:val="single" w:sz="6" w:space="0" w:color="000000"/>
              <w:bottom w:val="single" w:sz="6" w:space="0" w:color="000000"/>
            </w:tcBorders>
            <w:shd w:fill="auto" w:val="clear"/>
          </w:tcPr>
          <w:p>
            <w:pPr>
              <w:pStyle w:val="Normal"/>
              <w:jc w:val="center"/>
              <w:rPr>
                <w:b/>
                <w:b/>
              </w:rPr>
            </w:pPr>
            <w:r>
              <w:rPr>
                <w:b/>
              </w:rPr>
              <w:t>Selection Criteria</w:t>
            </w:r>
          </w:p>
          <w:p>
            <w:pPr>
              <w:pStyle w:val="Normal"/>
              <w:spacing w:before="0" w:after="160"/>
              <w:jc w:val="center"/>
              <w:rPr>
                <w:b/>
                <w:b/>
              </w:rPr>
            </w:pPr>
            <w:r>
              <w:rPr>
                <w:b/>
              </w:rPr>
              <w:t>Essential</w:t>
            </w:r>
          </w:p>
        </w:tc>
        <w:tc>
          <w:tcPr>
            <w:tcW w:w="2977" w:type="dxa"/>
            <w:tcBorders>
              <w:top w:val="single" w:sz="6" w:space="0" w:color="000000"/>
              <w:left w:val="single" w:sz="6" w:space="0" w:color="000000"/>
              <w:bottom w:val="single" w:sz="6" w:space="0" w:color="000000"/>
            </w:tcBorders>
            <w:shd w:fill="auto" w:val="clear"/>
          </w:tcPr>
          <w:p>
            <w:pPr>
              <w:pStyle w:val="Normal"/>
              <w:jc w:val="center"/>
              <w:rPr>
                <w:b/>
                <w:b/>
              </w:rPr>
            </w:pPr>
            <w:r>
              <w:rPr>
                <w:b/>
              </w:rPr>
              <w:t>Selection Criteria</w:t>
            </w:r>
          </w:p>
          <w:p>
            <w:pPr>
              <w:pStyle w:val="Normal"/>
              <w:spacing w:before="0" w:after="160"/>
              <w:jc w:val="center"/>
              <w:rPr>
                <w:b/>
                <w:b/>
              </w:rPr>
            </w:pPr>
            <w:r>
              <w:rPr>
                <w:b/>
              </w:rPr>
              <w:t>Desirable</w:t>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0" w:after="160"/>
              <w:jc w:val="center"/>
              <w:rPr>
                <w:b/>
                <w:b/>
              </w:rPr>
            </w:pPr>
            <w:r>
              <w:rPr>
                <w:b/>
              </w:rPr>
              <w:t>How Assessed</w:t>
            </w:r>
          </w:p>
        </w:tc>
      </w:tr>
      <w:tr>
        <w:trPr/>
        <w:tc>
          <w:tcPr>
            <w:tcW w:w="1834"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widowControl/>
              <w:bidi w:val="0"/>
              <w:spacing w:lineRule="auto" w:line="276" w:before="0" w:after="160"/>
              <w:jc w:val="left"/>
              <w:rPr>
                <w:b/>
                <w:b/>
              </w:rPr>
            </w:pPr>
            <w:r>
              <w:rPr>
                <w:b/>
              </w:rPr>
              <w:t>Education &amp; Qualifications</w:t>
            </w:r>
          </w:p>
        </w:tc>
        <w:tc>
          <w:tcPr>
            <w:tcW w:w="3828" w:type="dxa"/>
            <w:tcBorders>
              <w:top w:val="single" w:sz="6" w:space="0" w:color="000000"/>
              <w:left w:val="single" w:sz="6" w:space="0" w:color="000000"/>
              <w:bottom w:val="single" w:sz="6" w:space="0" w:color="000000"/>
            </w:tcBorders>
            <w:shd w:fill="auto" w:val="clear"/>
          </w:tcPr>
          <w:p>
            <w:pPr>
              <w:pStyle w:val="Normal"/>
              <w:rPr/>
            </w:pPr>
            <w:r>
              <w:rPr/>
              <w:t>GCSE Maths and English passes</w:t>
            </w:r>
          </w:p>
          <w:p>
            <w:pPr>
              <w:pStyle w:val="Normal"/>
              <w:rPr/>
            </w:pPr>
            <w:r>
              <w:rPr/>
              <w:t>Comprehensive IT skills</w:t>
            </w:r>
          </w:p>
          <w:p>
            <w:pPr>
              <w:pStyle w:val="Normal"/>
              <w:widowControl/>
              <w:bidi w:val="0"/>
              <w:spacing w:lineRule="auto" w:line="276" w:before="0" w:after="160"/>
              <w:jc w:val="left"/>
              <w:rPr/>
            </w:pPr>
            <w:r>
              <w:rPr/>
              <w:t>Driving licence free from significant endorsement</w:t>
            </w:r>
          </w:p>
        </w:tc>
        <w:tc>
          <w:tcPr>
            <w:tcW w:w="2977" w:type="dxa"/>
            <w:tcBorders>
              <w:top w:val="single" w:sz="6" w:space="0" w:color="000000"/>
              <w:left w:val="single" w:sz="6" w:space="0" w:color="000000"/>
              <w:bottom w:val="single" w:sz="6" w:space="0" w:color="000000"/>
            </w:tcBorders>
            <w:shd w:fill="auto" w:val="clear"/>
          </w:tcPr>
          <w:p>
            <w:pPr>
              <w:pStyle w:val="Normal"/>
              <w:rPr/>
            </w:pPr>
            <w:r>
              <w:rPr/>
              <w:t>First aid certificate</w:t>
            </w:r>
          </w:p>
          <w:p>
            <w:pPr>
              <w:pStyle w:val="Normal"/>
              <w:rPr/>
            </w:pPr>
            <w:r>
              <w:rPr/>
              <w:t>Exam invigilation training</w:t>
            </w:r>
          </w:p>
          <w:p>
            <w:pPr>
              <w:pStyle w:val="Normal"/>
              <w:widowControl/>
              <w:bidi w:val="0"/>
              <w:spacing w:lineRule="auto" w:line="276" w:before="0" w:after="160"/>
              <w:jc w:val="left"/>
              <w:rPr/>
            </w:pPr>
            <w:r>
              <w:rPr/>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spacing w:before="0" w:after="160"/>
              <w:jc w:val="center"/>
              <w:rPr/>
            </w:pPr>
            <w:r>
              <w:rPr/>
              <w:t>AF / I</w:t>
            </w:r>
          </w:p>
        </w:tc>
      </w:tr>
      <w:tr>
        <w:trPr>
          <w:trHeight w:val="2208" w:hRule="atLeast"/>
        </w:trPr>
        <w:tc>
          <w:tcPr>
            <w:tcW w:w="1834"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widowControl/>
              <w:bidi w:val="0"/>
              <w:spacing w:lineRule="auto" w:line="276" w:before="0" w:after="160"/>
              <w:jc w:val="left"/>
              <w:rPr>
                <w:b/>
                <w:b/>
              </w:rPr>
            </w:pPr>
            <w:r>
              <w:rPr>
                <w:b/>
              </w:rPr>
              <w:t>Experience</w:t>
            </w:r>
          </w:p>
        </w:tc>
        <w:tc>
          <w:tcPr>
            <w:tcW w:w="3828" w:type="dxa"/>
            <w:tcBorders>
              <w:top w:val="single" w:sz="6" w:space="0" w:color="000000"/>
              <w:left w:val="single" w:sz="6" w:space="0" w:color="000000"/>
              <w:bottom w:val="single" w:sz="6" w:space="0" w:color="000000"/>
            </w:tcBorders>
            <w:shd w:fill="auto" w:val="clear"/>
          </w:tcPr>
          <w:p>
            <w:pPr>
              <w:pStyle w:val="Normal"/>
              <w:rPr/>
            </w:pPr>
            <w:r>
              <w:rPr/>
              <w:t>Experience of working with children and young people to support them in overcoming barriers to their personal, social or learning development</w:t>
            </w:r>
          </w:p>
          <w:p>
            <w:pPr>
              <w:pStyle w:val="Normal"/>
              <w:rPr/>
            </w:pPr>
            <w:r>
              <w:rPr/>
              <w:t xml:space="preserve">Experience of working in a team collaboratively to share ideas and achieve objectives </w:t>
            </w:r>
          </w:p>
          <w:p>
            <w:pPr>
              <w:pStyle w:val="Normal"/>
              <w:rPr/>
            </w:pPr>
            <w:r>
              <w:rPr/>
              <w:t>Experience of using computer packages for word processing, spreadsheets, databases, emails and other administrative tasks</w:t>
            </w:r>
          </w:p>
          <w:p>
            <w:pPr>
              <w:pStyle w:val="Normal"/>
              <w:widowControl/>
              <w:bidi w:val="0"/>
              <w:spacing w:lineRule="auto" w:line="276" w:before="0" w:after="160"/>
              <w:jc w:val="left"/>
              <w:rPr/>
            </w:pPr>
            <w:r>
              <w:rPr/>
              <w:t>Experience of analysing data and producing reports in a format appropriate to the audience</w:t>
            </w:r>
          </w:p>
        </w:tc>
        <w:tc>
          <w:tcPr>
            <w:tcW w:w="2977" w:type="dxa"/>
            <w:tcBorders>
              <w:top w:val="single" w:sz="6" w:space="0" w:color="000000"/>
              <w:left w:val="single" w:sz="6" w:space="0" w:color="000000"/>
              <w:bottom w:val="single" w:sz="6" w:space="0" w:color="000000"/>
            </w:tcBorders>
            <w:shd w:fill="auto" w:val="clear"/>
          </w:tcPr>
          <w:p>
            <w:pPr>
              <w:pStyle w:val="Normal"/>
              <w:rPr/>
            </w:pPr>
            <w:r>
              <w:rPr/>
              <w:t>Experience of working with children and young people in an educational setting</w:t>
            </w:r>
          </w:p>
          <w:p>
            <w:pPr>
              <w:pStyle w:val="Normal"/>
              <w:rPr/>
            </w:pPr>
            <w:r>
              <w:rPr/>
            </w:r>
          </w:p>
          <w:p>
            <w:pPr>
              <w:pStyle w:val="Normal"/>
              <w:widowControl/>
              <w:bidi w:val="0"/>
              <w:spacing w:lineRule="auto" w:line="276" w:before="0" w:after="160"/>
              <w:jc w:val="left"/>
              <w:rPr/>
            </w:pPr>
            <w:r>
              <w:rPr/>
              <w:t xml:space="preserve">Experience of working within the remit of pupil attendance </w:t>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rPr/>
            </w:pPr>
            <w:r>
              <w:rPr>
                <w:rFonts w:eastAsia="Aptos" w:cs="Aptos"/>
              </w:rPr>
              <w:t xml:space="preserve">       </w:t>
            </w: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Fonts w:eastAsia="Aptos" w:cs="Aptos"/>
              </w:rPr>
              <w:t xml:space="preserve">      </w:t>
            </w:r>
            <w:r>
              <w:rPr/>
              <w:t>AF / I</w:t>
            </w:r>
          </w:p>
          <w:p>
            <w:pPr>
              <w:pStyle w:val="Normal"/>
              <w:jc w:val="center"/>
              <w:rPr/>
            </w:pPr>
            <w:r>
              <w:rPr/>
            </w:r>
          </w:p>
          <w:p>
            <w:pPr>
              <w:pStyle w:val="Normal"/>
              <w:widowControl/>
              <w:bidi w:val="0"/>
              <w:spacing w:lineRule="auto" w:line="276" w:before="0" w:after="160"/>
              <w:jc w:val="left"/>
              <w:rPr/>
            </w:pPr>
            <w:r>
              <w:rPr/>
            </w:r>
          </w:p>
        </w:tc>
      </w:tr>
      <w:tr>
        <w:trPr>
          <w:trHeight w:val="7782" w:hRule="atLeast"/>
        </w:trPr>
        <w:tc>
          <w:tcPr>
            <w:tcW w:w="1834"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widowControl/>
              <w:bidi w:val="0"/>
              <w:spacing w:lineRule="auto" w:line="276" w:before="0" w:after="160"/>
              <w:jc w:val="left"/>
              <w:rPr>
                <w:b/>
                <w:b/>
              </w:rPr>
            </w:pPr>
            <w:r>
              <w:rPr>
                <w:b/>
              </w:rPr>
              <w:t>Skills &amp; Abilities</w:t>
            </w:r>
          </w:p>
        </w:tc>
        <w:tc>
          <w:tcPr>
            <w:tcW w:w="3828" w:type="dxa"/>
            <w:tcBorders>
              <w:top w:val="single" w:sz="6" w:space="0" w:color="000000"/>
              <w:left w:val="single" w:sz="6" w:space="0" w:color="000000"/>
              <w:bottom w:val="single" w:sz="6" w:space="0" w:color="000000"/>
            </w:tcBorders>
            <w:shd w:fill="auto" w:val="clear"/>
          </w:tcPr>
          <w:p>
            <w:pPr>
              <w:pStyle w:val="Normal"/>
              <w:rPr/>
            </w:pPr>
            <w:r>
              <w:rPr/>
              <w:t>Communication skills to influence, persuade, motivate and engage with a wide range of children, young people and their families</w:t>
            </w:r>
          </w:p>
          <w:p>
            <w:pPr>
              <w:pStyle w:val="Normal"/>
              <w:rPr/>
            </w:pPr>
            <w:r>
              <w:rPr/>
              <w:t>Interpersonal skills to form and maintain positive working relationships with families, colleagues, and other education/healthcare professionals and partner organisations</w:t>
            </w:r>
          </w:p>
          <w:p>
            <w:pPr>
              <w:pStyle w:val="Normal"/>
              <w:rPr/>
            </w:pPr>
            <w:r>
              <w:rPr/>
              <w:t>Listening skills to support children, young people and their families through understanding their point of view in a non-judgemental approach</w:t>
            </w:r>
          </w:p>
          <w:p>
            <w:pPr>
              <w:pStyle w:val="Normal"/>
              <w:tabs>
                <w:tab w:val="clear" w:pos="720"/>
                <w:tab w:val="right" w:pos="3168" w:leader="none"/>
                <w:tab w:val="left" w:pos="3744" w:leader="none"/>
                <w:tab w:val="right" w:pos="6912" w:leader="none"/>
                <w:tab w:val="left" w:pos="7488" w:leader="none"/>
              </w:tabs>
              <w:spacing w:before="0" w:after="160"/>
              <w:rPr/>
            </w:pPr>
            <w:r>
              <w:rPr/>
              <w:t>Organisational skills to manage time effectively, meet potentially conflicting deadlines and work without close supervision</w:t>
            </w:r>
          </w:p>
        </w:tc>
        <w:tc>
          <w:tcPr>
            <w:tcW w:w="2977" w:type="dxa"/>
            <w:tcBorders>
              <w:top w:val="single" w:sz="6" w:space="0" w:color="000000"/>
              <w:left w:val="single" w:sz="6" w:space="0" w:color="000000"/>
              <w:bottom w:val="single" w:sz="6" w:space="0" w:color="000000"/>
            </w:tcBorders>
            <w:shd w:fill="auto" w:val="clear"/>
          </w:tcPr>
          <w:p>
            <w:pPr>
              <w:pStyle w:val="Normal"/>
              <w:jc w:val="center"/>
              <w:rPr>
                <w:bCs/>
              </w:rPr>
            </w:pPr>
            <w:r>
              <w:rPr>
                <w:bCs/>
              </w:rPr>
              <w:t>Experience of working with the Arbor MIS program</w:t>
            </w:r>
          </w:p>
          <w:p>
            <w:pPr>
              <w:pStyle w:val="Normal"/>
              <w:jc w:val="center"/>
              <w:rPr>
                <w:bCs/>
              </w:rPr>
            </w:pPr>
            <w:r>
              <w:rPr>
                <w:bCs/>
              </w:rPr>
            </w:r>
          </w:p>
          <w:p>
            <w:pPr>
              <w:pStyle w:val="Normal"/>
              <w:spacing w:before="0" w:after="160"/>
              <w:jc w:val="center"/>
              <w:rPr>
                <w:bCs/>
              </w:rPr>
            </w:pPr>
            <w:r>
              <w:rPr>
                <w:bCs/>
              </w:rPr>
              <w:t>Experience with CPOMS as a monitoring and tracking tool as well as for safeguarding</w:t>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rPr/>
            </w:pPr>
            <w:r>
              <w:rPr/>
              <w:t>AF / I</w:t>
            </w:r>
          </w:p>
          <w:p>
            <w:pPr>
              <w:pStyle w:val="Normal"/>
              <w:jc w:val="center"/>
              <w:rPr/>
            </w:pPr>
            <w:r>
              <w:rPr/>
            </w:r>
          </w:p>
          <w:p>
            <w:pPr>
              <w:pStyle w:val="Normal"/>
              <w:jc w:val="center"/>
              <w:rPr/>
            </w:pPr>
            <w:r>
              <w:rPr/>
            </w:r>
          </w:p>
          <w:p>
            <w:pPr>
              <w:pStyle w:val="Normal"/>
              <w:widowControl/>
              <w:bidi w:val="0"/>
              <w:spacing w:lineRule="auto" w:line="276" w:before="0" w:after="160"/>
              <w:jc w:val="left"/>
              <w:rPr/>
            </w:pPr>
            <w:r>
              <w:rPr/>
              <w:t>AF/I</w:t>
            </w:r>
          </w:p>
        </w:tc>
      </w:tr>
      <w:tr>
        <w:trPr>
          <w:trHeight w:val="5520" w:hRule="atLeast"/>
        </w:trPr>
        <w:tc>
          <w:tcPr>
            <w:tcW w:w="1834"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widowControl/>
              <w:bidi w:val="0"/>
              <w:spacing w:lineRule="auto" w:line="276" w:before="0" w:after="160"/>
              <w:jc w:val="left"/>
              <w:rPr>
                <w:b/>
                <w:b/>
              </w:rPr>
            </w:pPr>
            <w:r>
              <w:rPr>
                <w:b/>
              </w:rPr>
              <w:t>Knowledge</w:t>
            </w:r>
          </w:p>
        </w:tc>
        <w:tc>
          <w:tcPr>
            <w:tcW w:w="3828" w:type="dxa"/>
            <w:tcBorders>
              <w:top w:val="single" w:sz="6" w:space="0" w:color="000000"/>
              <w:left w:val="single" w:sz="6" w:space="0" w:color="000000"/>
              <w:bottom w:val="single" w:sz="6" w:space="0" w:color="000000"/>
            </w:tcBorders>
            <w:shd w:fill="auto" w:val="clear"/>
          </w:tcPr>
          <w:p>
            <w:pPr>
              <w:pStyle w:val="Normal"/>
              <w:rPr/>
            </w:pPr>
            <w:r>
              <w:rPr/>
              <w:t>Knowledge and understanding of the range of potential barriers to learning and attending school faced by children and young people</w:t>
            </w:r>
          </w:p>
          <w:p>
            <w:pPr>
              <w:pStyle w:val="Normal"/>
              <w:tabs>
                <w:tab w:val="clear" w:pos="720"/>
                <w:tab w:val="right" w:pos="3168" w:leader="none"/>
                <w:tab w:val="left" w:pos="3744" w:leader="none"/>
                <w:tab w:val="right" w:pos="6912" w:leader="none"/>
                <w:tab w:val="left" w:pos="7488" w:leader="none"/>
              </w:tabs>
              <w:rPr/>
            </w:pPr>
            <w:r>
              <w:rPr/>
              <w:t>Knowledge of relevant legislation and government initiatives and how that relates to the curriculum within the school</w:t>
            </w:r>
          </w:p>
          <w:p>
            <w:pPr>
              <w:pStyle w:val="Normal"/>
              <w:tabs>
                <w:tab w:val="clear" w:pos="720"/>
                <w:tab w:val="right" w:pos="3168" w:leader="none"/>
                <w:tab w:val="left" w:pos="3744" w:leader="none"/>
                <w:tab w:val="right" w:pos="6912" w:leader="none"/>
                <w:tab w:val="left" w:pos="7488" w:leader="none"/>
              </w:tabs>
              <w:spacing w:before="0" w:after="160"/>
              <w:rPr/>
            </w:pPr>
            <w:r>
              <w:rPr/>
              <w:t>Knowledge of data protection, safeguarding and child protection issues and an understanding of appropriate action to take if a disclosure is made</w:t>
            </w:r>
          </w:p>
        </w:tc>
        <w:tc>
          <w:tcPr>
            <w:tcW w:w="2977" w:type="dxa"/>
            <w:tcBorders>
              <w:top w:val="single" w:sz="6" w:space="0" w:color="000000"/>
              <w:left w:val="single" w:sz="6" w:space="0" w:color="000000"/>
              <w:bottom w:val="single" w:sz="6" w:space="0" w:color="000000"/>
            </w:tcBorders>
            <w:shd w:fill="auto" w:val="clear"/>
          </w:tcPr>
          <w:p>
            <w:pPr>
              <w:pStyle w:val="Normal"/>
              <w:snapToGrid w:val="false"/>
              <w:spacing w:before="0" w:after="160"/>
              <w:jc w:val="center"/>
              <w:rPr>
                <w:b/>
                <w:b/>
              </w:rPr>
            </w:pPr>
            <w:r>
              <w:rPr>
                <w:b/>
              </w:rPr>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rPr/>
            </w:pPr>
            <w:r>
              <w:rPr/>
              <w:t>AF / I</w:t>
            </w:r>
          </w:p>
          <w:p>
            <w:pPr>
              <w:pStyle w:val="Normal"/>
              <w:jc w:val="center"/>
              <w:rPr/>
            </w:pPr>
            <w:r>
              <w:rPr/>
            </w:r>
          </w:p>
          <w:p>
            <w:pPr>
              <w:pStyle w:val="Normal"/>
              <w:rPr/>
            </w:pPr>
            <w:r>
              <w:rPr/>
              <w:t>AF / I</w:t>
            </w:r>
          </w:p>
          <w:p>
            <w:pPr>
              <w:pStyle w:val="Normal"/>
              <w:rPr>
                <w:rFonts w:eastAsia="Aptos" w:cs="Aptos"/>
              </w:rPr>
            </w:pPr>
            <w:r>
              <w:rPr>
                <w:rFonts w:eastAsia="Aptos" w:cs="Aptos"/>
              </w:rPr>
              <w:t xml:space="preserve">      </w:t>
            </w:r>
          </w:p>
          <w:p>
            <w:pPr>
              <w:pStyle w:val="Normal"/>
              <w:rPr/>
            </w:pPr>
            <w:r>
              <w:rPr/>
            </w:r>
          </w:p>
          <w:p>
            <w:pPr>
              <w:pStyle w:val="Normal"/>
              <w:rPr/>
            </w:pPr>
            <w:r>
              <w:rPr/>
            </w:r>
          </w:p>
          <w:p>
            <w:pPr>
              <w:pStyle w:val="Normal"/>
              <w:rPr/>
            </w:pPr>
            <w:r>
              <w:rPr/>
              <w:t>AF / I</w:t>
            </w:r>
          </w:p>
          <w:p>
            <w:pPr>
              <w:pStyle w:val="Normal"/>
              <w:jc w:val="center"/>
              <w:rPr/>
            </w:pPr>
            <w:r>
              <w:rPr/>
            </w:r>
          </w:p>
          <w:p>
            <w:pPr>
              <w:pStyle w:val="Normal"/>
              <w:rPr/>
            </w:pPr>
            <w:r>
              <w:rPr/>
            </w:r>
          </w:p>
          <w:p>
            <w:pPr>
              <w:pStyle w:val="Normal"/>
              <w:rPr/>
            </w:pPr>
            <w:r>
              <w:rPr/>
              <w:t>AF / I</w:t>
            </w:r>
          </w:p>
          <w:p>
            <w:pPr>
              <w:pStyle w:val="Normal"/>
              <w:widowControl/>
              <w:bidi w:val="0"/>
              <w:spacing w:lineRule="auto" w:line="276" w:before="0" w:after="160"/>
              <w:jc w:val="left"/>
              <w:rPr/>
            </w:pPr>
            <w:r>
              <w:rPr/>
            </w:r>
          </w:p>
        </w:tc>
      </w:tr>
      <w:tr>
        <w:trPr/>
        <w:tc>
          <w:tcPr>
            <w:tcW w:w="1834"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widowControl/>
              <w:bidi w:val="0"/>
              <w:spacing w:lineRule="auto" w:line="276" w:before="0" w:after="160"/>
              <w:jc w:val="left"/>
              <w:rPr>
                <w:b/>
                <w:b/>
              </w:rPr>
            </w:pPr>
            <w:r>
              <w:rPr>
                <w:b/>
              </w:rPr>
              <w:t>Work circumstances</w:t>
            </w:r>
          </w:p>
        </w:tc>
        <w:tc>
          <w:tcPr>
            <w:tcW w:w="3828" w:type="dxa"/>
            <w:tcBorders>
              <w:top w:val="single" w:sz="6" w:space="0" w:color="000000"/>
              <w:left w:val="single" w:sz="6" w:space="0" w:color="000000"/>
              <w:bottom w:val="single" w:sz="6" w:space="0" w:color="000000"/>
            </w:tcBorders>
            <w:shd w:fill="auto" w:val="clear"/>
          </w:tcPr>
          <w:p>
            <w:pPr>
              <w:pStyle w:val="TextBody"/>
              <w:rPr>
                <w:rFonts w:ascii="Aptos" w:hAnsi="Aptos" w:cs="Aptos"/>
                <w:color w:val="auto"/>
              </w:rPr>
            </w:pPr>
            <w:r>
              <w:rPr>
                <w:rFonts w:cs="Aptos" w:ascii="Aptos" w:hAnsi="Aptos"/>
                <w:color w:val="auto"/>
              </w:rPr>
              <w:t>To work occasionally out of school hours</w:t>
            </w:r>
          </w:p>
          <w:p>
            <w:pPr>
              <w:pStyle w:val="TextBody"/>
              <w:rPr>
                <w:rFonts w:ascii="Aptos" w:hAnsi="Aptos" w:cs="Aptos"/>
                <w:color w:val="auto"/>
              </w:rPr>
            </w:pPr>
            <w:r>
              <w:rPr>
                <w:rFonts w:cs="Aptos" w:ascii="Aptos" w:hAnsi="Aptos"/>
                <w:color w:val="auto"/>
              </w:rPr>
            </w:r>
          </w:p>
          <w:p>
            <w:pPr>
              <w:pStyle w:val="TextBody"/>
              <w:rPr>
                <w:rFonts w:ascii="Aptos" w:hAnsi="Aptos" w:cs="Aptos"/>
                <w:color w:val="auto"/>
              </w:rPr>
            </w:pPr>
            <w:r>
              <w:rPr>
                <w:rFonts w:cs="Aptos" w:ascii="Aptos" w:hAnsi="Aptos"/>
                <w:color w:val="auto"/>
              </w:rPr>
              <w:t xml:space="preserve">To be willing and able to work at either school site as directed </w:t>
            </w:r>
          </w:p>
          <w:p>
            <w:pPr>
              <w:pStyle w:val="TextBody"/>
              <w:rPr>
                <w:rFonts w:ascii="Aptos" w:hAnsi="Aptos" w:cs="Aptos"/>
                <w:color w:val="auto"/>
              </w:rPr>
            </w:pPr>
            <w:r>
              <w:rPr>
                <w:rFonts w:cs="Aptos" w:ascii="Aptos" w:hAnsi="Aptos"/>
                <w:color w:val="auto"/>
              </w:rPr>
            </w:r>
          </w:p>
          <w:p>
            <w:pPr>
              <w:pStyle w:val="TextBody"/>
              <w:rPr/>
            </w:pPr>
            <w:r>
              <w:rPr>
                <w:rFonts w:cs="Aptos" w:ascii="Aptos" w:hAnsi="Aptos"/>
                <w:bCs/>
                <w:color w:val="auto"/>
              </w:rPr>
              <w:t xml:space="preserve">To </w:t>
            </w:r>
            <w:r>
              <w:rPr>
                <w:rFonts w:cs="Aptos" w:ascii="Aptos" w:hAnsi="Aptos"/>
                <w:color w:val="auto"/>
              </w:rPr>
              <w:t>have use of own vehicle with insurance certificates</w:t>
            </w:r>
          </w:p>
        </w:tc>
        <w:tc>
          <w:tcPr>
            <w:tcW w:w="2977" w:type="dxa"/>
            <w:tcBorders>
              <w:top w:val="single" w:sz="6" w:space="0" w:color="000000"/>
              <w:left w:val="single" w:sz="6" w:space="0" w:color="000000"/>
              <w:bottom w:val="single" w:sz="6" w:space="0" w:color="000000"/>
            </w:tcBorders>
            <w:shd w:fill="auto" w:val="clear"/>
          </w:tcPr>
          <w:p>
            <w:pPr>
              <w:pStyle w:val="Normal"/>
              <w:widowControl/>
              <w:bidi w:val="0"/>
              <w:snapToGrid w:val="false"/>
              <w:spacing w:lineRule="auto" w:line="276" w:before="0" w:after="160"/>
              <w:jc w:val="left"/>
              <w:rPr/>
            </w:pPr>
            <w:r>
              <w:rPr/>
            </w:r>
          </w:p>
        </w:tc>
        <w:tc>
          <w:tcPr>
            <w:tcW w:w="1319" w:type="dxa"/>
            <w:tcBorders>
              <w:top w:val="single" w:sz="6" w:space="0" w:color="000000"/>
              <w:left w:val="single" w:sz="6" w:space="0" w:color="000000"/>
              <w:bottom w:val="single" w:sz="6" w:space="0" w:color="000000"/>
              <w:right w:val="single" w:sz="6" w:space="0" w:color="000000"/>
            </w:tcBorders>
            <w:shd w:fill="auto" w:val="clear"/>
          </w:tcPr>
          <w:p>
            <w:pPr>
              <w:pStyle w:val="Normal"/>
              <w:rPr/>
            </w:pPr>
            <w:r>
              <w:rPr/>
              <w:t>I</w:t>
            </w:r>
          </w:p>
          <w:p>
            <w:pPr>
              <w:pStyle w:val="Normal"/>
              <w:jc w:val="center"/>
              <w:rPr/>
            </w:pPr>
            <w:r>
              <w:rPr/>
            </w:r>
          </w:p>
          <w:p>
            <w:pPr>
              <w:pStyle w:val="Normal"/>
              <w:widowControl/>
              <w:bidi w:val="0"/>
              <w:spacing w:lineRule="auto" w:line="276" w:before="0" w:after="160"/>
              <w:jc w:val="left"/>
              <w:rPr/>
            </w:pPr>
            <w:r>
              <w:rPr/>
              <w:t>I</w:t>
            </w:r>
          </w:p>
        </w:tc>
      </w:tr>
    </w:tbl>
    <w:p>
      <w:pPr>
        <w:pStyle w:val="Normal"/>
        <w:widowControl/>
        <w:bidi w:val="0"/>
        <w:spacing w:lineRule="auto" w:line="276" w:before="0" w:after="160"/>
        <w:jc w:val="left"/>
        <w:rPr/>
      </w:pPr>
      <w:r>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margin">
            <wp:posOffset>4124960</wp:posOffset>
          </wp:positionH>
          <wp:positionV relativeFrom="paragraph">
            <wp:posOffset>-219075</wp:posOffset>
          </wp:positionV>
          <wp:extent cx="1907540" cy="8604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0" t="-23" r="-10" b="-23"/>
                  <a:stretch>
                    <a:fillRect/>
                  </a:stretch>
                </pic:blipFill>
                <pic:spPr bwMode="auto">
                  <a:xfrm>
                    <a:off x="0" y="0"/>
                    <a:ext cx="1907540" cy="8604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7"/>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BodyTextChar">
    <w:name w:val="Body Text Char"/>
    <w:basedOn w:val="DefaultParagraphFont"/>
    <w:qFormat/>
    <w:rPr>
      <w:rFonts w:ascii="Arial" w:hAnsi="Arial" w:eastAsia="Times New Roman" w:cs="Arial"/>
      <w:color w:val="FF0000"/>
      <w:kern w:val="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Arial" w:hAnsi="Arial" w:eastAsia="Times New Roman" w:cs="Arial"/>
      <w:color w:val="FF0000"/>
      <w:kern w:val="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2026-05-27T15:32:00Z</dcterms:created>
  <dc:creator>D Warwood</dc:creator>
  <dc:description/>
  <dc:language>en-US</dc:language>
  <cp:lastModifiedBy>L Harris</cp:lastModifiedBy>
  <cp:lastPrinted>1995-11-21T17:41:00Z</cp:lastPrinted>
  <dcterms:modified xsi:type="dcterms:W3CDTF">2026-06-01T08:16:00Z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0x010100D4039D94FFDA3A479C8708ACE720BA99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