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jc w:val="center"/>
        <w:rPr>
          <w:rFonts w:ascii="Arial" w:hAnsi="Arial" w:cs="Arial"/>
          <w:b/>
          <w:b/>
          <w:sz w:val="24"/>
          <w:szCs w:val="24"/>
        </w:rPr>
      </w:pPr>
      <w:r>
        <w:rPr>
          <w:rFonts w:cs="Arial" w:ascii="Arial" w:hAnsi="Arial"/>
          <w:b/>
          <w:sz w:val="24"/>
          <w:szCs w:val="24"/>
        </w:rPr>
        <w:drawing>
          <wp:anchor behindDoc="0" distT="0" distB="0" distL="0" distR="0" simplePos="0" locked="0" layoutInCell="1" allowOverlap="1" relativeHeight="6">
            <wp:simplePos x="0" y="0"/>
            <wp:positionH relativeFrom="rightMargin">
              <wp:posOffset>0</wp:posOffset>
            </wp:positionH>
            <wp:positionV relativeFrom="paragraph">
              <wp:posOffset>-276225</wp:posOffset>
            </wp:positionV>
            <wp:extent cx="1047115" cy="101727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1" t="-11" r="-11" b="-11"/>
                    <a:stretch>
                      <a:fillRect/>
                    </a:stretch>
                  </pic:blipFill>
                  <pic:spPr bwMode="auto">
                    <a:xfrm>
                      <a:off x="0" y="0"/>
                      <a:ext cx="1047115" cy="1017270"/>
                    </a:xfrm>
                    <a:prstGeom prst="rect">
                      <a:avLst/>
                    </a:prstGeom>
                  </pic:spPr>
                </pic:pic>
              </a:graphicData>
            </a:graphic>
          </wp:anchor>
        </w:drawing>
      </w:r>
    </w:p>
    <w:p>
      <w:pPr>
        <w:pStyle w:val="NoSpacing"/>
        <w:rPr>
          <w:rFonts w:ascii="Arial" w:hAnsi="Arial" w:cs="Arial"/>
          <w:b/>
          <w:b/>
          <w:sz w:val="24"/>
          <w:szCs w:val="24"/>
        </w:rPr>
      </w:pPr>
      <w:r>
        <w:rPr>
          <w:rFonts w:cs="Arial" w:ascii="Arial" w:hAnsi="Arial"/>
          <w:b/>
          <w:sz w:val="24"/>
          <w:szCs w:val="24"/>
        </w:rPr>
      </w:r>
    </w:p>
    <w:p>
      <w:pPr>
        <w:pStyle w:val="NoSpacing"/>
        <w:jc w:val="center"/>
        <w:rPr>
          <w:rFonts w:ascii="Arial" w:hAnsi="Arial" w:cs="Arial"/>
          <w:b/>
          <w:b/>
          <w:sz w:val="24"/>
          <w:szCs w:val="24"/>
        </w:rPr>
      </w:pPr>
      <w:r>
        <w:rPr>
          <w:rFonts w:cs="Arial" w:ascii="Arial" w:hAnsi="Arial"/>
          <w:b/>
          <w:sz w:val="24"/>
          <w:szCs w:val="24"/>
        </w:rPr>
      </w:r>
    </w:p>
    <w:p>
      <w:pPr>
        <w:pStyle w:val="NoSpacing"/>
        <w:jc w:val="center"/>
        <w:rPr>
          <w:rFonts w:ascii="Arial" w:hAnsi="Arial" w:cs="Arial"/>
          <w:b/>
          <w:b/>
          <w:sz w:val="24"/>
          <w:szCs w:val="24"/>
        </w:rPr>
      </w:pPr>
      <w:r>
        <w:rPr>
          <w:rFonts w:cs="Arial" w:ascii="Arial" w:hAnsi="Arial"/>
          <w:b/>
          <w:sz w:val="24"/>
          <w:szCs w:val="24"/>
        </w:rPr>
        <w:t>Northern Education Trust – Job Description</w:t>
      </w:r>
    </w:p>
    <w:p>
      <w:pPr>
        <w:pStyle w:val="NoSpacing"/>
        <w:jc w:val="center"/>
        <w:rPr>
          <w:rFonts w:ascii="Arial" w:hAnsi="Arial" w:cs="Arial"/>
          <w:b/>
          <w:b/>
        </w:rPr>
      </w:pPr>
      <w:r>
        <w:rPr>
          <w:rFonts w:cs="Arial" w:ascii="Arial" w:hAnsi="Arial"/>
          <w:b/>
        </w:rPr>
      </w:r>
    </w:p>
    <w:tbl>
      <w:tblPr>
        <w:tblW w:w="9025" w:type="dxa"/>
        <w:jc w:val="left"/>
        <w:tblInd w:w="0" w:type="dxa"/>
        <w:tblCellMar>
          <w:top w:w="113" w:type="dxa"/>
          <w:left w:w="108" w:type="dxa"/>
          <w:bottom w:w="113" w:type="dxa"/>
          <w:right w:w="108" w:type="dxa"/>
        </w:tblCellMar>
      </w:tblPr>
      <w:tblGrid>
        <w:gridCol w:w="2688"/>
        <w:gridCol w:w="2617"/>
        <w:gridCol w:w="1210"/>
        <w:gridCol w:w="2510"/>
      </w:tblGrid>
      <w:tr>
        <w:trPr/>
        <w:tc>
          <w:tcPr>
            <w:tcW w:w="2688" w:type="dxa"/>
            <w:tcBorders>
              <w:top w:val="single" w:sz="4" w:space="0" w:color="000000"/>
              <w:left w:val="single" w:sz="4" w:space="0" w:color="000000"/>
              <w:bottom w:val="single" w:sz="4" w:space="0" w:color="000000"/>
            </w:tcBorders>
            <w:shd w:fill="F2F2F2" w:val="clear"/>
          </w:tcPr>
          <w:p>
            <w:pPr>
              <w:pStyle w:val="NoSpacing"/>
              <w:spacing w:lineRule="auto" w:line="240" w:before="0" w:after="0"/>
              <w:rPr>
                <w:rFonts w:ascii="Arial" w:hAnsi="Arial" w:cs="Arial"/>
                <w:b/>
                <w:b/>
              </w:rPr>
            </w:pPr>
            <w:r>
              <w:rPr>
                <w:rFonts w:cs="Arial" w:ascii="Arial" w:hAnsi="Arial"/>
                <w:b/>
              </w:rPr>
              <w:t>Job Title:</w:t>
            </w:r>
          </w:p>
        </w:tc>
        <w:tc>
          <w:tcPr>
            <w:tcW w:w="6337" w:type="dxa"/>
            <w:gridSpan w:val="3"/>
            <w:tcBorders>
              <w:top w:val="single" w:sz="4" w:space="0" w:color="000000"/>
              <w:left w:val="single" w:sz="4" w:space="0" w:color="000000"/>
              <w:bottom w:val="single" w:sz="4" w:space="0" w:color="000000"/>
              <w:right w:val="single" w:sz="4" w:space="0" w:color="000000"/>
            </w:tcBorders>
            <w:shd w:fill="F2F2F2" w:val="clear"/>
          </w:tcPr>
          <w:p>
            <w:pPr>
              <w:pStyle w:val="NoSpacing"/>
              <w:spacing w:lineRule="auto" w:line="240" w:before="0" w:after="0"/>
              <w:rPr>
                <w:rFonts w:ascii="Arial" w:hAnsi="Arial" w:cs="Arial"/>
              </w:rPr>
            </w:pPr>
            <w:r>
              <w:rPr>
                <w:rFonts w:cs="Arial" w:ascii="Arial" w:hAnsi="Arial"/>
              </w:rPr>
              <w:t>Teacher</w:t>
            </w:r>
          </w:p>
        </w:tc>
      </w:tr>
      <w:tr>
        <w:trPr/>
        <w:tc>
          <w:tcPr>
            <w:tcW w:w="2688" w:type="dxa"/>
            <w:tcBorders>
              <w:top w:val="single" w:sz="4" w:space="0" w:color="000000"/>
              <w:left w:val="single" w:sz="4" w:space="0" w:color="000000"/>
              <w:bottom w:val="single" w:sz="4" w:space="0" w:color="000000"/>
            </w:tcBorders>
            <w:shd w:fill="F2F2F2" w:val="clear"/>
          </w:tcPr>
          <w:p>
            <w:pPr>
              <w:pStyle w:val="NoSpacing"/>
              <w:spacing w:lineRule="auto" w:line="240" w:before="0" w:after="0"/>
              <w:rPr>
                <w:rFonts w:ascii="Arial" w:hAnsi="Arial" w:cs="Arial"/>
                <w:b/>
                <w:b/>
              </w:rPr>
            </w:pPr>
            <w:r>
              <w:rPr>
                <w:rFonts w:cs="Arial" w:ascii="Arial" w:hAnsi="Arial"/>
                <w:b/>
              </w:rPr>
              <w:t>Base:</w:t>
            </w:r>
          </w:p>
        </w:tc>
        <w:tc>
          <w:tcPr>
            <w:tcW w:w="6337" w:type="dxa"/>
            <w:gridSpan w:val="3"/>
            <w:tcBorders>
              <w:top w:val="single" w:sz="4" w:space="0" w:color="000000"/>
              <w:left w:val="single" w:sz="4" w:space="0" w:color="000000"/>
              <w:bottom w:val="single" w:sz="4" w:space="0" w:color="000000"/>
              <w:right w:val="single" w:sz="4" w:space="0" w:color="000000"/>
            </w:tcBorders>
            <w:shd w:fill="F2F2F2" w:val="clear"/>
          </w:tcPr>
          <w:p>
            <w:pPr>
              <w:pStyle w:val="NoSpacing"/>
              <w:spacing w:lineRule="auto" w:line="240" w:before="0" w:after="0"/>
              <w:rPr>
                <w:rFonts w:ascii="Arial" w:hAnsi="Arial" w:cs="Arial"/>
              </w:rPr>
            </w:pPr>
            <w:r>
              <w:rPr>
                <w:rFonts w:cs="Arial" w:ascii="Arial" w:hAnsi="Arial"/>
              </w:rPr>
              <w:t xml:space="preserve">Essa Primary Academy </w:t>
            </w:r>
          </w:p>
        </w:tc>
      </w:tr>
      <w:tr>
        <w:trPr/>
        <w:tc>
          <w:tcPr>
            <w:tcW w:w="2688" w:type="dxa"/>
            <w:tcBorders>
              <w:top w:val="single" w:sz="4" w:space="0" w:color="000000"/>
              <w:left w:val="single" w:sz="4" w:space="0" w:color="000000"/>
              <w:bottom w:val="single" w:sz="4" w:space="0" w:color="000000"/>
            </w:tcBorders>
            <w:shd w:fill="F2F2F2" w:val="clear"/>
          </w:tcPr>
          <w:p>
            <w:pPr>
              <w:pStyle w:val="NoSpacing"/>
              <w:spacing w:lineRule="auto" w:line="240" w:before="0" w:after="0"/>
              <w:rPr>
                <w:rFonts w:ascii="Arial" w:hAnsi="Arial" w:cs="Arial"/>
                <w:b/>
                <w:b/>
              </w:rPr>
            </w:pPr>
            <w:r>
              <w:rPr>
                <w:rFonts w:cs="Arial" w:ascii="Arial" w:hAnsi="Arial"/>
                <w:b/>
              </w:rPr>
              <w:t>Reports to:</w:t>
            </w:r>
          </w:p>
        </w:tc>
        <w:tc>
          <w:tcPr>
            <w:tcW w:w="2617" w:type="dxa"/>
            <w:tcBorders>
              <w:top w:val="single" w:sz="4" w:space="0" w:color="000000"/>
              <w:left w:val="single" w:sz="4" w:space="0" w:color="000000"/>
              <w:bottom w:val="single" w:sz="4" w:space="0" w:color="000000"/>
            </w:tcBorders>
            <w:shd w:fill="F2F2F2" w:val="clear"/>
          </w:tcPr>
          <w:p>
            <w:pPr>
              <w:pStyle w:val="NoSpacing"/>
              <w:spacing w:lineRule="auto" w:line="240" w:before="0" w:after="0"/>
              <w:rPr>
                <w:rFonts w:ascii="Arial" w:hAnsi="Arial" w:cs="Arial"/>
              </w:rPr>
            </w:pPr>
            <w:r>
              <w:rPr>
                <w:rFonts w:cs="Arial" w:ascii="Arial" w:hAnsi="Arial"/>
              </w:rPr>
              <w:t>Principal</w:t>
            </w:r>
          </w:p>
        </w:tc>
        <w:tc>
          <w:tcPr>
            <w:tcW w:w="1210" w:type="dxa"/>
            <w:tcBorders>
              <w:top w:val="single" w:sz="4" w:space="0" w:color="000000"/>
              <w:left w:val="single" w:sz="4" w:space="0" w:color="000000"/>
              <w:bottom w:val="single" w:sz="4" w:space="0" w:color="000000"/>
            </w:tcBorders>
            <w:shd w:fill="F2F2F2" w:val="clear"/>
          </w:tcPr>
          <w:p>
            <w:pPr>
              <w:pStyle w:val="NoSpacing"/>
              <w:spacing w:lineRule="auto" w:line="240" w:before="0" w:after="0"/>
              <w:rPr>
                <w:rFonts w:ascii="Arial" w:hAnsi="Arial" w:cs="Arial"/>
                <w:b/>
                <w:b/>
              </w:rPr>
            </w:pPr>
            <w:r>
              <w:rPr>
                <w:rFonts w:cs="Arial" w:ascii="Arial" w:hAnsi="Arial"/>
                <w:b/>
              </w:rPr>
              <w:t>Grade:</w:t>
            </w:r>
          </w:p>
        </w:tc>
        <w:tc>
          <w:tcPr>
            <w:tcW w:w="2510" w:type="dxa"/>
            <w:tcBorders>
              <w:top w:val="single" w:sz="4" w:space="0" w:color="000000"/>
              <w:left w:val="single" w:sz="4" w:space="0" w:color="000000"/>
              <w:bottom w:val="single" w:sz="4" w:space="0" w:color="000000"/>
              <w:right w:val="single" w:sz="4" w:space="0" w:color="000000"/>
            </w:tcBorders>
            <w:shd w:fill="F2F2F2" w:val="clear"/>
          </w:tcPr>
          <w:p>
            <w:pPr>
              <w:pStyle w:val="NoSpacing"/>
              <w:spacing w:lineRule="auto" w:line="240" w:before="0" w:after="0"/>
              <w:rPr>
                <w:rFonts w:ascii="Arial" w:hAnsi="Arial" w:cs="Arial"/>
              </w:rPr>
            </w:pPr>
            <w:r>
              <w:rPr>
                <w:rFonts w:cs="Arial" w:ascii="Arial" w:hAnsi="Arial"/>
              </w:rPr>
              <w:t>MPS1 – UPS3</w:t>
            </w:r>
          </w:p>
        </w:tc>
      </w:tr>
      <w:tr>
        <w:trPr/>
        <w:tc>
          <w:tcPr>
            <w:tcW w:w="2688" w:type="dxa"/>
            <w:tcBorders>
              <w:top w:val="single" w:sz="4" w:space="0" w:color="000000"/>
              <w:left w:val="single" w:sz="4" w:space="0" w:color="000000"/>
              <w:bottom w:val="single" w:sz="4" w:space="0" w:color="000000"/>
            </w:tcBorders>
            <w:shd w:fill="F2F2F2" w:val="clear"/>
          </w:tcPr>
          <w:p>
            <w:pPr>
              <w:pStyle w:val="NoSpacing"/>
              <w:spacing w:lineRule="auto" w:line="240" w:before="0" w:after="0"/>
              <w:rPr>
                <w:rFonts w:ascii="Arial" w:hAnsi="Arial" w:cs="Arial"/>
                <w:b/>
                <w:b/>
              </w:rPr>
            </w:pPr>
            <w:r>
              <w:rPr>
                <w:rFonts w:cs="Arial" w:ascii="Arial" w:hAnsi="Arial"/>
                <w:b/>
              </w:rPr>
              <w:t>Service responsibility:</w:t>
            </w:r>
          </w:p>
        </w:tc>
        <w:tc>
          <w:tcPr>
            <w:tcW w:w="2617" w:type="dxa"/>
            <w:tcBorders>
              <w:top w:val="single" w:sz="4" w:space="0" w:color="000000"/>
              <w:left w:val="single" w:sz="4" w:space="0" w:color="000000"/>
              <w:bottom w:val="single" w:sz="4" w:space="0" w:color="000000"/>
            </w:tcBorders>
            <w:shd w:fill="F2F2F2" w:val="clear"/>
          </w:tcPr>
          <w:p>
            <w:pPr>
              <w:pStyle w:val="NoSpacing"/>
              <w:snapToGrid w:val="false"/>
              <w:spacing w:lineRule="auto" w:line="240" w:before="0" w:after="0"/>
              <w:rPr>
                <w:rFonts w:ascii="Arial" w:hAnsi="Arial" w:cs="Arial"/>
              </w:rPr>
            </w:pPr>
            <w:r>
              <w:rPr>
                <w:rFonts w:cs="Arial" w:ascii="Arial" w:hAnsi="Arial"/>
              </w:rPr>
            </w:r>
          </w:p>
        </w:tc>
        <w:tc>
          <w:tcPr>
            <w:tcW w:w="1210" w:type="dxa"/>
            <w:tcBorders>
              <w:top w:val="single" w:sz="4" w:space="0" w:color="000000"/>
              <w:left w:val="single" w:sz="4" w:space="0" w:color="000000"/>
              <w:bottom w:val="single" w:sz="4" w:space="0" w:color="000000"/>
            </w:tcBorders>
            <w:shd w:fill="F2F2F2" w:val="clear"/>
          </w:tcPr>
          <w:p>
            <w:pPr>
              <w:pStyle w:val="NoSpacing"/>
              <w:spacing w:lineRule="auto" w:line="240" w:before="0" w:after="0"/>
              <w:rPr>
                <w:rFonts w:ascii="Arial" w:hAnsi="Arial" w:cs="Arial"/>
                <w:b/>
                <w:b/>
              </w:rPr>
            </w:pPr>
            <w:r>
              <w:rPr>
                <w:rFonts w:cs="Arial" w:ascii="Arial" w:hAnsi="Arial"/>
                <w:b/>
              </w:rPr>
              <w:t>Salary:</w:t>
            </w:r>
          </w:p>
        </w:tc>
        <w:tc>
          <w:tcPr>
            <w:tcW w:w="2510" w:type="dxa"/>
            <w:tcBorders>
              <w:top w:val="single" w:sz="4" w:space="0" w:color="000000"/>
              <w:left w:val="single" w:sz="4" w:space="0" w:color="000000"/>
              <w:bottom w:val="single" w:sz="4" w:space="0" w:color="000000"/>
              <w:right w:val="single" w:sz="4" w:space="0" w:color="000000"/>
            </w:tcBorders>
            <w:shd w:fill="F2F2F2" w:val="clear"/>
          </w:tcPr>
          <w:p>
            <w:pPr>
              <w:pStyle w:val="NoSpacing"/>
              <w:spacing w:lineRule="auto" w:line="240" w:before="0" w:after="0"/>
              <w:rPr>
                <w:rFonts w:ascii="Arial" w:hAnsi="Arial" w:cs="Arial"/>
              </w:rPr>
            </w:pPr>
            <w:r>
              <w:rPr>
                <w:rFonts w:cs="Arial" w:ascii="Arial" w:hAnsi="Arial"/>
              </w:rPr>
              <w:t>£32,916 - £51,048 FTE</w:t>
            </w:r>
          </w:p>
        </w:tc>
      </w:tr>
      <w:tr>
        <w:trPr/>
        <w:tc>
          <w:tcPr>
            <w:tcW w:w="2688" w:type="dxa"/>
            <w:tcBorders>
              <w:top w:val="single" w:sz="4" w:space="0" w:color="000000"/>
              <w:left w:val="single" w:sz="4" w:space="0" w:color="000000"/>
              <w:bottom w:val="single" w:sz="4" w:space="0" w:color="000000"/>
            </w:tcBorders>
            <w:shd w:fill="F2F2F2" w:val="clear"/>
          </w:tcPr>
          <w:p>
            <w:pPr>
              <w:pStyle w:val="NoSpacing"/>
              <w:spacing w:lineRule="auto" w:line="240" w:before="0" w:after="0"/>
              <w:rPr>
                <w:rFonts w:ascii="Arial" w:hAnsi="Arial" w:cs="Arial"/>
                <w:b/>
                <w:b/>
              </w:rPr>
            </w:pPr>
            <w:r>
              <w:rPr>
                <w:rFonts w:cs="Arial" w:ascii="Arial" w:hAnsi="Arial"/>
                <w:b/>
              </w:rPr>
              <w:t>Additional:</w:t>
            </w:r>
          </w:p>
        </w:tc>
        <w:tc>
          <w:tcPr>
            <w:tcW w:w="2617" w:type="dxa"/>
            <w:tcBorders>
              <w:top w:val="single" w:sz="4" w:space="0" w:color="000000"/>
              <w:left w:val="single" w:sz="4" w:space="0" w:color="000000"/>
              <w:bottom w:val="single" w:sz="4" w:space="0" w:color="000000"/>
            </w:tcBorders>
            <w:shd w:fill="F2F2F2" w:val="clear"/>
          </w:tcPr>
          <w:p>
            <w:pPr>
              <w:pStyle w:val="NoSpacing"/>
              <w:spacing w:lineRule="auto" w:line="240" w:before="0" w:after="0"/>
              <w:rPr>
                <w:rFonts w:ascii="Arial" w:hAnsi="Arial" w:cs="Arial"/>
              </w:rPr>
            </w:pPr>
            <w:r>
              <w:rPr>
                <w:rFonts w:cs="Arial" w:ascii="Arial" w:hAnsi="Arial"/>
              </w:rPr>
              <w:t>Some travel may be required across NET sites.</w:t>
            </w:r>
          </w:p>
        </w:tc>
        <w:tc>
          <w:tcPr>
            <w:tcW w:w="1210" w:type="dxa"/>
            <w:tcBorders>
              <w:top w:val="single" w:sz="4" w:space="0" w:color="000000"/>
              <w:left w:val="single" w:sz="4" w:space="0" w:color="000000"/>
              <w:bottom w:val="single" w:sz="4" w:space="0" w:color="000000"/>
            </w:tcBorders>
            <w:shd w:fill="F2F2F2" w:val="clear"/>
          </w:tcPr>
          <w:p>
            <w:pPr>
              <w:pStyle w:val="NoSpacing"/>
              <w:spacing w:lineRule="auto" w:line="240" w:before="0" w:after="0"/>
              <w:rPr>
                <w:rFonts w:ascii="Arial" w:hAnsi="Arial" w:cs="Arial"/>
                <w:b/>
                <w:b/>
              </w:rPr>
            </w:pPr>
            <w:r>
              <w:rPr>
                <w:rFonts w:cs="Arial" w:ascii="Arial" w:hAnsi="Arial"/>
                <w:b/>
              </w:rPr>
              <w:t>Term:</w:t>
            </w:r>
          </w:p>
        </w:tc>
        <w:tc>
          <w:tcPr>
            <w:tcW w:w="2510" w:type="dxa"/>
            <w:tcBorders>
              <w:top w:val="single" w:sz="4" w:space="0" w:color="000000"/>
              <w:left w:val="single" w:sz="4" w:space="0" w:color="000000"/>
              <w:bottom w:val="single" w:sz="4" w:space="0" w:color="000000"/>
              <w:right w:val="single" w:sz="4" w:space="0" w:color="000000"/>
            </w:tcBorders>
            <w:shd w:fill="F2F2F2" w:val="clear"/>
          </w:tcPr>
          <w:p>
            <w:pPr>
              <w:pStyle w:val="NoSpacing"/>
              <w:spacing w:lineRule="auto" w:line="240" w:before="0" w:after="0"/>
              <w:rPr>
                <w:rFonts w:ascii="Arial" w:hAnsi="Arial" w:cs="Arial"/>
              </w:rPr>
            </w:pPr>
            <w:r>
              <w:rPr>
                <w:rFonts w:cs="Arial" w:ascii="Arial" w:hAnsi="Arial"/>
              </w:rPr>
              <w:t>Whole Time</w:t>
            </w:r>
          </w:p>
        </w:tc>
      </w:tr>
    </w:tbl>
    <w:p>
      <w:pPr>
        <w:pStyle w:val="NoSpacing"/>
        <w:jc w:val="center"/>
        <w:rPr>
          <w:rFonts w:ascii="Arial" w:hAnsi="Arial" w:cs="Arial"/>
          <w:b/>
          <w:b/>
        </w:rPr>
      </w:pPr>
      <w:r>
        <w:rPr>
          <w:rFonts w:cs="Arial" w:ascii="Arial" w:hAnsi="Arial"/>
          <w:b/>
        </w:rPr>
      </w:r>
    </w:p>
    <w:p>
      <w:pPr>
        <w:pStyle w:val="NoSpacing"/>
        <w:rPr>
          <w:rFonts w:ascii="Arial" w:hAnsi="Arial" w:cs="Arial"/>
          <w:b/>
          <w:b/>
        </w:rPr>
      </w:pPr>
      <w:r>
        <w:rPr>
          <w:rFonts w:cs="Arial" w:ascii="Arial" w:hAnsi="Arial"/>
          <w:b/>
        </w:rPr>
        <w:t>JOB PURPOSE</w:t>
      </w:r>
    </w:p>
    <w:p>
      <w:pPr>
        <w:pStyle w:val="NoSpacing"/>
        <w:numPr>
          <w:ilvl w:val="0"/>
          <w:numId w:val="10"/>
        </w:numPr>
        <w:jc w:val="both"/>
        <w:rPr>
          <w:rFonts w:ascii="Arial" w:hAnsi="Arial" w:cs="Arial"/>
        </w:rPr>
      </w:pPr>
      <w:r>
        <w:rPr>
          <w:rFonts w:cs="Arial" w:ascii="Arial" w:hAnsi="Arial"/>
        </w:rPr>
        <w:t>The generic teachers’ job description applies to all teachers regardless the stage of their career</w:t>
      </w:r>
    </w:p>
    <w:p>
      <w:pPr>
        <w:pStyle w:val="NoSpacing"/>
        <w:numPr>
          <w:ilvl w:val="0"/>
          <w:numId w:val="10"/>
        </w:numPr>
        <w:jc w:val="both"/>
        <w:rPr>
          <w:rFonts w:ascii="Arial" w:hAnsi="Arial" w:cs="Arial"/>
        </w:rPr>
      </w:pPr>
      <w:r>
        <w:rPr>
          <w:rFonts w:cs="Arial" w:ascii="Arial" w:hAnsi="Arial"/>
        </w:rPr>
        <w:t>As a teachers’ career progresses they are expected to extend the depth and breadth of knowledge, skill and understanding as is judged to be appropriate to the role they are fulfilling and the context within which they are working</w:t>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sz w:val="22"/>
          <w:szCs w:val="22"/>
        </w:rPr>
      </w:pPr>
      <w:r>
        <w:rPr>
          <w:rFonts w:cs="Arial" w:ascii="Arial" w:hAnsi="Arial"/>
          <w:sz w:val="22"/>
          <w:szCs w:val="22"/>
        </w:rPr>
        <w:t>NET expects all teachers to demonstrate that their practice is consistent with the Teaching Standards.</w:t>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b/>
          <w:b/>
          <w:sz w:val="22"/>
          <w:szCs w:val="22"/>
        </w:rPr>
      </w:pPr>
      <w:r>
        <w:rPr>
          <w:rFonts w:cs="Arial" w:ascii="Arial" w:hAnsi="Arial"/>
          <w:b/>
          <w:sz w:val="22"/>
          <w:szCs w:val="22"/>
        </w:rPr>
        <w:t>Responsibilities</w:t>
      </w:r>
    </w:p>
    <w:p>
      <w:pPr>
        <w:pStyle w:val="Normal"/>
        <w:rPr>
          <w:rFonts w:ascii="Arial" w:hAnsi="Arial" w:cs="Arial"/>
          <w:sz w:val="22"/>
          <w:szCs w:val="22"/>
        </w:rPr>
      </w:pPr>
      <w:r>
        <w:rPr>
          <w:rFonts w:cs="Arial" w:ascii="Arial" w:hAnsi="Arial"/>
          <w:sz w:val="22"/>
          <w:szCs w:val="22"/>
        </w:rPr>
        <w:t>The duties outlined in this job description may be modified by the Principal or Governors, with your agreement, to reflect or anticipate changes in the job commensurate with the salary and will be reviewed annually as part of the Appraisal process</w:t>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sz w:val="22"/>
          <w:szCs w:val="22"/>
        </w:rPr>
      </w:pPr>
      <w:r>
        <w:rPr>
          <w:rFonts w:cs="Arial" w:ascii="Arial" w:hAnsi="Arial"/>
          <w:sz w:val="22"/>
          <w:szCs w:val="22"/>
        </w:rPr>
        <w:t>The appointment of a Teacher is subject to the current conditions of employment for teachers contained in:</w:t>
      </w:r>
    </w:p>
    <w:p>
      <w:pPr>
        <w:pStyle w:val="Normal"/>
        <w:rPr>
          <w:rFonts w:ascii="Arial" w:hAnsi="Arial" w:cs="Arial"/>
          <w:b/>
          <w:b/>
          <w:sz w:val="22"/>
          <w:szCs w:val="22"/>
        </w:rPr>
      </w:pPr>
      <w:r>
        <w:rPr>
          <w:rFonts w:cs="Arial" w:ascii="Arial" w:hAnsi="Arial"/>
          <w:b/>
          <w:sz w:val="22"/>
          <w:szCs w:val="22"/>
        </w:rPr>
      </w:r>
    </w:p>
    <w:p>
      <w:pPr>
        <w:pStyle w:val="Normal"/>
        <w:numPr>
          <w:ilvl w:val="0"/>
          <w:numId w:val="3"/>
        </w:numPr>
        <w:tabs>
          <w:tab w:val="clear" w:pos="720"/>
          <w:tab w:val="left" w:pos="426" w:leader="none"/>
        </w:tabs>
        <w:spacing w:lineRule="auto" w:line="276"/>
        <w:ind w:left="993" w:right="0" w:hanging="426"/>
        <w:rPr>
          <w:rFonts w:ascii="Arial" w:hAnsi="Arial" w:cs="Arial"/>
          <w:sz w:val="22"/>
          <w:szCs w:val="22"/>
        </w:rPr>
      </w:pPr>
      <w:r>
        <w:rPr>
          <w:rFonts w:cs="Arial" w:ascii="Arial" w:hAnsi="Arial"/>
          <w:sz w:val="22"/>
          <w:szCs w:val="22"/>
        </w:rPr>
        <w:t>The School Teachers’ Pay and Conditions Document (STCPD)</w:t>
      </w:r>
    </w:p>
    <w:p>
      <w:pPr>
        <w:pStyle w:val="Normal"/>
        <w:numPr>
          <w:ilvl w:val="0"/>
          <w:numId w:val="3"/>
        </w:numPr>
        <w:tabs>
          <w:tab w:val="clear" w:pos="720"/>
          <w:tab w:val="left" w:pos="426" w:leader="none"/>
        </w:tabs>
        <w:spacing w:lineRule="auto" w:line="276"/>
        <w:ind w:left="993" w:right="0" w:hanging="426"/>
        <w:rPr>
          <w:rFonts w:ascii="Arial" w:hAnsi="Arial" w:cs="Arial"/>
          <w:sz w:val="22"/>
          <w:szCs w:val="22"/>
        </w:rPr>
      </w:pPr>
      <w:r>
        <w:rPr>
          <w:rFonts w:cs="Arial" w:ascii="Arial" w:hAnsi="Arial"/>
          <w:sz w:val="22"/>
          <w:szCs w:val="22"/>
        </w:rPr>
        <w:t>the required Standards for Qualified Teacher status</w:t>
      </w:r>
    </w:p>
    <w:p>
      <w:pPr>
        <w:pStyle w:val="Normal"/>
        <w:numPr>
          <w:ilvl w:val="0"/>
          <w:numId w:val="3"/>
        </w:numPr>
        <w:tabs>
          <w:tab w:val="clear" w:pos="720"/>
          <w:tab w:val="left" w:pos="426" w:leader="none"/>
        </w:tabs>
        <w:spacing w:lineRule="auto" w:line="276"/>
        <w:ind w:left="993" w:right="0" w:hanging="426"/>
        <w:rPr>
          <w:rFonts w:ascii="Arial" w:hAnsi="Arial" w:cs="Arial"/>
          <w:sz w:val="22"/>
          <w:szCs w:val="22"/>
        </w:rPr>
      </w:pPr>
      <w:r>
        <w:rPr>
          <w:rFonts w:cs="Arial" w:ascii="Arial" w:hAnsi="Arial"/>
          <w:sz w:val="22"/>
          <w:szCs w:val="22"/>
        </w:rPr>
        <w:t>other current and relevant legislation</w:t>
      </w:r>
    </w:p>
    <w:p>
      <w:pPr>
        <w:pStyle w:val="NoSpacing"/>
        <w:jc w:val="center"/>
        <w:rPr>
          <w:rFonts w:ascii="Arial" w:hAnsi="Arial" w:cs="Arial"/>
          <w:b/>
          <w:b/>
        </w:rPr>
      </w:pPr>
      <w:r>
        <w:rPr>
          <w:rFonts w:cs="Arial" w:ascii="Arial" w:hAnsi="Arial"/>
          <w:b/>
        </w:rPr>
      </w:r>
    </w:p>
    <w:p>
      <w:pPr>
        <w:pStyle w:val="Normal"/>
        <w:rPr>
          <w:rFonts w:ascii="Arial" w:hAnsi="Arial" w:cs="Arial"/>
          <w:b/>
          <w:b/>
          <w:sz w:val="22"/>
          <w:szCs w:val="22"/>
        </w:rPr>
      </w:pPr>
      <w:r>
        <w:rPr>
          <w:rFonts w:cs="Arial" w:ascii="Arial" w:hAnsi="Arial"/>
          <w:b/>
          <w:sz w:val="22"/>
          <w:szCs w:val="22"/>
        </w:rPr>
        <w:t>Teachers Role</w:t>
      </w:r>
    </w:p>
    <w:p>
      <w:pPr>
        <w:pStyle w:val="ListParagraph"/>
        <w:numPr>
          <w:ilvl w:val="0"/>
          <w:numId w:val="4"/>
        </w:numPr>
        <w:spacing w:lineRule="auto" w:line="276"/>
        <w:ind w:left="426" w:right="0" w:hanging="426"/>
        <w:rPr/>
      </w:pPr>
      <w:r>
        <w:rPr>
          <w:rFonts w:eastAsia="Arial" w:cs="Arial" w:ascii="Arial" w:hAnsi="Arial"/>
          <w:b/>
          <w:sz w:val="22"/>
          <w:szCs w:val="22"/>
        </w:rPr>
        <w:t xml:space="preserve"> </w:t>
      </w:r>
      <w:r>
        <w:rPr>
          <w:rFonts w:cs="Arial" w:ascii="Arial" w:hAnsi="Arial"/>
          <w:b/>
          <w:sz w:val="22"/>
          <w:szCs w:val="22"/>
        </w:rPr>
        <w:t xml:space="preserve">Set High Expectations Which Inspire, Motivate and Challenge Pupils </w:t>
      </w:r>
    </w:p>
    <w:p>
      <w:pPr>
        <w:pStyle w:val="ListParagraph"/>
        <w:numPr>
          <w:ilvl w:val="0"/>
          <w:numId w:val="5"/>
        </w:numPr>
        <w:ind w:left="993" w:right="0" w:hanging="426"/>
        <w:rPr>
          <w:rFonts w:ascii="Arial" w:hAnsi="Arial" w:cs="Arial"/>
          <w:sz w:val="22"/>
          <w:szCs w:val="22"/>
        </w:rPr>
      </w:pPr>
      <w:r>
        <w:rPr>
          <w:rFonts w:cs="Arial" w:ascii="Arial" w:hAnsi="Arial"/>
          <w:sz w:val="22"/>
          <w:szCs w:val="22"/>
        </w:rPr>
        <w:t xml:space="preserve">establish a safe and stimulating environment for pupils, rooted in mutual respect </w:t>
      </w:r>
    </w:p>
    <w:p>
      <w:pPr>
        <w:pStyle w:val="ListParagraph"/>
        <w:numPr>
          <w:ilvl w:val="0"/>
          <w:numId w:val="5"/>
        </w:numPr>
        <w:ind w:left="993" w:right="0" w:hanging="426"/>
        <w:rPr>
          <w:rFonts w:ascii="Arial" w:hAnsi="Arial" w:cs="Arial"/>
          <w:sz w:val="22"/>
          <w:szCs w:val="22"/>
        </w:rPr>
      </w:pPr>
      <w:r>
        <w:rPr>
          <w:rFonts w:cs="Arial" w:ascii="Arial" w:hAnsi="Arial"/>
          <w:sz w:val="22"/>
          <w:szCs w:val="22"/>
        </w:rPr>
        <w:t xml:space="preserve">set goals that stretch and challenge pupils of all backgrounds, abilities and dispositions </w:t>
      </w:r>
    </w:p>
    <w:p>
      <w:pPr>
        <w:pStyle w:val="ListParagraph"/>
        <w:numPr>
          <w:ilvl w:val="0"/>
          <w:numId w:val="5"/>
        </w:numPr>
        <w:ind w:left="993" w:right="0" w:hanging="426"/>
        <w:rPr>
          <w:rFonts w:ascii="Arial" w:hAnsi="Arial" w:cs="Arial"/>
          <w:sz w:val="22"/>
          <w:szCs w:val="22"/>
        </w:rPr>
      </w:pPr>
      <w:r>
        <w:rPr>
          <w:rFonts w:cs="Arial" w:ascii="Arial" w:hAnsi="Arial"/>
          <w:sz w:val="22"/>
          <w:szCs w:val="22"/>
        </w:rPr>
        <w:t>demonstrate consistently the positive attitudes, values and behaviour which are expected of pupils</w:t>
      </w:r>
    </w:p>
    <w:p>
      <w:pPr>
        <w:pStyle w:val="ListParagraph"/>
        <w:ind w:left="993" w:right="0" w:hanging="0"/>
        <w:rPr>
          <w:rFonts w:ascii="Arial" w:hAnsi="Arial" w:eastAsia="Arial" w:cs="Arial"/>
          <w:sz w:val="22"/>
          <w:szCs w:val="22"/>
        </w:rPr>
      </w:pPr>
      <w:r>
        <w:rPr>
          <w:rFonts w:eastAsia="Arial" w:cs="Arial" w:ascii="Arial" w:hAnsi="Arial"/>
          <w:sz w:val="22"/>
          <w:szCs w:val="22"/>
        </w:rPr>
        <w:t xml:space="preserve"> </w:t>
      </w:r>
    </w:p>
    <w:p>
      <w:pPr>
        <w:pStyle w:val="Normal"/>
        <w:tabs>
          <w:tab w:val="clear" w:pos="720"/>
          <w:tab w:val="left" w:pos="518" w:leader="none"/>
        </w:tabs>
        <w:spacing w:lineRule="auto" w:line="276"/>
        <w:rPr>
          <w:rFonts w:ascii="Arial" w:hAnsi="Arial" w:cs="Arial"/>
          <w:b/>
          <w:b/>
          <w:sz w:val="22"/>
          <w:szCs w:val="22"/>
        </w:rPr>
      </w:pPr>
      <w:r>
        <w:rPr>
          <w:rFonts w:cs="Arial" w:ascii="Arial" w:hAnsi="Arial"/>
          <w:b/>
          <w:sz w:val="22"/>
          <w:szCs w:val="22"/>
        </w:rPr>
        <w:t xml:space="preserve">2 </w:t>
        <w:tab/>
        <w:t xml:space="preserve">Promote Good Progress and Outcomes by Pupils </w:t>
      </w:r>
    </w:p>
    <w:p>
      <w:pPr>
        <w:pStyle w:val="ListParagraph"/>
        <w:numPr>
          <w:ilvl w:val="0"/>
          <w:numId w:val="6"/>
        </w:numPr>
        <w:rPr>
          <w:rFonts w:ascii="Arial" w:hAnsi="Arial" w:cs="Arial"/>
          <w:sz w:val="22"/>
          <w:szCs w:val="22"/>
        </w:rPr>
      </w:pPr>
      <w:r>
        <w:rPr>
          <w:rFonts w:cs="Arial" w:ascii="Arial" w:hAnsi="Arial"/>
          <w:sz w:val="22"/>
          <w:szCs w:val="22"/>
        </w:rPr>
        <w:t xml:space="preserve">be accountable for pupils’ attainment, progress and outcomes </w:t>
      </w:r>
    </w:p>
    <w:p>
      <w:pPr>
        <w:pStyle w:val="ListParagraph"/>
        <w:numPr>
          <w:ilvl w:val="0"/>
          <w:numId w:val="6"/>
        </w:numPr>
        <w:rPr>
          <w:rFonts w:ascii="Arial" w:hAnsi="Arial" w:cs="Arial"/>
          <w:sz w:val="22"/>
          <w:szCs w:val="22"/>
        </w:rPr>
      </w:pPr>
      <w:r>
        <w:rPr>
          <w:rFonts w:cs="Arial" w:ascii="Arial" w:hAnsi="Arial"/>
          <w:sz w:val="22"/>
          <w:szCs w:val="22"/>
        </w:rPr>
        <w:t xml:space="preserve">be aware of pupils’ capabilities and their prior knowledge, and plan teaching to build on these </w:t>
      </w:r>
    </w:p>
    <w:p>
      <w:pPr>
        <w:pStyle w:val="ListParagraph"/>
        <w:numPr>
          <w:ilvl w:val="0"/>
          <w:numId w:val="6"/>
        </w:numPr>
        <w:rPr>
          <w:rFonts w:ascii="Arial" w:hAnsi="Arial" w:cs="Arial"/>
          <w:sz w:val="22"/>
          <w:szCs w:val="22"/>
        </w:rPr>
      </w:pPr>
      <w:r>
        <w:rPr>
          <w:rFonts w:cs="Arial" w:ascii="Arial" w:hAnsi="Arial"/>
          <w:sz w:val="22"/>
          <w:szCs w:val="22"/>
        </w:rPr>
        <w:t xml:space="preserve">guide pupils to reflect on the progress they have made and their emerging needs </w:t>
      </w:r>
    </w:p>
    <w:p>
      <w:pPr>
        <w:pStyle w:val="ListParagraph"/>
        <w:numPr>
          <w:ilvl w:val="0"/>
          <w:numId w:val="6"/>
        </w:numPr>
        <w:rPr>
          <w:rFonts w:ascii="Arial" w:hAnsi="Arial" w:cs="Arial"/>
          <w:sz w:val="22"/>
          <w:szCs w:val="22"/>
        </w:rPr>
      </w:pPr>
      <w:r>
        <w:rPr>
          <w:rFonts w:cs="Arial" w:ascii="Arial" w:hAnsi="Arial"/>
          <w:sz w:val="22"/>
          <w:szCs w:val="22"/>
        </w:rPr>
        <w:t xml:space="preserve">demonstrate knowledge and understanding of how pupils learn and how this impacts on teaching </w:t>
      </w:r>
    </w:p>
    <w:p>
      <w:pPr>
        <w:pStyle w:val="ListParagraph"/>
        <w:numPr>
          <w:ilvl w:val="0"/>
          <w:numId w:val="6"/>
        </w:numPr>
        <w:rPr>
          <w:rFonts w:ascii="Arial" w:hAnsi="Arial" w:cs="Arial"/>
          <w:sz w:val="22"/>
          <w:szCs w:val="22"/>
        </w:rPr>
      </w:pPr>
      <w:r>
        <w:rPr>
          <w:rFonts w:cs="Arial" w:ascii="Arial" w:hAnsi="Arial"/>
          <w:sz w:val="22"/>
          <w:szCs w:val="22"/>
        </w:rPr>
        <w:t xml:space="preserve">encourage pupils to take a responsible and conscientious attitude to their own work and study </w:t>
      </w:r>
    </w:p>
    <w:p>
      <w:pPr>
        <w:pStyle w:val="Normal"/>
        <w:rPr>
          <w:rFonts w:ascii="Arial" w:hAnsi="Arial" w:cs="Arial"/>
          <w:b/>
          <w:b/>
          <w:bCs/>
          <w:sz w:val="22"/>
          <w:szCs w:val="22"/>
        </w:rPr>
      </w:pPr>
      <w:r>
        <w:rPr>
          <w:rFonts w:cs="Arial" w:ascii="Arial" w:hAnsi="Arial"/>
          <w:b/>
          <w:bCs/>
          <w:sz w:val="22"/>
          <w:szCs w:val="22"/>
        </w:rPr>
      </w:r>
    </w:p>
    <w:p>
      <w:pPr>
        <w:pStyle w:val="Normal"/>
        <w:tabs>
          <w:tab w:val="clear" w:pos="720"/>
          <w:tab w:val="left" w:pos="567" w:leader="none"/>
        </w:tabs>
        <w:spacing w:lineRule="auto" w:line="276"/>
        <w:rPr>
          <w:rFonts w:ascii="Arial" w:hAnsi="Arial" w:cs="Arial"/>
          <w:b/>
          <w:b/>
          <w:sz w:val="22"/>
          <w:szCs w:val="22"/>
        </w:rPr>
      </w:pPr>
      <w:r>
        <w:rPr>
          <w:rFonts w:cs="Arial" w:ascii="Arial" w:hAnsi="Arial"/>
          <w:b/>
          <w:sz w:val="22"/>
          <w:szCs w:val="22"/>
        </w:rPr>
        <w:t xml:space="preserve">3 </w:t>
        <w:tab/>
        <w:t xml:space="preserve">Demonstrate Good Subject and Curriculum Knowledge </w:t>
      </w:r>
    </w:p>
    <w:p>
      <w:pPr>
        <w:pStyle w:val="ListParagraph"/>
        <w:numPr>
          <w:ilvl w:val="0"/>
          <w:numId w:val="6"/>
        </w:numPr>
        <w:rPr>
          <w:rFonts w:ascii="Arial" w:hAnsi="Arial" w:cs="Arial"/>
          <w:sz w:val="22"/>
          <w:szCs w:val="22"/>
        </w:rPr>
      </w:pPr>
      <w:r>
        <w:rPr>
          <w:rFonts w:cs="Arial" w:ascii="Arial" w:hAnsi="Arial"/>
          <w:sz w:val="22"/>
          <w:szCs w:val="22"/>
        </w:rPr>
        <w:t xml:space="preserve">have a secure knowledge of the relevant subject(s) and curriculum areas, foster and maintain pupils’ interest in the subject, and address misunderstandings </w:t>
      </w:r>
    </w:p>
    <w:p>
      <w:pPr>
        <w:pStyle w:val="ListParagraph"/>
        <w:numPr>
          <w:ilvl w:val="0"/>
          <w:numId w:val="6"/>
        </w:numPr>
        <w:rPr>
          <w:rFonts w:ascii="Arial" w:hAnsi="Arial" w:cs="Arial"/>
          <w:sz w:val="22"/>
          <w:szCs w:val="22"/>
        </w:rPr>
      </w:pPr>
      <w:r>
        <w:rPr>
          <w:rFonts w:cs="Arial" w:ascii="Arial" w:hAnsi="Arial"/>
          <w:sz w:val="22"/>
          <w:szCs w:val="22"/>
        </w:rPr>
        <w:t xml:space="preserve">demonstrate a critical understanding of developments in the subject and curriculum areas, and promote the value of scholarship </w:t>
      </w:r>
    </w:p>
    <w:p>
      <w:pPr>
        <w:pStyle w:val="ListParagraph"/>
        <w:numPr>
          <w:ilvl w:val="0"/>
          <w:numId w:val="6"/>
        </w:numPr>
        <w:rPr>
          <w:rFonts w:ascii="Arial" w:hAnsi="Arial" w:cs="Arial"/>
          <w:sz w:val="22"/>
          <w:szCs w:val="22"/>
        </w:rPr>
      </w:pPr>
      <w:r>
        <w:rPr>
          <w:rFonts w:cs="Arial" w:ascii="Arial" w:hAnsi="Arial"/>
          <w:sz w:val="22"/>
          <w:szCs w:val="22"/>
        </w:rPr>
        <w:t xml:space="preserve">demonstrate an understanding of and take responsibility for promoting high standards of literacy, articulacy and the correct use of standard English, whatever the teacher’s specialist subject </w:t>
      </w:r>
    </w:p>
    <w:p>
      <w:pPr>
        <w:pStyle w:val="ListParagraph"/>
        <w:numPr>
          <w:ilvl w:val="0"/>
          <w:numId w:val="6"/>
        </w:numPr>
        <w:rPr>
          <w:rFonts w:ascii="Arial" w:hAnsi="Arial" w:cs="Arial"/>
          <w:sz w:val="22"/>
          <w:szCs w:val="22"/>
        </w:rPr>
      </w:pPr>
      <w:r>
        <w:rPr>
          <w:rFonts w:cs="Arial" w:ascii="Arial" w:hAnsi="Arial"/>
          <w:sz w:val="22"/>
          <w:szCs w:val="22"/>
        </w:rPr>
        <w:t>if teaching early reading, demonstrate a clear understanding of systematic synthetic phonics</w:t>
      </w:r>
    </w:p>
    <w:p>
      <w:pPr>
        <w:pStyle w:val="ListParagraph"/>
        <w:numPr>
          <w:ilvl w:val="0"/>
          <w:numId w:val="6"/>
        </w:numPr>
        <w:rPr>
          <w:rFonts w:ascii="Arial" w:hAnsi="Arial" w:cs="Arial"/>
          <w:sz w:val="22"/>
          <w:szCs w:val="22"/>
        </w:rPr>
      </w:pPr>
      <w:r>
        <w:rPr>
          <w:rFonts w:cs="Arial" w:ascii="Arial" w:hAnsi="Arial"/>
          <w:sz w:val="22"/>
          <w:szCs w:val="22"/>
        </w:rPr>
        <w:t xml:space="preserve">if teaching early mathematics, demonstrate a clear understanding of appropriate teaching strategies </w:t>
      </w:r>
    </w:p>
    <w:p>
      <w:pPr>
        <w:pStyle w:val="Normal"/>
        <w:rPr>
          <w:rFonts w:ascii="Arial" w:hAnsi="Arial" w:cs="Arial"/>
          <w:b/>
          <w:b/>
          <w:sz w:val="22"/>
          <w:szCs w:val="22"/>
        </w:rPr>
      </w:pPr>
      <w:r>
        <w:rPr>
          <w:rFonts w:cs="Arial" w:ascii="Arial" w:hAnsi="Arial"/>
          <w:b/>
          <w:sz w:val="22"/>
          <w:szCs w:val="22"/>
        </w:rPr>
      </w:r>
    </w:p>
    <w:p>
      <w:pPr>
        <w:pStyle w:val="Normal"/>
        <w:tabs>
          <w:tab w:val="clear" w:pos="720"/>
          <w:tab w:val="left" w:pos="567" w:leader="none"/>
        </w:tabs>
        <w:spacing w:lineRule="auto" w:line="276"/>
        <w:rPr>
          <w:rFonts w:ascii="Arial" w:hAnsi="Arial" w:cs="Arial"/>
          <w:b/>
          <w:b/>
          <w:sz w:val="22"/>
          <w:szCs w:val="22"/>
        </w:rPr>
      </w:pPr>
      <w:r>
        <w:rPr>
          <w:rFonts w:cs="Arial" w:ascii="Arial" w:hAnsi="Arial"/>
          <w:b/>
          <w:sz w:val="22"/>
          <w:szCs w:val="22"/>
        </w:rPr>
        <w:t xml:space="preserve">4 </w:t>
        <w:tab/>
        <w:t xml:space="preserve">Plan and Teach Well-Structured Lessons </w:t>
      </w:r>
    </w:p>
    <w:p>
      <w:pPr>
        <w:pStyle w:val="ListParagraph"/>
        <w:numPr>
          <w:ilvl w:val="0"/>
          <w:numId w:val="7"/>
        </w:numPr>
        <w:rPr>
          <w:rFonts w:ascii="Arial" w:hAnsi="Arial" w:cs="Arial"/>
          <w:sz w:val="22"/>
          <w:szCs w:val="22"/>
        </w:rPr>
      </w:pPr>
      <w:r>
        <w:rPr>
          <w:rFonts w:cs="Arial" w:ascii="Arial" w:hAnsi="Arial"/>
          <w:sz w:val="22"/>
          <w:szCs w:val="22"/>
        </w:rPr>
        <w:t xml:space="preserve">impart knowledge and develop understanding through effective use of lesson time </w:t>
      </w:r>
    </w:p>
    <w:p>
      <w:pPr>
        <w:pStyle w:val="ListParagraph"/>
        <w:numPr>
          <w:ilvl w:val="0"/>
          <w:numId w:val="7"/>
        </w:numPr>
        <w:rPr>
          <w:rFonts w:ascii="Arial" w:hAnsi="Arial" w:cs="Arial"/>
          <w:sz w:val="22"/>
          <w:szCs w:val="22"/>
        </w:rPr>
      </w:pPr>
      <w:r>
        <w:rPr>
          <w:rFonts w:cs="Arial" w:ascii="Arial" w:hAnsi="Arial"/>
          <w:sz w:val="22"/>
          <w:szCs w:val="22"/>
        </w:rPr>
        <w:t xml:space="preserve">promote a love of learning and children’s intellectual curiosity </w:t>
      </w:r>
    </w:p>
    <w:p>
      <w:pPr>
        <w:pStyle w:val="ListParagraph"/>
        <w:numPr>
          <w:ilvl w:val="0"/>
          <w:numId w:val="7"/>
        </w:numPr>
        <w:rPr>
          <w:rFonts w:ascii="Arial" w:hAnsi="Arial" w:cs="Arial"/>
          <w:sz w:val="22"/>
          <w:szCs w:val="22"/>
        </w:rPr>
      </w:pPr>
      <w:r>
        <w:rPr>
          <w:rFonts w:cs="Arial" w:ascii="Arial" w:hAnsi="Arial"/>
          <w:sz w:val="22"/>
          <w:szCs w:val="22"/>
        </w:rPr>
        <w:t xml:space="preserve">set homework and plan other out-of-class activities to consolidate and extend the knowledge and understanding pupils have acquired </w:t>
      </w:r>
    </w:p>
    <w:p>
      <w:pPr>
        <w:pStyle w:val="ListParagraph"/>
        <w:numPr>
          <w:ilvl w:val="0"/>
          <w:numId w:val="7"/>
        </w:numPr>
        <w:rPr>
          <w:rFonts w:ascii="Arial" w:hAnsi="Arial" w:cs="Arial"/>
          <w:sz w:val="22"/>
          <w:szCs w:val="22"/>
        </w:rPr>
      </w:pPr>
      <w:r>
        <w:rPr>
          <w:rFonts w:cs="Arial" w:ascii="Arial" w:hAnsi="Arial"/>
          <w:sz w:val="22"/>
          <w:szCs w:val="22"/>
        </w:rPr>
        <w:t xml:space="preserve">reflect systematically on the effectiveness of lessons and approaches to teaching </w:t>
      </w:r>
    </w:p>
    <w:p>
      <w:pPr>
        <w:pStyle w:val="ListParagraph"/>
        <w:numPr>
          <w:ilvl w:val="0"/>
          <w:numId w:val="7"/>
        </w:numPr>
        <w:rPr>
          <w:rFonts w:ascii="Arial" w:hAnsi="Arial" w:cs="Arial"/>
          <w:sz w:val="22"/>
          <w:szCs w:val="22"/>
        </w:rPr>
      </w:pPr>
      <w:r>
        <w:rPr>
          <w:rFonts w:cs="Arial" w:ascii="Arial" w:hAnsi="Arial"/>
          <w:sz w:val="22"/>
          <w:szCs w:val="22"/>
        </w:rPr>
        <w:t>contribute to the design and provision of an engaging curriculum within the relevant subject area/s</w:t>
      </w:r>
    </w:p>
    <w:p>
      <w:pPr>
        <w:pStyle w:val="Normal"/>
        <w:rPr>
          <w:rFonts w:ascii="Arial" w:hAnsi="Arial" w:cs="Arial"/>
          <w:b/>
          <w:b/>
          <w:bCs/>
          <w:sz w:val="22"/>
          <w:szCs w:val="22"/>
        </w:rPr>
      </w:pPr>
      <w:r>
        <w:rPr>
          <w:rFonts w:cs="Arial" w:ascii="Arial" w:hAnsi="Arial"/>
          <w:b/>
          <w:bCs/>
          <w:sz w:val="22"/>
          <w:szCs w:val="22"/>
        </w:rPr>
      </w:r>
    </w:p>
    <w:p>
      <w:pPr>
        <w:pStyle w:val="Normal"/>
        <w:tabs>
          <w:tab w:val="clear" w:pos="720"/>
          <w:tab w:val="left" w:pos="560" w:leader="none"/>
        </w:tabs>
        <w:spacing w:lineRule="auto" w:line="276"/>
        <w:rPr>
          <w:rFonts w:ascii="Arial" w:hAnsi="Arial" w:cs="Arial"/>
          <w:b/>
          <w:b/>
          <w:sz w:val="22"/>
          <w:szCs w:val="22"/>
        </w:rPr>
      </w:pPr>
      <w:r>
        <w:rPr>
          <w:rFonts w:cs="Arial" w:ascii="Arial" w:hAnsi="Arial"/>
          <w:b/>
          <w:sz w:val="22"/>
          <w:szCs w:val="22"/>
        </w:rPr>
        <w:t xml:space="preserve">5 </w:t>
        <w:tab/>
        <w:t xml:space="preserve">Adapt Teaching to Respond to the Strengths and Needs of all Pupils </w:t>
      </w:r>
    </w:p>
    <w:p>
      <w:pPr>
        <w:pStyle w:val="ListParagraph"/>
        <w:numPr>
          <w:ilvl w:val="0"/>
          <w:numId w:val="7"/>
        </w:numPr>
        <w:rPr>
          <w:rFonts w:ascii="Arial" w:hAnsi="Arial" w:cs="Arial"/>
          <w:sz w:val="22"/>
          <w:szCs w:val="22"/>
        </w:rPr>
      </w:pPr>
      <w:r>
        <w:rPr>
          <w:rFonts w:cs="Arial" w:ascii="Arial" w:hAnsi="Arial"/>
          <w:sz w:val="22"/>
          <w:szCs w:val="22"/>
        </w:rPr>
        <w:t xml:space="preserve">know when and how to differentiate appropriately, using approaches which enable pupils to be taught effectively </w:t>
      </w:r>
    </w:p>
    <w:p>
      <w:pPr>
        <w:pStyle w:val="ListParagraph"/>
        <w:numPr>
          <w:ilvl w:val="0"/>
          <w:numId w:val="7"/>
        </w:numPr>
        <w:rPr>
          <w:rFonts w:ascii="Arial" w:hAnsi="Arial" w:cs="Arial"/>
          <w:sz w:val="22"/>
          <w:szCs w:val="22"/>
        </w:rPr>
      </w:pPr>
      <w:r>
        <w:rPr>
          <w:rFonts w:cs="Arial" w:ascii="Arial" w:hAnsi="Arial"/>
          <w:sz w:val="22"/>
          <w:szCs w:val="22"/>
        </w:rPr>
        <w:t xml:space="preserve">have a secure understanding of how a range of factors can inhibit pupils’ ability to learn, and how best to overcome these </w:t>
      </w:r>
    </w:p>
    <w:p>
      <w:pPr>
        <w:pStyle w:val="ListParagraph"/>
        <w:numPr>
          <w:ilvl w:val="0"/>
          <w:numId w:val="7"/>
        </w:numPr>
        <w:rPr>
          <w:rFonts w:ascii="Arial" w:hAnsi="Arial" w:cs="Arial"/>
          <w:sz w:val="22"/>
          <w:szCs w:val="22"/>
        </w:rPr>
      </w:pPr>
      <w:r>
        <w:rPr>
          <w:rFonts w:cs="Arial" w:ascii="Arial" w:hAnsi="Arial"/>
          <w:sz w:val="22"/>
          <w:szCs w:val="22"/>
        </w:rPr>
        <w:t xml:space="preserve">demonstrate an awareness of the physical, social and intellectual development of children, and know how to adapt teaching to support pupils’ education at different stages of development </w:t>
      </w:r>
    </w:p>
    <w:p>
      <w:pPr>
        <w:pStyle w:val="ListParagraph"/>
        <w:numPr>
          <w:ilvl w:val="0"/>
          <w:numId w:val="7"/>
        </w:numPr>
        <w:rPr>
          <w:rFonts w:ascii="Arial" w:hAnsi="Arial" w:cs="Arial"/>
          <w:sz w:val="22"/>
          <w:szCs w:val="22"/>
        </w:rPr>
      </w:pPr>
      <w:r>
        <w:rPr>
          <w:rFonts w:cs="Arial" w:ascii="Arial" w:hAnsi="Arial"/>
          <w:sz w:val="22"/>
          <w:szCs w:val="22"/>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p>
      <w:pPr>
        <w:pStyle w:val="Normal"/>
        <w:rPr>
          <w:rFonts w:ascii="Arial" w:hAnsi="Arial" w:cs="Arial"/>
          <w:b/>
          <w:b/>
          <w:bCs/>
          <w:sz w:val="22"/>
          <w:szCs w:val="22"/>
        </w:rPr>
      </w:pPr>
      <w:r>
        <w:rPr>
          <w:rFonts w:cs="Arial" w:ascii="Arial" w:hAnsi="Arial"/>
          <w:b/>
          <w:bCs/>
          <w:sz w:val="22"/>
          <w:szCs w:val="22"/>
        </w:rPr>
      </w:r>
    </w:p>
    <w:p>
      <w:pPr>
        <w:pStyle w:val="Normal"/>
        <w:tabs>
          <w:tab w:val="clear" w:pos="720"/>
          <w:tab w:val="left" w:pos="567" w:leader="none"/>
        </w:tabs>
        <w:rPr>
          <w:rFonts w:ascii="Arial" w:hAnsi="Arial" w:cs="Arial"/>
          <w:b/>
          <w:b/>
          <w:sz w:val="22"/>
          <w:szCs w:val="22"/>
        </w:rPr>
      </w:pPr>
      <w:r>
        <w:rPr>
          <w:rFonts w:cs="Arial" w:ascii="Arial" w:hAnsi="Arial"/>
          <w:b/>
          <w:sz w:val="22"/>
          <w:szCs w:val="22"/>
        </w:rPr>
        <w:t xml:space="preserve">6 </w:t>
        <w:tab/>
        <w:t xml:space="preserve">Make Accurate and Productive use of Assessment </w:t>
      </w:r>
    </w:p>
    <w:p>
      <w:pPr>
        <w:pStyle w:val="ListParagraph"/>
        <w:numPr>
          <w:ilvl w:val="0"/>
          <w:numId w:val="8"/>
        </w:numPr>
        <w:rPr>
          <w:rFonts w:ascii="Arial" w:hAnsi="Arial" w:cs="Arial"/>
          <w:sz w:val="22"/>
          <w:szCs w:val="22"/>
        </w:rPr>
      </w:pPr>
      <w:r>
        <w:rPr>
          <w:rFonts w:cs="Arial" w:ascii="Arial" w:hAnsi="Arial"/>
          <w:sz w:val="22"/>
          <w:szCs w:val="22"/>
        </w:rPr>
        <w:t xml:space="preserve">know and understand how to assess the relevant subject and curriculum areas, including statutory assessment requirements </w:t>
      </w:r>
    </w:p>
    <w:p>
      <w:pPr>
        <w:pStyle w:val="ListParagraph"/>
        <w:numPr>
          <w:ilvl w:val="0"/>
          <w:numId w:val="8"/>
        </w:numPr>
        <w:rPr>
          <w:rFonts w:ascii="Arial" w:hAnsi="Arial" w:cs="Arial"/>
          <w:sz w:val="22"/>
          <w:szCs w:val="22"/>
        </w:rPr>
      </w:pPr>
      <w:r>
        <w:rPr>
          <w:rFonts w:cs="Arial" w:ascii="Arial" w:hAnsi="Arial"/>
          <w:sz w:val="22"/>
          <w:szCs w:val="22"/>
        </w:rPr>
        <w:t xml:space="preserve">make use of formative and summative assessment to secure pupils’ progress </w:t>
      </w:r>
    </w:p>
    <w:p>
      <w:pPr>
        <w:pStyle w:val="ListParagraph"/>
        <w:numPr>
          <w:ilvl w:val="0"/>
          <w:numId w:val="8"/>
        </w:numPr>
        <w:rPr>
          <w:rFonts w:ascii="Arial" w:hAnsi="Arial" w:cs="Arial"/>
          <w:sz w:val="22"/>
          <w:szCs w:val="22"/>
        </w:rPr>
      </w:pPr>
      <w:r>
        <w:rPr>
          <w:rFonts w:cs="Arial" w:ascii="Arial" w:hAnsi="Arial"/>
          <w:sz w:val="22"/>
          <w:szCs w:val="22"/>
        </w:rPr>
        <w:t xml:space="preserve">use relevant data to monitor progress, set targets, and plan subsequent lessons </w:t>
      </w:r>
    </w:p>
    <w:p>
      <w:pPr>
        <w:pStyle w:val="ListParagraph"/>
        <w:numPr>
          <w:ilvl w:val="0"/>
          <w:numId w:val="8"/>
        </w:numPr>
        <w:rPr>
          <w:rFonts w:ascii="Arial" w:hAnsi="Arial" w:cs="Arial"/>
          <w:sz w:val="22"/>
          <w:szCs w:val="22"/>
        </w:rPr>
      </w:pPr>
      <w:r>
        <w:rPr>
          <w:rFonts w:cs="Arial" w:ascii="Arial" w:hAnsi="Arial"/>
          <w:sz w:val="22"/>
          <w:szCs w:val="22"/>
        </w:rPr>
        <w:t>give pupils regular feedback, both orally and through accurate marking, and encourage pupils to respond to the feedback</w:t>
      </w:r>
    </w:p>
    <w:p>
      <w:pPr>
        <w:pStyle w:val="ListParagraph"/>
        <w:ind w:left="927" w:right="0" w:hanging="0"/>
        <w:rPr>
          <w:rFonts w:ascii="Arial" w:hAnsi="Arial" w:cs="Arial"/>
          <w:b/>
          <w:b/>
          <w:sz w:val="22"/>
          <w:szCs w:val="22"/>
        </w:rPr>
      </w:pPr>
      <w:r>
        <w:rPr>
          <w:rFonts w:cs="Arial" w:ascii="Arial" w:hAnsi="Arial"/>
          <w:b/>
          <w:sz w:val="22"/>
          <w:szCs w:val="22"/>
        </w:rPr>
      </w:r>
    </w:p>
    <w:p>
      <w:pPr>
        <w:pStyle w:val="Normal"/>
        <w:tabs>
          <w:tab w:val="clear" w:pos="720"/>
          <w:tab w:val="left" w:pos="567" w:leader="none"/>
        </w:tabs>
        <w:spacing w:lineRule="auto" w:line="276"/>
        <w:ind w:left="567" w:right="0" w:hanging="567"/>
        <w:rPr>
          <w:rFonts w:ascii="Arial" w:hAnsi="Arial" w:cs="Arial"/>
          <w:b/>
          <w:b/>
          <w:sz w:val="22"/>
          <w:szCs w:val="22"/>
        </w:rPr>
      </w:pPr>
      <w:r>
        <w:rPr>
          <w:rFonts w:cs="Arial" w:ascii="Arial" w:hAnsi="Arial"/>
          <w:b/>
          <w:sz w:val="22"/>
          <w:szCs w:val="22"/>
        </w:rPr>
        <w:t xml:space="preserve">7 </w:t>
        <w:tab/>
        <w:t xml:space="preserve">Manage Behaviour Effectively to Ensure a Good and Safe Learning Environment </w:t>
      </w:r>
    </w:p>
    <w:p>
      <w:pPr>
        <w:pStyle w:val="ListParagraph"/>
        <w:numPr>
          <w:ilvl w:val="0"/>
          <w:numId w:val="8"/>
        </w:numPr>
        <w:rPr>
          <w:rFonts w:ascii="Arial" w:hAnsi="Arial" w:cs="Arial"/>
          <w:sz w:val="22"/>
          <w:szCs w:val="22"/>
        </w:rPr>
      </w:pPr>
      <w:r>
        <w:rPr>
          <w:rFonts w:cs="Arial" w:ascii="Arial" w:hAnsi="Arial"/>
          <w:sz w:val="22"/>
          <w:szCs w:val="22"/>
        </w:rPr>
        <w:t xml:space="preserve">have clear rules and routines for behaviour in classrooms, and take responsibility for promoting good and courteous behaviour both in classrooms and around the Academy, in accordance with the Academy’s behaviour policy </w:t>
      </w:r>
    </w:p>
    <w:p>
      <w:pPr>
        <w:pStyle w:val="ListParagraph"/>
        <w:numPr>
          <w:ilvl w:val="0"/>
          <w:numId w:val="8"/>
        </w:numPr>
        <w:rPr>
          <w:rFonts w:ascii="Arial" w:hAnsi="Arial" w:cs="Arial"/>
          <w:sz w:val="22"/>
          <w:szCs w:val="22"/>
        </w:rPr>
      </w:pPr>
      <w:r>
        <w:rPr>
          <w:rFonts w:cs="Arial" w:ascii="Arial" w:hAnsi="Arial"/>
          <w:sz w:val="22"/>
          <w:szCs w:val="22"/>
        </w:rPr>
        <w:t>have high expectations of behaviour, and establish a framework for discipline with a range of strategies, using praise, sanctions and rewards consistently and fairly</w:t>
      </w:r>
    </w:p>
    <w:p>
      <w:pPr>
        <w:pStyle w:val="ListParagraph"/>
        <w:numPr>
          <w:ilvl w:val="0"/>
          <w:numId w:val="8"/>
        </w:numPr>
        <w:rPr>
          <w:rFonts w:ascii="Arial" w:hAnsi="Arial" w:cs="Arial"/>
          <w:sz w:val="22"/>
          <w:szCs w:val="22"/>
        </w:rPr>
      </w:pPr>
      <w:r>
        <w:rPr>
          <w:rFonts w:cs="Arial" w:ascii="Arial" w:hAnsi="Arial"/>
          <w:sz w:val="22"/>
          <w:szCs w:val="22"/>
        </w:rPr>
        <w:t xml:space="preserve">manage classes effectively, using approaches which are appropriate to pupils’ needs in order to involve and motivate them </w:t>
      </w:r>
    </w:p>
    <w:p>
      <w:pPr>
        <w:pStyle w:val="ListParagraph"/>
        <w:numPr>
          <w:ilvl w:val="0"/>
          <w:numId w:val="8"/>
        </w:numPr>
        <w:rPr>
          <w:rFonts w:ascii="Arial" w:hAnsi="Arial" w:cs="Arial"/>
          <w:sz w:val="22"/>
          <w:szCs w:val="22"/>
        </w:rPr>
      </w:pPr>
      <w:r>
        <w:rPr>
          <w:rFonts w:cs="Arial" w:ascii="Arial" w:hAnsi="Arial"/>
          <w:sz w:val="22"/>
          <w:szCs w:val="22"/>
        </w:rPr>
        <w:t xml:space="preserve">maintain good relationships with pupils, exercise appropriate authority, and act decisively when necessary </w:t>
      </w:r>
    </w:p>
    <w:p>
      <w:pPr>
        <w:pStyle w:val="Normal"/>
        <w:rPr>
          <w:rFonts w:ascii="Arial" w:hAnsi="Arial" w:cs="Arial"/>
          <w:b/>
          <w:b/>
          <w:sz w:val="22"/>
          <w:szCs w:val="22"/>
        </w:rPr>
      </w:pPr>
      <w:r>
        <w:rPr>
          <w:rFonts w:cs="Arial" w:ascii="Arial" w:hAnsi="Arial"/>
          <w:b/>
          <w:sz w:val="22"/>
          <w:szCs w:val="22"/>
        </w:rPr>
      </w:r>
    </w:p>
    <w:p>
      <w:pPr>
        <w:pStyle w:val="Normal"/>
        <w:tabs>
          <w:tab w:val="clear" w:pos="720"/>
          <w:tab w:val="left" w:pos="567" w:leader="none"/>
        </w:tabs>
        <w:spacing w:lineRule="auto" w:line="276"/>
        <w:rPr>
          <w:rFonts w:ascii="Arial" w:hAnsi="Arial" w:cs="Arial"/>
          <w:b/>
          <w:b/>
          <w:sz w:val="22"/>
          <w:szCs w:val="22"/>
        </w:rPr>
      </w:pPr>
      <w:r>
        <w:rPr>
          <w:rFonts w:cs="Arial" w:ascii="Arial" w:hAnsi="Arial"/>
          <w:b/>
          <w:sz w:val="22"/>
          <w:szCs w:val="22"/>
        </w:rPr>
        <w:t xml:space="preserve">8 </w:t>
        <w:tab/>
        <w:t xml:space="preserve">Fulfil Wider Professional Responsibilities </w:t>
      </w:r>
    </w:p>
    <w:p>
      <w:pPr>
        <w:pStyle w:val="ListParagraph"/>
        <w:numPr>
          <w:ilvl w:val="0"/>
          <w:numId w:val="8"/>
        </w:numPr>
        <w:spacing w:lineRule="auto" w:line="276"/>
        <w:rPr>
          <w:rFonts w:ascii="Arial" w:hAnsi="Arial" w:cs="Arial"/>
          <w:sz w:val="22"/>
          <w:szCs w:val="22"/>
        </w:rPr>
      </w:pPr>
      <w:r>
        <w:rPr>
          <w:rFonts w:cs="Arial" w:ascii="Arial" w:hAnsi="Arial"/>
          <w:sz w:val="22"/>
          <w:szCs w:val="22"/>
        </w:rPr>
        <w:t>make a positive contribution to the wider life and ethos of the Academy</w:t>
      </w:r>
    </w:p>
    <w:p>
      <w:pPr>
        <w:pStyle w:val="ListParagraph"/>
        <w:numPr>
          <w:ilvl w:val="0"/>
          <w:numId w:val="8"/>
        </w:numPr>
        <w:spacing w:lineRule="auto" w:line="276"/>
        <w:rPr>
          <w:rFonts w:ascii="Arial" w:hAnsi="Arial" w:cs="Arial"/>
          <w:sz w:val="22"/>
          <w:szCs w:val="22"/>
        </w:rPr>
      </w:pPr>
      <w:r>
        <w:rPr>
          <w:rFonts w:cs="Arial" w:ascii="Arial" w:hAnsi="Arial"/>
          <w:sz w:val="22"/>
          <w:szCs w:val="22"/>
        </w:rPr>
        <w:t xml:space="preserve">develop effective professional relationships with colleagues, knowing how and when to draw on advice and specialist support </w:t>
      </w:r>
    </w:p>
    <w:p>
      <w:pPr>
        <w:pStyle w:val="ListParagraph"/>
        <w:numPr>
          <w:ilvl w:val="0"/>
          <w:numId w:val="8"/>
        </w:numPr>
        <w:spacing w:lineRule="auto" w:line="276"/>
        <w:rPr>
          <w:rFonts w:ascii="Arial" w:hAnsi="Arial" w:cs="Arial"/>
          <w:sz w:val="22"/>
          <w:szCs w:val="22"/>
        </w:rPr>
      </w:pPr>
      <w:r>
        <w:rPr>
          <w:rFonts w:cs="Arial" w:ascii="Arial" w:hAnsi="Arial"/>
          <w:sz w:val="22"/>
          <w:szCs w:val="22"/>
        </w:rPr>
        <w:t xml:space="preserve">deploy support staff effectively </w:t>
      </w:r>
    </w:p>
    <w:p>
      <w:pPr>
        <w:pStyle w:val="ListParagraph"/>
        <w:numPr>
          <w:ilvl w:val="0"/>
          <w:numId w:val="8"/>
        </w:numPr>
        <w:spacing w:lineRule="auto" w:line="276"/>
        <w:rPr>
          <w:rFonts w:ascii="Arial" w:hAnsi="Arial" w:cs="Arial"/>
          <w:sz w:val="22"/>
          <w:szCs w:val="22"/>
        </w:rPr>
      </w:pPr>
      <w:r>
        <w:rPr>
          <w:rFonts w:cs="Arial" w:ascii="Arial" w:hAnsi="Arial"/>
          <w:sz w:val="22"/>
          <w:szCs w:val="22"/>
        </w:rPr>
        <w:t xml:space="preserve">take responsibility for improving teaching through appropriate professional development, responding to advice and feedback from colleagues </w:t>
      </w:r>
    </w:p>
    <w:p>
      <w:pPr>
        <w:pStyle w:val="ListParagraph"/>
        <w:numPr>
          <w:ilvl w:val="0"/>
          <w:numId w:val="8"/>
        </w:numPr>
        <w:spacing w:lineRule="auto" w:line="276"/>
        <w:rPr>
          <w:rFonts w:ascii="Arial" w:hAnsi="Arial" w:cs="Arial"/>
          <w:sz w:val="22"/>
          <w:szCs w:val="22"/>
        </w:rPr>
      </w:pPr>
      <w:r>
        <w:rPr>
          <w:rFonts w:cs="Arial" w:ascii="Arial" w:hAnsi="Arial"/>
          <w:sz w:val="22"/>
          <w:szCs w:val="22"/>
        </w:rPr>
        <w:t xml:space="preserve">communicate effectively with parents/carers in regard to pupils’ achievements and well-being </w:t>
      </w:r>
    </w:p>
    <w:p>
      <w:pPr>
        <w:pStyle w:val="Normal"/>
        <w:rPr>
          <w:rFonts w:ascii="Arial" w:hAnsi="Arial" w:cs="Arial"/>
          <w:sz w:val="22"/>
          <w:szCs w:val="22"/>
        </w:rPr>
      </w:pPr>
      <w:r>
        <w:rPr>
          <w:rFonts w:cs="Arial" w:ascii="Arial" w:hAnsi="Arial"/>
          <w:sz w:val="22"/>
          <w:szCs w:val="22"/>
        </w:rPr>
      </w:r>
    </w:p>
    <w:p>
      <w:pPr>
        <w:pStyle w:val="Normal"/>
        <w:rPr>
          <w:rFonts w:ascii="Arial" w:hAnsi="Arial" w:cs="Arial"/>
          <w:b/>
          <w:b/>
          <w:sz w:val="22"/>
          <w:szCs w:val="22"/>
        </w:rPr>
      </w:pPr>
      <w:r>
        <w:rPr>
          <w:rFonts w:cs="Arial" w:ascii="Arial" w:hAnsi="Arial"/>
          <w:b/>
          <w:sz w:val="22"/>
          <w:szCs w:val="22"/>
        </w:rPr>
        <w:t>Personal &amp; Professional Conduct</w:t>
      </w:r>
    </w:p>
    <w:p>
      <w:pPr>
        <w:pStyle w:val="Normal"/>
        <w:rPr>
          <w:rFonts w:ascii="Arial" w:hAnsi="Arial" w:cs="Arial"/>
          <w:sz w:val="22"/>
          <w:szCs w:val="22"/>
        </w:rPr>
      </w:pPr>
      <w:r>
        <w:rPr>
          <w:rFonts w:cs="Arial" w:ascii="Arial" w:hAnsi="Arial"/>
          <w:sz w:val="22"/>
          <w:szCs w:val="22"/>
        </w:rPr>
        <w:t xml:space="preserve">A teacher is expected to demonstrate consistently high standards of personal and professional conduct. The following statements define the behaviour and attitudes which set the required standard for conduct throughout a teacher’s career. Teachers uphold public trust in the profession and maintain high standards of ethics and behaviour, within and outside the Academy, by: </w:t>
      </w:r>
    </w:p>
    <w:p>
      <w:pPr>
        <w:pStyle w:val="Normal"/>
        <w:rPr>
          <w:rFonts w:ascii="Arial" w:hAnsi="Arial" w:cs="Arial"/>
          <w:b/>
          <w:b/>
          <w:sz w:val="22"/>
          <w:szCs w:val="22"/>
        </w:rPr>
      </w:pPr>
      <w:r>
        <w:rPr>
          <w:rFonts w:cs="Arial" w:ascii="Arial" w:hAnsi="Arial"/>
          <w:b/>
          <w:sz w:val="22"/>
          <w:szCs w:val="22"/>
        </w:rPr>
      </w:r>
    </w:p>
    <w:p>
      <w:pPr>
        <w:pStyle w:val="ListParagraph"/>
        <w:numPr>
          <w:ilvl w:val="0"/>
          <w:numId w:val="9"/>
        </w:numPr>
        <w:rPr>
          <w:rFonts w:ascii="Arial" w:hAnsi="Arial" w:cs="Arial"/>
          <w:sz w:val="22"/>
          <w:szCs w:val="22"/>
        </w:rPr>
      </w:pPr>
      <w:r>
        <w:rPr>
          <w:rFonts w:cs="Arial" w:ascii="Arial" w:hAnsi="Arial"/>
          <w:sz w:val="22"/>
          <w:szCs w:val="22"/>
        </w:rPr>
        <w:t xml:space="preserve">treating pupils with dignity, building relationships rooted in mutual respect, and at all times observing boundaries appropriate to a teacher’s professional position </w:t>
      </w:r>
    </w:p>
    <w:p>
      <w:pPr>
        <w:pStyle w:val="ListParagraph"/>
        <w:numPr>
          <w:ilvl w:val="0"/>
          <w:numId w:val="9"/>
        </w:numPr>
        <w:rPr>
          <w:rFonts w:ascii="Arial" w:hAnsi="Arial" w:cs="Arial"/>
          <w:sz w:val="22"/>
          <w:szCs w:val="22"/>
        </w:rPr>
      </w:pPr>
      <w:r>
        <w:rPr>
          <w:rFonts w:cs="Arial" w:ascii="Arial" w:hAnsi="Arial"/>
          <w:sz w:val="22"/>
          <w:szCs w:val="22"/>
        </w:rPr>
        <w:t xml:space="preserve">having regard for the need to safeguard pupils’ well-being, in accordance with statutory provisions </w:t>
      </w:r>
    </w:p>
    <w:p>
      <w:pPr>
        <w:pStyle w:val="ListParagraph"/>
        <w:numPr>
          <w:ilvl w:val="0"/>
          <w:numId w:val="9"/>
        </w:numPr>
        <w:rPr>
          <w:rFonts w:ascii="Arial" w:hAnsi="Arial" w:cs="Arial"/>
          <w:sz w:val="22"/>
          <w:szCs w:val="22"/>
        </w:rPr>
      </w:pPr>
      <w:r>
        <w:rPr>
          <w:rFonts w:cs="Arial" w:ascii="Arial" w:hAnsi="Arial"/>
          <w:sz w:val="22"/>
          <w:szCs w:val="22"/>
        </w:rPr>
        <w:t xml:space="preserve">showing tolerance of and respect for the rights of others </w:t>
      </w:r>
    </w:p>
    <w:p>
      <w:pPr>
        <w:pStyle w:val="ListParagraph"/>
        <w:numPr>
          <w:ilvl w:val="0"/>
          <w:numId w:val="9"/>
        </w:numPr>
        <w:rPr>
          <w:rFonts w:ascii="Arial" w:hAnsi="Arial" w:cs="Arial"/>
          <w:sz w:val="22"/>
          <w:szCs w:val="22"/>
        </w:rPr>
      </w:pPr>
      <w:r>
        <w:rPr>
          <w:rFonts w:cs="Arial" w:ascii="Arial" w:hAnsi="Arial"/>
          <w:sz w:val="22"/>
          <w:szCs w:val="22"/>
        </w:rPr>
        <w:t xml:space="preserve">not undermining fundamental British values, including democracy, the rule of law, individual liberty and mutual respect, and tolerance of those with different faiths and beliefs </w:t>
      </w:r>
    </w:p>
    <w:p>
      <w:pPr>
        <w:pStyle w:val="ListParagraph"/>
        <w:numPr>
          <w:ilvl w:val="0"/>
          <w:numId w:val="9"/>
        </w:numPr>
        <w:rPr>
          <w:rFonts w:ascii="Arial" w:hAnsi="Arial" w:cs="Arial"/>
          <w:sz w:val="22"/>
          <w:szCs w:val="22"/>
        </w:rPr>
      </w:pPr>
      <w:r>
        <w:rPr>
          <w:rFonts w:cs="Arial" w:ascii="Arial" w:hAnsi="Arial"/>
          <w:sz w:val="22"/>
          <w:szCs w:val="22"/>
        </w:rPr>
        <w:t xml:space="preserve">ensuring that personal beliefs are not expressed in ways which exploit pupils’ vulnerability or might lead them to break the law </w:t>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sz w:val="22"/>
          <w:szCs w:val="22"/>
        </w:rPr>
      </w:pPr>
      <w:r>
        <w:rPr>
          <w:rFonts w:cs="Arial" w:ascii="Arial" w:hAnsi="Arial"/>
          <w:sz w:val="22"/>
          <w:szCs w:val="22"/>
        </w:rPr>
        <w:t xml:space="preserve">Teachers must have appropriate and professional regard for the ethos, policies and practices of the Academy, maintain high standards in their own attendance and punctuality </w:t>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sz w:val="22"/>
          <w:szCs w:val="22"/>
        </w:rPr>
      </w:pPr>
      <w:r>
        <w:rPr>
          <w:rFonts w:cs="Arial" w:ascii="Arial" w:hAnsi="Arial"/>
          <w:sz w:val="22"/>
          <w:szCs w:val="22"/>
        </w:rPr>
        <w:t xml:space="preserve">Teachers must have an understanding of, and always act within, the statutory frameworks which set out their professional duties and responsibilities </w:t>
      </w:r>
    </w:p>
    <w:p>
      <w:pPr>
        <w:pStyle w:val="Normal"/>
        <w:rPr>
          <w:rFonts w:ascii="Arial" w:hAnsi="Arial" w:cs="Arial"/>
          <w:b/>
          <w:b/>
          <w:sz w:val="22"/>
          <w:szCs w:val="22"/>
        </w:rPr>
      </w:pPr>
      <w:r>
        <w:rPr>
          <w:rFonts w:cs="Arial" w:ascii="Arial" w:hAnsi="Arial"/>
          <w:b/>
          <w:sz w:val="22"/>
          <w:szCs w:val="22"/>
        </w:rPr>
      </w:r>
    </w:p>
    <w:p>
      <w:pPr>
        <w:pStyle w:val="Normal"/>
        <w:rPr>
          <w:rFonts w:ascii="Arial" w:hAnsi="Arial" w:cs="Arial"/>
          <w:sz w:val="22"/>
          <w:szCs w:val="22"/>
        </w:rPr>
      </w:pPr>
      <w:r>
        <w:rPr>
          <w:rFonts w:cs="Arial" w:ascii="Arial" w:hAnsi="Arial"/>
          <w:sz w:val="22"/>
          <w:szCs w:val="22"/>
        </w:rPr>
        <w:t>NET expects that all teachers are role models to students and promote the professional image of the Academy at all times in their behaviour, conduct and dress code</w:t>
      </w:r>
    </w:p>
    <w:p>
      <w:pPr>
        <w:pStyle w:val="Normal"/>
        <w:spacing w:lineRule="auto" w:line="276" w:before="0" w:after="200"/>
        <w:contextualSpacing/>
        <w:rPr>
          <w:rFonts w:ascii="Arial" w:hAnsi="Arial" w:eastAsia="Calibri" w:cs="Arial"/>
          <w:b/>
          <w:b/>
          <w:sz w:val="22"/>
          <w:szCs w:val="22"/>
        </w:rPr>
      </w:pPr>
      <w:r>
        <w:rPr>
          <w:rFonts w:eastAsia="Calibri" w:cs="Arial" w:ascii="Arial" w:hAnsi="Arial"/>
          <w:b/>
          <w:sz w:val="22"/>
          <w:szCs w:val="22"/>
        </w:rPr>
      </w:r>
    </w:p>
    <w:p>
      <w:pPr>
        <w:pStyle w:val="Normal"/>
        <w:spacing w:lineRule="auto" w:line="276" w:before="0" w:after="0"/>
        <w:contextualSpacing/>
        <w:rPr>
          <w:rFonts w:ascii="Arial" w:hAnsi="Arial" w:eastAsia="Calibri" w:cs="Arial"/>
          <w:b/>
          <w:b/>
          <w:sz w:val="22"/>
          <w:szCs w:val="22"/>
        </w:rPr>
      </w:pPr>
      <w:r>
        <w:rPr>
          <w:rFonts w:eastAsia="Calibri" w:cs="Arial" w:ascii="Arial" w:hAnsi="Arial"/>
          <w:b/>
          <w:sz w:val="22"/>
          <w:szCs w:val="22"/>
        </w:rPr>
        <w:t>GDPR</w:t>
      </w:r>
    </w:p>
    <w:p>
      <w:pPr>
        <w:pStyle w:val="ListParagraph"/>
        <w:numPr>
          <w:ilvl w:val="0"/>
          <w:numId w:val="11"/>
        </w:numPr>
        <w:spacing w:lineRule="auto" w:line="276"/>
        <w:ind w:left="426" w:right="0" w:hanging="426"/>
        <w:rPr>
          <w:rFonts w:ascii="Arial" w:hAnsi="Arial" w:eastAsia="Calibri" w:cs="Arial"/>
          <w:sz w:val="22"/>
          <w:szCs w:val="22"/>
        </w:rPr>
      </w:pPr>
      <w:r>
        <w:rPr>
          <w:rFonts w:eastAsia="Calibri" w:cs="Arial" w:ascii="Arial" w:hAnsi="Arial"/>
          <w:sz w:val="22"/>
          <w:szCs w:val="22"/>
        </w:rPr>
        <w:t xml:space="preserve">To adhere to GDPR and Data Protection Regulations, whilst maintaining confidentiality </w:t>
      </w:r>
    </w:p>
    <w:p>
      <w:pPr>
        <w:pStyle w:val="Normal"/>
        <w:spacing w:lineRule="auto" w:line="276" w:before="0" w:after="0"/>
        <w:contextualSpacing/>
        <w:rPr>
          <w:rFonts w:ascii="Arial" w:hAnsi="Arial" w:eastAsia="Calibri" w:cs="Arial"/>
          <w:b/>
          <w:b/>
          <w:sz w:val="22"/>
          <w:szCs w:val="22"/>
        </w:rPr>
      </w:pPr>
      <w:r>
        <w:rPr>
          <w:rFonts w:eastAsia="Calibri" w:cs="Arial" w:ascii="Arial" w:hAnsi="Arial"/>
          <w:b/>
          <w:sz w:val="22"/>
          <w:szCs w:val="22"/>
        </w:rPr>
      </w:r>
    </w:p>
    <w:p>
      <w:pPr>
        <w:pStyle w:val="Normal"/>
        <w:spacing w:lineRule="auto" w:line="276" w:before="0" w:after="0"/>
        <w:contextualSpacing/>
        <w:rPr>
          <w:rFonts w:ascii="Arial" w:hAnsi="Arial" w:eastAsia="Calibri" w:cs="Arial"/>
          <w:b/>
          <w:b/>
          <w:sz w:val="22"/>
          <w:szCs w:val="22"/>
        </w:rPr>
      </w:pPr>
      <w:bookmarkStart w:id="0" w:name="_Hlk117669235"/>
      <w:r>
        <w:rPr>
          <w:rFonts w:eastAsia="Calibri" w:cs="Arial" w:ascii="Arial" w:hAnsi="Arial"/>
          <w:b/>
          <w:sz w:val="22"/>
          <w:szCs w:val="22"/>
        </w:rPr>
        <w:t>Safeguarding</w:t>
      </w:r>
    </w:p>
    <w:p>
      <w:pPr>
        <w:pStyle w:val="Normal"/>
        <w:spacing w:lineRule="auto" w:line="276"/>
        <w:rPr/>
      </w:pPr>
      <w:bookmarkStart w:id="1" w:name="_Hlk117669235"/>
      <w:r>
        <w:rPr>
          <w:rFonts w:eastAsia="Calibri" w:cs="Arial" w:ascii="Arial" w:hAnsi="Arial"/>
          <w:sz w:val="22"/>
          <w:szCs w:val="22"/>
        </w:rPr>
        <w:t>1.    To follow all safeguarding and child protection policies and procedure</w:t>
      </w:r>
      <w:bookmarkEnd w:id="1"/>
      <w:r>
        <w:rPr>
          <w:rFonts w:eastAsia="Calibri" w:cs="Arial" w:ascii="Arial" w:hAnsi="Arial"/>
          <w:sz w:val="22"/>
          <w:szCs w:val="22"/>
        </w:rPr>
        <w:t>s</w:t>
      </w:r>
    </w:p>
    <w:p>
      <w:pPr>
        <w:pStyle w:val="Normal"/>
        <w:spacing w:lineRule="auto" w:line="276"/>
        <w:rPr>
          <w:rFonts w:ascii="Arial" w:hAnsi="Arial" w:eastAsia="Calibri" w:cs="Arial"/>
          <w:sz w:val="22"/>
          <w:szCs w:val="22"/>
        </w:rPr>
      </w:pPr>
      <w:r>
        <w:rPr>
          <w:rFonts w:eastAsia="Calibri" w:cs="Arial" w:ascii="Arial" w:hAnsi="Arial"/>
          <w:sz w:val="22"/>
          <w:szCs w:val="22"/>
        </w:rPr>
        <w:t>2.    This role wholly or mainly involves working with children</w:t>
      </w:r>
    </w:p>
    <w:p>
      <w:pPr>
        <w:pStyle w:val="Normal"/>
        <w:rPr>
          <w:rFonts w:ascii="Arial" w:hAnsi="Arial" w:cs="Arial"/>
          <w:b/>
          <w:b/>
          <w:sz w:val="22"/>
          <w:szCs w:val="22"/>
        </w:rPr>
      </w:pPr>
      <w:r>
        <w:rPr>
          <w:rFonts w:cs="Arial" w:ascii="Arial" w:hAnsi="Arial"/>
          <w:b/>
          <w:sz w:val="22"/>
          <w:szCs w:val="22"/>
        </w:rPr>
      </w:r>
    </w:p>
    <w:p>
      <w:pPr>
        <w:pStyle w:val="NoSpacing"/>
        <w:numPr>
          <w:ilvl w:val="0"/>
          <w:numId w:val="0"/>
        </w:numPr>
        <w:ind w:left="0" w:hanging="0"/>
        <w:jc w:val="both"/>
        <w:rPr>
          <w:rFonts w:ascii="Arial" w:hAnsi="Arial" w:cs="Arial"/>
          <w:b/>
          <w:b/>
        </w:rPr>
      </w:pPr>
      <w:r>
        <w:rPr>
          <w:rFonts w:cs="Arial" w:ascii="Arial" w:hAnsi="Arial"/>
          <w:b/>
        </w:rPr>
        <w:t>General</w:t>
      </w:r>
    </w:p>
    <w:p>
      <w:pPr>
        <w:pStyle w:val="NoSpacing"/>
        <w:numPr>
          <w:ilvl w:val="0"/>
          <w:numId w:val="2"/>
        </w:numPr>
        <w:ind w:left="426" w:right="0" w:hanging="426"/>
        <w:jc w:val="both"/>
        <w:rPr>
          <w:rFonts w:ascii="Arial" w:hAnsi="Arial" w:cs="Arial"/>
        </w:rPr>
      </w:pPr>
      <w:r>
        <w:rPr>
          <w:rFonts w:cs="Arial" w:ascii="Arial" w:hAnsi="Arial"/>
        </w:rPr>
        <w:t>To participate in wider Academy meetings and working groups as required</w:t>
      </w:r>
    </w:p>
    <w:p>
      <w:pPr>
        <w:pStyle w:val="Normal"/>
        <w:widowControl w:val="false"/>
        <w:tabs>
          <w:tab w:val="clear" w:pos="720"/>
          <w:tab w:val="left" w:pos="220" w:leader="none"/>
          <w:tab w:val="left" w:pos="360" w:leader="none"/>
        </w:tabs>
        <w:rPr>
          <w:rFonts w:ascii="Arial" w:hAnsi="Arial" w:cs="Arial"/>
          <w:lang w:val="en-US"/>
        </w:rPr>
      </w:pPr>
      <w:r>
        <w:rPr>
          <w:rFonts w:cs="Arial" w:ascii="Arial" w:hAnsi="Arial"/>
          <w:lang w:val="en-US"/>
        </w:rPr>
      </w:r>
    </w:p>
    <w:p>
      <w:pPr>
        <w:pStyle w:val="NoSpacing"/>
        <w:jc w:val="both"/>
        <w:rPr>
          <w:rFonts w:ascii="Arial" w:hAnsi="Arial" w:cs="Arial"/>
        </w:rPr>
      </w:pPr>
      <w:r>
        <w:rPr>
          <w:rFonts w:cs="Arial" w:ascii="Arial" w:hAnsi="Arial"/>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pPr>
        <w:pStyle w:val="NoSpacing"/>
        <w:rPr>
          <w:rFonts w:ascii="Arial" w:hAnsi="Arial" w:cs="Arial"/>
        </w:rPr>
      </w:pPr>
      <w:r>
        <w:rPr>
          <w:rFonts w:cs="Arial" w:ascii="Arial" w:hAnsi="Arial"/>
        </w:rPr>
      </w:r>
    </w:p>
    <w:p>
      <w:pPr>
        <w:pStyle w:val="Normal"/>
        <w:rPr>
          <w:rFonts w:ascii="Arial" w:hAnsi="Arial" w:cs="Arial"/>
          <w:sz w:val="22"/>
          <w:szCs w:val="22"/>
        </w:rPr>
      </w:pPr>
      <w:r>
        <w:rPr>
          <w:rFonts w:cs="Arial" w:ascii="Arial" w:hAnsi="Arial"/>
          <w:sz w:val="22"/>
          <w:szCs w:val="22"/>
        </w:rPr>
        <w:t>NET is committed to safeguarding and promoting the welfare of children and young people. We expect all staff to share this commitment and to undergo appropriate checks, including an enhanced DBS check.</w:t>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r>
    </w:p>
    <w:p>
      <w:pPr>
        <w:pStyle w:val="NoSpacing"/>
        <w:rPr>
          <w:rFonts w:ascii="Arial" w:hAnsi="Arial" w:cs="Arial"/>
        </w:rPr>
      </w:pPr>
      <w:r>
        <w:rPr>
          <w:rFonts w:cs="Arial" w:ascii="Arial" w:hAnsi="Arial"/>
        </w:rPr>
        <w:t>Signed: ……………………………………</w:t>
        <w:tab/>
        <w:tab/>
        <w:t>Date: ……………………………….</w:t>
      </w:r>
    </w:p>
    <w:p>
      <w:pPr>
        <w:pStyle w:val="Normal"/>
        <w:rPr/>
      </w:pPr>
      <w:r>
        <w:rPr/>
      </w:r>
    </w:p>
    <w:sectPr>
      <w:footerReference w:type="default" r:id="rId3"/>
      <w:type w:val="nextPage"/>
      <w:pgSz w:w="11906" w:h="16838"/>
      <w:pgMar w:left="1440" w:right="1440" w:header="0" w:top="1026" w:footer="708" w:bottom="851" w:gutter="0"/>
      <w:pgNumType w:start="32"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ZapfCalligr BT">
    <w:charset w:val="00"/>
    <w:family w:val="roman"/>
    <w:pitch w:val="variable"/>
  </w:font>
  <w:font w:name="Courier New">
    <w:charset w:val="01"/>
    <w:family w:val="modern"/>
    <w:pitch w:val="default"/>
  </w:font>
  <w:font w:name="Wingdings">
    <w:charset w:val="02"/>
    <w:family w:val="auto"/>
    <w:pitch w:val="variable"/>
  </w:font>
  <w:font w:name="Calibri">
    <w:charset w:val="01"/>
    <w:family w:val="swiss"/>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left="0" w:right="360" w:hanging="0"/>
      <w:rPr/>
    </w:pPr>
    <w:r>
      <w:rPr/>
    </w:r>
    <w:r>
      <mc:AlternateContent>
        <mc:Choice Requires="wps">
          <w:drawing>
            <wp:anchor behindDoc="1" distT="0" distB="0" distL="0" distR="0" simplePos="0" locked="0" layoutInCell="1" allowOverlap="1" relativeHeight="5">
              <wp:simplePos x="0" y="0"/>
              <wp:positionH relativeFrom="rightMargin">
                <wp:posOffset>0</wp:posOffset>
              </wp:positionH>
              <wp:positionV relativeFrom="paragraph">
                <wp:posOffset>635</wp:posOffset>
              </wp:positionV>
              <wp:extent cx="15875" cy="174625"/>
              <wp:effectExtent l="0" t="0" r="0" b="0"/>
              <wp:wrapNone/>
              <wp:docPr id="2" name="Frame1"/>
              <a:graphic xmlns:a="http://schemas.openxmlformats.org/drawingml/2006/main">
                <a:graphicData uri="http://schemas.microsoft.com/office/word/2010/wordprocessingShape">
                  <wps:wsp>
                    <wps:cNvSpPr txBox="1"/>
                    <wps:spPr>
                      <a:xfrm>
                        <a:off x="0" y="0"/>
                        <a:ext cx="15875" cy="174625"/>
                      </a:xfrm>
                      <a:prstGeom prst="rect"/>
                      <a:solidFill>
                        <a:srgbClr val="FFFFFF">
                          <a:alpha val="0"/>
                        </a:srgbClr>
                      </a:solidFill>
                    </wps:spPr>
                    <wps:txbx>
                      <w:txbxContent>
                        <w:p>
                          <w:pPr>
                            <w:pStyle w:val="Footer"/>
                            <w:pBdr/>
                            <w:rPr/>
                          </w:pPr>
                          <w:r>
                            <w:rPr/>
                          </w:r>
                        </w:p>
                      </w:txbxContent>
                    </wps:txbx>
                    <wps:bodyPr anchor="t" lIns="635" tIns="635" rIns="635" bIns="635">
                      <a:noAutofit/>
                    </wps:bodyPr>
                  </wps:wsp>
                </a:graphicData>
              </a:graphic>
            </wp:anchor>
          </w:drawing>
        </mc:Choice>
        <mc:Fallback>
          <w:pict>
            <v:rect fillcolor="#FFFFFF" style="position:absolute;rotation:0;width:1.25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86" w:hanging="360"/>
      </w:pPr>
      <w:rPr>
        <w:i w:val="false"/>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Calibri" w:hAnsi="Calibri" w:cs="Calibri" w:hint="default"/>
        <w:sz w:val="22"/>
        <w:b/>
        <w:rFonts w:cs="Calibri"/>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927" w:hanging="360"/>
      </w:pPr>
      <w:rPr>
        <w:rFonts w:ascii="Calibri" w:hAnsi="Calibri" w:cs="Calibri" w:hint="default"/>
        <w:sz w:val="22"/>
        <w:b/>
        <w:rFonts w:cs="Calibri"/>
      </w:rPr>
    </w:lvl>
    <w:lvl w:ilvl="1">
      <w:start w:val="1"/>
      <w:numFmt w:val="bullet"/>
      <w:lvlText w:val="o"/>
      <w:lvlJc w:val="left"/>
      <w:pPr>
        <w:ind w:left="1647" w:hanging="360"/>
      </w:pPr>
      <w:rPr>
        <w:rFonts w:ascii="Courier New" w:hAnsi="Courier New" w:cs="Courier New" w:hint="default"/>
        <w:rFonts w:cs="Courier New"/>
      </w:rPr>
    </w:lvl>
    <w:lvl w:ilvl="2">
      <w:start w:val="1"/>
      <w:numFmt w:val="bullet"/>
      <w:lvlText w:val=""/>
      <w:lvlJc w:val="left"/>
      <w:pPr>
        <w:ind w:left="2367" w:hanging="360"/>
      </w:pPr>
      <w:rPr>
        <w:rFonts w:ascii="Wingdings" w:hAnsi="Wingdings" w:cs="Wingdings" w:hint="default"/>
        <w:rFonts w:cs="Wingdings"/>
      </w:rPr>
    </w:lvl>
    <w:lvl w:ilvl="3">
      <w:start w:val="1"/>
      <w:numFmt w:val="bullet"/>
      <w:lvlText w:val=""/>
      <w:lvlJc w:val="left"/>
      <w:pPr>
        <w:ind w:left="3087" w:hanging="360"/>
      </w:pPr>
      <w:rPr>
        <w:rFonts w:ascii="Symbol" w:hAnsi="Symbol" w:cs="Symbol" w:hint="default"/>
        <w:rFonts w:cs="Symbol"/>
      </w:rPr>
    </w:lvl>
    <w:lvl w:ilvl="4">
      <w:start w:val="1"/>
      <w:numFmt w:val="bullet"/>
      <w:lvlText w:val="o"/>
      <w:lvlJc w:val="left"/>
      <w:pPr>
        <w:ind w:left="3807" w:hanging="360"/>
      </w:pPr>
      <w:rPr>
        <w:rFonts w:ascii="Courier New" w:hAnsi="Courier New" w:cs="Courier New" w:hint="default"/>
        <w:rFonts w:cs="Courier New"/>
      </w:rPr>
    </w:lvl>
    <w:lvl w:ilvl="5">
      <w:start w:val="1"/>
      <w:numFmt w:val="bullet"/>
      <w:lvlText w:val=""/>
      <w:lvlJc w:val="left"/>
      <w:pPr>
        <w:ind w:left="4527" w:hanging="360"/>
      </w:pPr>
      <w:rPr>
        <w:rFonts w:ascii="Wingdings" w:hAnsi="Wingdings" w:cs="Wingdings" w:hint="default"/>
        <w:rFonts w:cs="Wingdings"/>
      </w:rPr>
    </w:lvl>
    <w:lvl w:ilvl="6">
      <w:start w:val="1"/>
      <w:numFmt w:val="bullet"/>
      <w:lvlText w:val=""/>
      <w:lvlJc w:val="left"/>
      <w:pPr>
        <w:ind w:left="5247" w:hanging="360"/>
      </w:pPr>
      <w:rPr>
        <w:rFonts w:ascii="Symbol" w:hAnsi="Symbol" w:cs="Symbol" w:hint="default"/>
        <w:rFonts w:cs="Symbol"/>
      </w:rPr>
    </w:lvl>
    <w:lvl w:ilvl="7">
      <w:start w:val="1"/>
      <w:numFmt w:val="bullet"/>
      <w:lvlText w:val="o"/>
      <w:lvlJc w:val="left"/>
      <w:pPr>
        <w:ind w:left="5967" w:hanging="360"/>
      </w:pPr>
      <w:rPr>
        <w:rFonts w:ascii="Courier New" w:hAnsi="Courier New" w:cs="Courier New" w:hint="default"/>
        <w:rFonts w:cs="Courier New"/>
      </w:rPr>
    </w:lvl>
    <w:lvl w:ilvl="8">
      <w:start w:val="1"/>
      <w:numFmt w:val="bullet"/>
      <w:lvlText w:val=""/>
      <w:lvlJc w:val="left"/>
      <w:pPr>
        <w:ind w:left="6687" w:hanging="360"/>
      </w:pPr>
      <w:rPr>
        <w:rFonts w:ascii="Wingdings" w:hAnsi="Wingdings" w:cs="Wingdings" w:hint="default"/>
        <w:rFonts w:cs="Wingdings"/>
      </w:rPr>
    </w:lvl>
  </w:abstractNum>
  <w:abstractNum w:abstractNumId="7">
    <w:lvl w:ilvl="0">
      <w:start w:val="1"/>
      <w:numFmt w:val="bullet"/>
      <w:lvlText w:val="•"/>
      <w:lvlJc w:val="left"/>
      <w:pPr>
        <w:ind w:left="927" w:hanging="360"/>
      </w:pPr>
      <w:rPr>
        <w:rFonts w:ascii="Calibri" w:hAnsi="Calibri" w:cs="Calibri" w:hint="default"/>
        <w:sz w:val="22"/>
        <w:b/>
        <w:rFonts w:cs="Calibri"/>
      </w:rPr>
    </w:lvl>
    <w:lvl w:ilvl="1">
      <w:start w:val="1"/>
      <w:numFmt w:val="bullet"/>
      <w:lvlText w:val="o"/>
      <w:lvlJc w:val="left"/>
      <w:pPr>
        <w:ind w:left="1647" w:hanging="360"/>
      </w:pPr>
      <w:rPr>
        <w:rFonts w:ascii="Courier New" w:hAnsi="Courier New" w:cs="Courier New" w:hint="default"/>
        <w:rFonts w:cs="Courier New"/>
      </w:rPr>
    </w:lvl>
    <w:lvl w:ilvl="2">
      <w:start w:val="1"/>
      <w:numFmt w:val="bullet"/>
      <w:lvlText w:val=""/>
      <w:lvlJc w:val="left"/>
      <w:pPr>
        <w:ind w:left="2367" w:hanging="360"/>
      </w:pPr>
      <w:rPr>
        <w:rFonts w:ascii="Wingdings" w:hAnsi="Wingdings" w:cs="Wingdings" w:hint="default"/>
        <w:rFonts w:cs="Wingdings"/>
      </w:rPr>
    </w:lvl>
    <w:lvl w:ilvl="3">
      <w:start w:val="1"/>
      <w:numFmt w:val="bullet"/>
      <w:lvlText w:val=""/>
      <w:lvlJc w:val="left"/>
      <w:pPr>
        <w:ind w:left="3087" w:hanging="360"/>
      </w:pPr>
      <w:rPr>
        <w:rFonts w:ascii="Symbol" w:hAnsi="Symbol" w:cs="Symbol" w:hint="default"/>
        <w:rFonts w:cs="Symbol"/>
      </w:rPr>
    </w:lvl>
    <w:lvl w:ilvl="4">
      <w:start w:val="1"/>
      <w:numFmt w:val="bullet"/>
      <w:lvlText w:val="o"/>
      <w:lvlJc w:val="left"/>
      <w:pPr>
        <w:ind w:left="3807" w:hanging="360"/>
      </w:pPr>
      <w:rPr>
        <w:rFonts w:ascii="Courier New" w:hAnsi="Courier New" w:cs="Courier New" w:hint="default"/>
        <w:rFonts w:cs="Courier New"/>
      </w:rPr>
    </w:lvl>
    <w:lvl w:ilvl="5">
      <w:start w:val="1"/>
      <w:numFmt w:val="bullet"/>
      <w:lvlText w:val=""/>
      <w:lvlJc w:val="left"/>
      <w:pPr>
        <w:ind w:left="4527" w:hanging="360"/>
      </w:pPr>
      <w:rPr>
        <w:rFonts w:ascii="Wingdings" w:hAnsi="Wingdings" w:cs="Wingdings" w:hint="default"/>
        <w:rFonts w:cs="Wingdings"/>
      </w:rPr>
    </w:lvl>
    <w:lvl w:ilvl="6">
      <w:start w:val="1"/>
      <w:numFmt w:val="bullet"/>
      <w:lvlText w:val=""/>
      <w:lvlJc w:val="left"/>
      <w:pPr>
        <w:ind w:left="5247" w:hanging="360"/>
      </w:pPr>
      <w:rPr>
        <w:rFonts w:ascii="Symbol" w:hAnsi="Symbol" w:cs="Symbol" w:hint="default"/>
        <w:rFonts w:cs="Symbol"/>
      </w:rPr>
    </w:lvl>
    <w:lvl w:ilvl="7">
      <w:start w:val="1"/>
      <w:numFmt w:val="bullet"/>
      <w:lvlText w:val="o"/>
      <w:lvlJc w:val="left"/>
      <w:pPr>
        <w:ind w:left="5967" w:hanging="360"/>
      </w:pPr>
      <w:rPr>
        <w:rFonts w:ascii="Courier New" w:hAnsi="Courier New" w:cs="Courier New" w:hint="default"/>
        <w:rFonts w:cs="Courier New"/>
      </w:rPr>
    </w:lvl>
    <w:lvl w:ilvl="8">
      <w:start w:val="1"/>
      <w:numFmt w:val="bullet"/>
      <w:lvlText w:val=""/>
      <w:lvlJc w:val="left"/>
      <w:pPr>
        <w:ind w:left="6687" w:hanging="360"/>
      </w:pPr>
      <w:rPr>
        <w:rFonts w:ascii="Wingdings" w:hAnsi="Wingdings" w:cs="Wingdings" w:hint="default"/>
        <w:rFonts w:cs="Wingdings"/>
      </w:rPr>
    </w:lvl>
  </w:abstractNum>
  <w:abstractNum w:abstractNumId="8">
    <w:lvl w:ilvl="0">
      <w:start w:val="1"/>
      <w:numFmt w:val="bullet"/>
      <w:lvlText w:val="•"/>
      <w:lvlJc w:val="left"/>
      <w:pPr>
        <w:ind w:left="927" w:hanging="360"/>
      </w:pPr>
      <w:rPr>
        <w:rFonts w:ascii="Calibri" w:hAnsi="Calibri" w:cs="Calibri" w:hint="default"/>
        <w:sz w:val="22"/>
        <w:b/>
        <w:rFonts w:cs="Calibri"/>
      </w:rPr>
    </w:lvl>
    <w:lvl w:ilvl="1">
      <w:start w:val="1"/>
      <w:numFmt w:val="bullet"/>
      <w:lvlText w:val="o"/>
      <w:lvlJc w:val="left"/>
      <w:pPr>
        <w:ind w:left="1647" w:hanging="360"/>
      </w:pPr>
      <w:rPr>
        <w:rFonts w:ascii="Courier New" w:hAnsi="Courier New" w:cs="Courier New" w:hint="default"/>
        <w:rFonts w:cs="Courier New"/>
      </w:rPr>
    </w:lvl>
    <w:lvl w:ilvl="2">
      <w:start w:val="1"/>
      <w:numFmt w:val="bullet"/>
      <w:lvlText w:val=""/>
      <w:lvlJc w:val="left"/>
      <w:pPr>
        <w:ind w:left="2367" w:hanging="360"/>
      </w:pPr>
      <w:rPr>
        <w:rFonts w:ascii="Wingdings" w:hAnsi="Wingdings" w:cs="Wingdings" w:hint="default"/>
        <w:rFonts w:cs="Wingdings"/>
      </w:rPr>
    </w:lvl>
    <w:lvl w:ilvl="3">
      <w:start w:val="1"/>
      <w:numFmt w:val="bullet"/>
      <w:lvlText w:val=""/>
      <w:lvlJc w:val="left"/>
      <w:pPr>
        <w:ind w:left="3087" w:hanging="360"/>
      </w:pPr>
      <w:rPr>
        <w:rFonts w:ascii="Symbol" w:hAnsi="Symbol" w:cs="Symbol" w:hint="default"/>
        <w:rFonts w:cs="Symbol"/>
      </w:rPr>
    </w:lvl>
    <w:lvl w:ilvl="4">
      <w:start w:val="1"/>
      <w:numFmt w:val="bullet"/>
      <w:lvlText w:val="o"/>
      <w:lvlJc w:val="left"/>
      <w:pPr>
        <w:ind w:left="3807" w:hanging="360"/>
      </w:pPr>
      <w:rPr>
        <w:rFonts w:ascii="Courier New" w:hAnsi="Courier New" w:cs="Courier New" w:hint="default"/>
        <w:rFonts w:cs="Courier New"/>
      </w:rPr>
    </w:lvl>
    <w:lvl w:ilvl="5">
      <w:start w:val="1"/>
      <w:numFmt w:val="bullet"/>
      <w:lvlText w:val=""/>
      <w:lvlJc w:val="left"/>
      <w:pPr>
        <w:ind w:left="4527" w:hanging="360"/>
      </w:pPr>
      <w:rPr>
        <w:rFonts w:ascii="Wingdings" w:hAnsi="Wingdings" w:cs="Wingdings" w:hint="default"/>
        <w:rFonts w:cs="Wingdings"/>
      </w:rPr>
    </w:lvl>
    <w:lvl w:ilvl="6">
      <w:start w:val="1"/>
      <w:numFmt w:val="bullet"/>
      <w:lvlText w:val=""/>
      <w:lvlJc w:val="left"/>
      <w:pPr>
        <w:ind w:left="5247" w:hanging="360"/>
      </w:pPr>
      <w:rPr>
        <w:rFonts w:ascii="Symbol" w:hAnsi="Symbol" w:cs="Symbol" w:hint="default"/>
        <w:rFonts w:cs="Symbol"/>
      </w:rPr>
    </w:lvl>
    <w:lvl w:ilvl="7">
      <w:start w:val="1"/>
      <w:numFmt w:val="bullet"/>
      <w:lvlText w:val="o"/>
      <w:lvlJc w:val="left"/>
      <w:pPr>
        <w:ind w:left="5967" w:hanging="360"/>
      </w:pPr>
      <w:rPr>
        <w:rFonts w:ascii="Courier New" w:hAnsi="Courier New" w:cs="Courier New" w:hint="default"/>
        <w:rFonts w:cs="Courier New"/>
      </w:rPr>
    </w:lvl>
    <w:lvl w:ilvl="8">
      <w:start w:val="1"/>
      <w:numFmt w:val="bullet"/>
      <w:lvlText w:val=""/>
      <w:lvlJc w:val="left"/>
      <w:pPr>
        <w:ind w:left="6687" w:hanging="360"/>
      </w:pPr>
      <w:rPr>
        <w:rFonts w:ascii="Wingdings" w:hAnsi="Wingdings" w:cs="Wingdings" w:hint="default"/>
        <w:rFonts w:cs="Wingdings"/>
      </w:rPr>
    </w:lvl>
  </w:abstractNum>
  <w:abstractNum w:abstractNumId="9">
    <w:lvl w:ilvl="0">
      <w:start w:val="1"/>
      <w:numFmt w:val="bullet"/>
      <w:lvlText w:val="•"/>
      <w:lvlJc w:val="left"/>
      <w:pPr>
        <w:ind w:left="360" w:hanging="360"/>
      </w:pPr>
      <w:rPr>
        <w:rFonts w:ascii="Calibri" w:hAnsi="Calibri" w:cs="Calibri" w:hint="default"/>
        <w:sz w:val="22"/>
        <w:b/>
        <w:rFonts w:cs="Calibri"/>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10">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1">
    <w:lvl w:ilvl="0">
      <w:start w:val="1"/>
      <w:numFmt w:val="decimal"/>
      <w:lvlText w:val="%1."/>
      <w:lvlJc w:val="left"/>
      <w:pPr>
        <w:ind w:left="720" w:hanging="360"/>
      </w:pPr>
      <w:rPr>
        <w:sz w:val="22"/>
        <w:b/>
        <w:rFonts w:ascii="Arial" w:hAnsi="Arial"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US" w:bidi="ar-SA"/>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4">
    <w:name w:val="Heading 4"/>
    <w:basedOn w:val="Normal"/>
    <w:next w:val="Normal"/>
    <w:qFormat/>
    <w:pPr>
      <w:keepNext w:val="true"/>
      <w:numPr>
        <w:ilvl w:val="3"/>
        <w:numId w:val="1"/>
      </w:numPr>
      <w:outlineLvl w:val="3"/>
    </w:pPr>
    <w:rPr>
      <w:rFonts w:ascii="ZapfCalligr BT" w:hAnsi="ZapfCalligr BT" w:cs="ZapfCalligr BT"/>
      <w:b/>
      <w:szCs w:val="20"/>
      <w:u w:val="single"/>
    </w:rPr>
  </w:style>
  <w:style w:type="character" w:styleId="WW8Num1z0">
    <w:name w:val="WW8Num1z0"/>
    <w:qFormat/>
    <w:rPr>
      <w:rFonts w:ascii="Arial" w:hAnsi="Arial" w:cs="Arial"/>
      <w:i w:val="false"/>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Calibri" w:hAnsi="Calibri" w:cs="Calibri"/>
      <w:b/>
      <w:sz w:val="22"/>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Calibri" w:hAnsi="Calibri" w:cs="Calibri"/>
      <w:b/>
      <w:sz w:val="22"/>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6z0">
    <w:name w:val="WW8Num6z0"/>
    <w:qFormat/>
    <w:rPr>
      <w:rFonts w:ascii="Calibri" w:hAnsi="Calibri" w:cs="Calibri"/>
      <w:b/>
      <w:sz w:val="22"/>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rFonts w:ascii="Calibri" w:hAnsi="Calibri" w:cs="Calibri"/>
      <w:b/>
      <w:sz w:val="22"/>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8z0">
    <w:name w:val="WW8Num8z0"/>
    <w:qFormat/>
    <w:rPr>
      <w:rFonts w:ascii="Calibri" w:hAnsi="Calibri" w:cs="Calibri"/>
      <w:b/>
      <w:sz w:val="22"/>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8z3">
    <w:name w:val="WW8Num8z3"/>
    <w:qFormat/>
    <w:rPr>
      <w:rFonts w:ascii="Symbol" w:hAnsi="Symbol" w:cs="Symbol"/>
    </w:rPr>
  </w:style>
  <w:style w:type="character" w:styleId="WW8Num9z0">
    <w:name w:val="WW8Num9z0"/>
    <w:qFormat/>
    <w:rPr>
      <w:rFonts w:ascii="Wingdings" w:hAnsi="Wingdings" w:cs="Wingdings"/>
    </w:rPr>
  </w:style>
  <w:style w:type="character" w:styleId="WW8Num9z1">
    <w:name w:val="WW8Num9z1"/>
    <w:qFormat/>
    <w:rPr>
      <w:rFonts w:ascii="Courier New" w:hAnsi="Courier New" w:cs="Courier New"/>
    </w:rPr>
  </w:style>
  <w:style w:type="character" w:styleId="WW8Num9z3">
    <w:name w:val="WW8Num9z3"/>
    <w:qFormat/>
    <w:rPr>
      <w:rFonts w:ascii="Symbol" w:hAnsi="Symbol" w:cs="Symbol"/>
    </w:rPr>
  </w:style>
  <w:style w:type="character" w:styleId="WW8Num10z0">
    <w:name w:val="WW8Num10z0"/>
    <w:qFormat/>
    <w:rPr>
      <w:rFonts w:ascii="Arial" w:hAnsi="Arial" w:cs="Arial"/>
      <w:b/>
      <w:sz w:val="22"/>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DefaultParagraphFont">
    <w:name w:val="Default Paragraph Font"/>
    <w:qFormat/>
    <w:rPr/>
  </w:style>
  <w:style w:type="character" w:styleId="Heading2Char">
    <w:name w:val="Heading 2 Char"/>
    <w:basedOn w:val="DefaultParagraphFont"/>
    <w:qFormat/>
    <w:rPr>
      <w:rFonts w:ascii="Arial" w:hAnsi="Arial" w:eastAsia="Times New Roman" w:cs="Arial"/>
      <w:b/>
      <w:bCs/>
      <w:i/>
      <w:iCs/>
      <w:sz w:val="28"/>
      <w:szCs w:val="28"/>
    </w:rPr>
  </w:style>
  <w:style w:type="character" w:styleId="Heading4Char">
    <w:name w:val="Heading 4 Char"/>
    <w:basedOn w:val="DefaultParagraphFont"/>
    <w:qFormat/>
    <w:rPr>
      <w:rFonts w:ascii="ZapfCalligr BT" w:hAnsi="ZapfCalligr BT" w:eastAsia="Times New Roman" w:cs="Times New Roman"/>
      <w:b/>
      <w:sz w:val="24"/>
      <w:szCs w:val="20"/>
      <w:u w:val="single"/>
    </w:rPr>
  </w:style>
  <w:style w:type="character" w:styleId="FooterChar">
    <w:name w:val="Footer Char"/>
    <w:basedOn w:val="DefaultParagraphFont"/>
    <w:qFormat/>
    <w:rPr>
      <w:rFonts w:ascii="Times New Roman" w:hAnsi="Times New Roman" w:eastAsia="Times New Roman" w:cs="Times New Roman"/>
      <w:sz w:val="24"/>
      <w:szCs w:val="24"/>
    </w:rPr>
  </w:style>
  <w:style w:type="character" w:styleId="Pagenumber">
    <w:name w:val="page number"/>
    <w:basedOn w:val="DefaultParagraphFont"/>
    <w:qFormat/>
    <w:rPr/>
  </w:style>
  <w:style w:type="character" w:styleId="HeaderChar">
    <w:name w:val="Header Char"/>
    <w:basedOn w:val="DefaultParagraphFont"/>
    <w:qFormat/>
    <w:rPr>
      <w:rFonts w:ascii="Times New Roman" w:hAnsi="Times New Roman" w:eastAsia="Times New Roman" w:cs="Times New Roman"/>
      <w:sz w:val="24"/>
      <w:szCs w:val="24"/>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4"/>
      <w:szCs w:val="22"/>
      <w:lang w:val="en-GB" w:eastAsia="en-US" w:bidi="ar-SA"/>
    </w:rPr>
  </w:style>
  <w:style w:type="paragraph" w:styleId="ListParagraph">
    <w:name w:val="List Paragraph"/>
    <w:basedOn w:val="Normal"/>
    <w:qFormat/>
    <w:pPr>
      <w:spacing w:before="0" w:after="0"/>
      <w:ind w:left="720" w:right="0" w:hanging="0"/>
      <w:contextualSpacing/>
    </w:pPr>
    <w:rPr/>
  </w:style>
  <w:style w:type="paragraph" w:styleId="HeaderandFooter">
    <w:name w:val="Header and Footer"/>
    <w:basedOn w:val="Normal"/>
    <w:qFormat/>
    <w:pPr/>
    <w:rPr/>
  </w:style>
  <w:style w:type="paragraph" w:styleId="Footer">
    <w:name w:val="Footer"/>
    <w:basedOn w:val="Normal"/>
    <w:pPr>
      <w:tabs>
        <w:tab w:val="clear" w:pos="720"/>
        <w:tab w:val="center" w:pos="4513" w:leader="none"/>
        <w:tab w:val="right" w:pos="9026" w:leader="none"/>
      </w:tabs>
    </w:pPr>
    <w:rPr/>
  </w:style>
  <w:style w:type="paragraph" w:styleId="Header">
    <w:name w:val="Head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