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png" ContentType="image/png"/>
  <Override PartName="/word/media/image3.jpeg" ContentType="image/jpeg"/>
  <Override PartName="/word/media/image4.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drawing>
          <wp:anchor behindDoc="0" distT="0" distB="0" distL="114300" distR="114300" simplePos="0" locked="0" layoutInCell="1" allowOverlap="1" relativeHeight="9">
            <wp:simplePos x="0" y="0"/>
            <wp:positionH relativeFrom="margin">
              <wp:align>center</wp:align>
            </wp:positionH>
            <wp:positionV relativeFrom="paragraph">
              <wp:posOffset>11430</wp:posOffset>
            </wp:positionV>
            <wp:extent cx="1536065" cy="403225"/>
            <wp:effectExtent l="0" t="0" r="0" b="0"/>
            <wp:wrapSquare wrapText="bothSides"/>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3" t="-89" r="-23" b="-89"/>
                    <a:stretch>
                      <a:fillRect/>
                    </a:stretch>
                  </pic:blipFill>
                  <pic:spPr bwMode="auto">
                    <a:xfrm>
                      <a:off x="0" y="0"/>
                      <a:ext cx="1536065" cy="403225"/>
                    </a:xfrm>
                    <a:prstGeom prst="rect">
                      <a:avLst/>
                    </a:prstGeom>
                  </pic:spPr>
                </pic:pic>
              </a:graphicData>
            </a:graphic>
          </wp:anchor>
        </w:drawing>
      </w:r>
    </w:p>
    <w:p>
      <w:pPr>
        <w:pStyle w:val="Normal"/>
        <w:jc w:val="center"/>
        <w:rPr/>
      </w:pPr>
      <w:r>
        <w:rPr/>
      </w:r>
    </w:p>
    <w:p>
      <w:pPr>
        <w:pStyle w:val="Normal"/>
        <w:jc w:val="center"/>
        <w:rPr>
          <w:rFonts w:ascii="GILL SANS SEMIBOLD" w:hAnsi="GILL SANS SEMIBOLD" w:eastAsia="Times New Roman" w:cs="GILL SANS SEMIBOLD"/>
          <w:b/>
          <w:b/>
          <w:bCs/>
          <w:color w:val="141518"/>
          <w:sz w:val="22"/>
          <w:szCs w:val="22"/>
          <w:highlight w:val="white"/>
          <w:lang w:eastAsia="en-GB"/>
        </w:rPr>
      </w:pPr>
      <w:r>
        <w:rPr>
          <w:rFonts w:eastAsia="Times New Roman" w:cs="GILL SANS SEMIBOLD" w:ascii="GILL SANS SEMIBOLD" w:hAnsi="GILL SANS SEMIBOLD"/>
          <w:b/>
          <w:bCs/>
          <w:color w:val="141518"/>
          <w:sz w:val="22"/>
          <w:szCs w:val="22"/>
          <w:shd w:fill="FFFFFF" w:val="clear"/>
          <w:lang w:eastAsia="en-GB"/>
        </w:rPr>
      </w:r>
    </w:p>
    <w:p>
      <w:pPr>
        <w:pStyle w:val="Normal"/>
        <w:jc w:val="center"/>
        <w:rPr>
          <w:rFonts w:ascii="GILL SANS SEMIBOLD" w:hAnsi="GILL SANS SEMIBOLD" w:eastAsia="Times New Roman" w:cs="GILL SANS SEMIBOLD"/>
          <w:b/>
          <w:b/>
          <w:bCs/>
          <w:i/>
          <w:i/>
          <w:iCs/>
          <w:color w:val="141518"/>
          <w:sz w:val="22"/>
          <w:szCs w:val="22"/>
          <w:highlight w:val="white"/>
          <w:lang w:eastAsia="en-GB"/>
        </w:rPr>
      </w:pPr>
      <w:r>
        <w:rPr>
          <w:rFonts w:eastAsia="Times New Roman" w:cs="GILL SANS SEMIBOLD" w:ascii="GILL SANS SEMIBOLD" w:hAnsi="GILL SANS SEMIBOLD"/>
          <w:b/>
          <w:bCs/>
          <w:i/>
          <w:iCs/>
          <w:color w:val="141518"/>
          <w:sz w:val="22"/>
          <w:szCs w:val="22"/>
          <w:shd w:fill="FFFFFF" w:val="clear"/>
          <w:lang w:eastAsia="en-GB"/>
        </w:rPr>
        <w:t>Eccles Sixth Form College is a centre of vocational excellence, offering a range of vocational courses. a wealth of enrichment activities, specialised careers advice, and a comprehensive programme of support and personal development so that all students can flourish both academically and as individuals.</w:t>
      </w:r>
    </w:p>
    <w:p>
      <w:pPr>
        <w:pStyle w:val="Normal"/>
        <w:rPr/>
      </w:pPr>
      <w:r>
        <w:rPr/>
        <mc:AlternateContent>
          <mc:Choice Requires="wps">
            <w:drawing>
              <wp:anchor behindDoc="0" distT="0" distB="0" distL="114935" distR="114935" simplePos="0" locked="0" layoutInCell="1" allowOverlap="1" relativeHeight="5">
                <wp:simplePos x="0" y="0"/>
                <wp:positionH relativeFrom="margin">
                  <wp:posOffset>-579755</wp:posOffset>
                </wp:positionH>
                <wp:positionV relativeFrom="paragraph">
                  <wp:posOffset>129540</wp:posOffset>
                </wp:positionV>
                <wp:extent cx="6892925" cy="635"/>
                <wp:effectExtent l="0" t="0" r="0" b="0"/>
                <wp:wrapNone/>
                <wp:docPr id="2" name="Straight Connector 6"/>
                <a:graphic xmlns:a="http://schemas.openxmlformats.org/drawingml/2006/main">
                  <a:graphicData uri="http://schemas.microsoft.com/office/word/2010/wordprocessingShape">
                    <wps:wsp>
                      <wps:cNvSpPr/>
                      <wps:spPr>
                        <a:xfrm>
                          <a:off x="0" y="0"/>
                          <a:ext cx="6892200" cy="0"/>
                        </a:xfrm>
                        <a:prstGeom prst="line">
                          <a:avLst/>
                        </a:prstGeom>
                        <a:ln w="6480">
                          <a:solidFill>
                            <a:srgbClr val="4472c4"/>
                          </a:solidFill>
                          <a:miter/>
                        </a:ln>
                      </wps:spPr>
                      <wps:style>
                        <a:lnRef idx="0"/>
                        <a:fillRef idx="0"/>
                        <a:effectRef idx="0"/>
                        <a:fontRef idx="minor"/>
                      </wps:style>
                      <wps:bodyPr/>
                    </wps:wsp>
                  </a:graphicData>
                </a:graphic>
              </wp:anchor>
            </w:drawing>
          </mc:Choice>
          <mc:Fallback>
            <w:pict>
              <v:line id="shape_0" from="-45.65pt,10.2pt" to="497pt,10.2pt" ID="Straight Connector 6" stroked="t" style="position:absolute;mso-position-horizontal-relative:margin">
                <v:stroke color="#4472c4" weight="6480" joinstyle="miter" endcap="flat"/>
                <v:fill o:detectmouseclick="t" on="false"/>
              </v:line>
            </w:pict>
          </mc:Fallback>
        </mc:AlternateContent>
      </w:r>
    </w:p>
    <w:p>
      <w:pPr>
        <w:pStyle w:val="Normal"/>
        <w:tabs>
          <w:tab w:val="clear" w:pos="720"/>
          <w:tab w:val="left" w:pos="8223" w:leader="none"/>
        </w:tabs>
        <w:rPr>
          <w:rFonts w:ascii="Gill Sans" w:hAnsi="Gill Sans" w:eastAsia="Times New Roman" w:cs="Gill Sans"/>
          <w:b/>
          <w:b/>
          <w:bCs/>
          <w:color w:val="141518"/>
          <w:sz w:val="40"/>
          <w:szCs w:val="40"/>
          <w:highlight w:val="white"/>
          <w:lang w:eastAsia="en-GB"/>
        </w:rPr>
      </w:pPr>
      <w:r>
        <w:rPr>
          <w:rFonts w:eastAsia="Times New Roman" w:cs="Gill Sans" w:ascii="Gill Sans" w:hAnsi="Gill Sans"/>
          <w:b/>
          <w:bCs/>
          <w:color w:val="141518"/>
          <w:sz w:val="40"/>
          <w:szCs w:val="40"/>
          <w:shd w:fill="FFFFFF" w:val="clear"/>
          <w:lang w:eastAsia="en-GB"/>
        </w:rPr>
        <w:t>Teacher of Health and Social Care</w:t>
      </w:r>
    </w:p>
    <w:p>
      <w:pPr>
        <w:pStyle w:val="Normal"/>
        <w:tabs>
          <w:tab w:val="clear" w:pos="720"/>
          <w:tab w:val="left" w:pos="8223" w:leader="none"/>
        </w:tabs>
        <w:rPr>
          <w:rFonts w:ascii="Gill Sans" w:hAnsi="Gill Sans" w:cs="Gill Sans"/>
          <w:b/>
          <w:b/>
          <w:bCs/>
          <w:sz w:val="22"/>
          <w:szCs w:val="22"/>
        </w:rPr>
      </w:pPr>
      <w:r>
        <w:rPr>
          <w:rFonts w:cs="Gill Sans" w:ascii="Gill Sans" w:hAnsi="Gill Sans"/>
          <w:b/>
          <w:bCs/>
          <w:sz w:val="22"/>
          <w:szCs w:val="22"/>
        </w:rPr>
      </w:r>
    </w:p>
    <w:p>
      <w:pPr>
        <w:pStyle w:val="Normal"/>
        <w:tabs>
          <w:tab w:val="clear" w:pos="720"/>
          <w:tab w:val="left" w:pos="8223" w:leader="none"/>
        </w:tabs>
        <w:jc w:val="both"/>
        <w:rPr/>
      </w:pPr>
      <w:r>
        <w:rPr>
          <w:rFonts w:cs="Gill Sans" w:ascii="Gill Sans" w:hAnsi="Gill Sans"/>
          <w:b/>
          <w:bCs/>
          <w:sz w:val="22"/>
          <w:szCs w:val="22"/>
        </w:rPr>
        <w:t xml:space="preserve">Reference: </w:t>
      </w:r>
      <w:r>
        <w:rPr>
          <w:rFonts w:cs="Gill Sans" w:ascii="Gill Sans" w:hAnsi="Gill Sans"/>
          <w:sz w:val="22"/>
          <w:szCs w:val="22"/>
        </w:rPr>
        <w:t>SCCG3023</w:t>
      </w:r>
      <w:r>
        <w:rPr>
          <w:rFonts w:cs="Gill Sans" w:ascii="Gill Sans" w:hAnsi="Gill Sans"/>
          <w:b/>
          <w:bCs/>
          <w:sz w:val="22"/>
          <w:szCs w:val="22"/>
        </w:rPr>
        <w:t xml:space="preserve"> | Closing Date:</w:t>
      </w:r>
      <w:r>
        <w:rPr>
          <w:rFonts w:cs="Gill Sans" w:ascii="Gill Sans" w:hAnsi="Gill Sans"/>
          <w:sz w:val="22"/>
          <w:szCs w:val="22"/>
        </w:rPr>
        <w:t xml:space="preserve"> 19/04/2026</w:t>
      </w:r>
      <w:r>
        <w:rPr>
          <w:rFonts w:cs="Gill Sans" w:ascii="Gill Sans" w:hAnsi="Gill Sans"/>
          <w:b/>
          <w:bCs/>
          <w:sz w:val="22"/>
          <w:szCs w:val="22"/>
        </w:rPr>
        <w:t xml:space="preserve"> | Interview Date: </w:t>
      </w:r>
      <w:r>
        <w:rPr>
          <w:rFonts w:cs="Gill Sans" w:ascii="Gill Sans" w:hAnsi="Gill Sans"/>
          <w:sz w:val="22"/>
          <w:szCs w:val="22"/>
        </w:rPr>
        <w:t xml:space="preserve">27/04/2026  </w:t>
      </w:r>
    </w:p>
    <w:p>
      <w:pPr>
        <w:pStyle w:val="Normal"/>
        <w:tabs>
          <w:tab w:val="clear" w:pos="720"/>
          <w:tab w:val="left" w:pos="8223" w:leader="none"/>
        </w:tabs>
        <w:jc w:val="both"/>
        <w:rPr>
          <w:rFonts w:ascii="Gill Sans" w:hAnsi="Gill Sans" w:cs="Gill Sans"/>
          <w:b/>
          <w:b/>
          <w:bCs/>
          <w:sz w:val="22"/>
          <w:szCs w:val="22"/>
        </w:rPr>
      </w:pPr>
      <w:r>
        <w:rPr>
          <w:rFonts w:cs="Gill Sans" w:ascii="Gill Sans" w:hAnsi="Gill Sans"/>
          <w:b/>
          <w:bCs/>
          <w:sz w:val="22"/>
          <w:szCs w:val="22"/>
        </w:rPr>
      </w:r>
    </w:p>
    <w:p>
      <w:pPr>
        <w:pStyle w:val="Normal"/>
        <w:tabs>
          <w:tab w:val="clear" w:pos="720"/>
          <w:tab w:val="left" w:pos="8223" w:leader="none"/>
        </w:tabs>
        <w:jc w:val="both"/>
        <w:rPr/>
      </w:pPr>
      <w:r>
        <w:rPr>
          <w:rFonts w:cs="Gill Sans" w:ascii="Gill Sans" w:hAnsi="Gill Sans"/>
          <w:b/>
          <w:bCs/>
          <w:sz w:val="22"/>
          <w:szCs w:val="22"/>
        </w:rPr>
        <w:t xml:space="preserve">Salary: </w:t>
      </w:r>
      <w:r>
        <w:rPr>
          <w:rFonts w:cs="Gill Sans" w:ascii="Gill Sans" w:hAnsi="Gill Sans"/>
          <w:sz w:val="22"/>
          <w:szCs w:val="22"/>
        </w:rPr>
        <w:t>£28,328 - £46,914.</w:t>
      </w:r>
      <w:r>
        <w:rPr>
          <w:rFonts w:cs="Gill Sans" w:ascii="Gill Sans" w:hAnsi="Gill Sans"/>
          <w:b/>
          <w:bCs/>
          <w:sz w:val="22"/>
          <w:szCs w:val="22"/>
        </w:rPr>
        <w:t xml:space="preserve"> </w:t>
      </w:r>
      <w:r>
        <w:rPr>
          <w:rFonts w:cs="Gill Sans" w:ascii="Gill Sans" w:hAnsi="Gill Sans"/>
          <w:sz w:val="22"/>
          <w:szCs w:val="22"/>
        </w:rPr>
        <w:t xml:space="preserve">Incremental progression throughout the band is available. </w:t>
      </w:r>
      <w:r>
        <w:rPr>
          <w:rFonts w:cs="Gill Sans" w:ascii="Gill Sans" w:hAnsi="Gill Sans"/>
          <w:b/>
          <w:bCs/>
          <w:sz w:val="22"/>
          <w:szCs w:val="22"/>
        </w:rPr>
        <w:t xml:space="preserve"> </w:t>
      </w:r>
    </w:p>
    <w:p>
      <w:pPr>
        <w:pStyle w:val="Normal"/>
        <w:tabs>
          <w:tab w:val="clear" w:pos="720"/>
          <w:tab w:val="left" w:pos="8223" w:leader="none"/>
        </w:tabs>
        <w:jc w:val="both"/>
        <w:rPr>
          <w:rFonts w:ascii="Gill Sans" w:hAnsi="Gill Sans" w:cs="Gill Sans"/>
          <w:b/>
          <w:b/>
          <w:bCs/>
          <w:sz w:val="22"/>
          <w:szCs w:val="22"/>
        </w:rPr>
      </w:pPr>
      <w:r>
        <w:rPr>
          <w:rFonts w:cs="Gill Sans" w:ascii="Gill Sans" w:hAnsi="Gill Sans"/>
          <w:b/>
          <w:bCs/>
          <w:sz w:val="22"/>
          <w:szCs w:val="22"/>
        </w:rPr>
      </w:r>
    </w:p>
    <w:p>
      <w:pPr>
        <w:pStyle w:val="Normal"/>
        <w:tabs>
          <w:tab w:val="clear" w:pos="720"/>
          <w:tab w:val="left" w:pos="8223" w:leader="none"/>
        </w:tabs>
        <w:jc w:val="both"/>
        <w:rPr/>
      </w:pPr>
      <w:r>
        <w:rPr>
          <w:rFonts w:cs="Gill Sans" w:ascii="Gill Sans" w:hAnsi="Gill Sans"/>
          <w:b/>
          <w:bCs/>
          <w:sz w:val="22"/>
          <w:szCs w:val="22"/>
        </w:rPr>
        <w:t xml:space="preserve">Contract Type: </w:t>
      </w:r>
      <w:r>
        <w:rPr>
          <w:rFonts w:cs="Gill Sans" w:ascii="Gill Sans" w:hAnsi="Gill Sans"/>
          <w:sz w:val="22"/>
          <w:szCs w:val="22"/>
        </w:rPr>
        <w:t xml:space="preserve">Permanent </w:t>
      </w:r>
      <w:r>
        <w:rPr>
          <w:rFonts w:cs="Gill Sans" w:ascii="Gill Sans" w:hAnsi="Gill Sans"/>
          <w:b/>
          <w:bCs/>
          <w:sz w:val="22"/>
          <w:szCs w:val="22"/>
        </w:rPr>
        <w:t>| Hours per Week: 1</w:t>
      </w:r>
      <w:bookmarkStart w:id="0" w:name="_Hlk183612896"/>
      <w:r>
        <w:rPr>
          <w:rFonts w:cs="Gill Sans" w:ascii="Gill Sans" w:hAnsi="Gill Sans"/>
          <w:sz w:val="22"/>
          <w:szCs w:val="22"/>
        </w:rPr>
        <w:t xml:space="preserve"> FTE </w:t>
      </w:r>
      <w:bookmarkEnd w:id="0"/>
      <w:r>
        <w:rPr>
          <w:rFonts w:cs="Gill Sans" w:ascii="Gill Sans" w:hAnsi="Gill Sans"/>
          <w:b/>
          <w:bCs/>
          <w:sz w:val="22"/>
          <w:szCs w:val="22"/>
        </w:rPr>
        <w:t xml:space="preserve">| Location: </w:t>
      </w:r>
      <w:r>
        <w:rPr>
          <w:rFonts w:cs="Gill Sans" w:ascii="Gill Sans" w:hAnsi="Gill Sans"/>
          <w:sz w:val="22"/>
          <w:szCs w:val="22"/>
        </w:rPr>
        <w:t>Eccles College,</w:t>
      </w:r>
      <w:r>
        <w:rPr>
          <w:rFonts w:cs="Gill Sans" w:ascii="Gill Sans" w:hAnsi="Gill Sans"/>
          <w:b/>
          <w:bCs/>
          <w:sz w:val="22"/>
          <w:szCs w:val="22"/>
        </w:rPr>
        <w:t xml:space="preserve"> </w:t>
      </w:r>
      <w:r>
        <w:rPr>
          <w:rFonts w:cs="Gill Sans" w:ascii="Gill Sans" w:hAnsi="Gill Sans"/>
          <w:sz w:val="22"/>
          <w:szCs w:val="22"/>
        </w:rPr>
        <w:t>Chatsworth Road, M30 9FJ</w:t>
      </w:r>
    </w:p>
    <w:p>
      <w:pPr>
        <w:pStyle w:val="Normal"/>
        <w:tabs>
          <w:tab w:val="clear" w:pos="720"/>
          <w:tab w:val="left" w:pos="8223" w:leader="none"/>
        </w:tabs>
        <w:rPr/>
      </w:pPr>
      <w:r>
        <w:rPr/>
        <mc:AlternateContent>
          <mc:Choice Requires="wps">
            <w:drawing>
              <wp:anchor behindDoc="0" distT="0" distB="0" distL="114935" distR="114935" simplePos="0" locked="0" layoutInCell="1" allowOverlap="1" relativeHeight="6">
                <wp:simplePos x="0" y="0"/>
                <wp:positionH relativeFrom="margin">
                  <wp:posOffset>-579755</wp:posOffset>
                </wp:positionH>
                <wp:positionV relativeFrom="paragraph">
                  <wp:posOffset>103505</wp:posOffset>
                </wp:positionV>
                <wp:extent cx="6892290" cy="635"/>
                <wp:effectExtent l="0" t="0" r="0" b="0"/>
                <wp:wrapNone/>
                <wp:docPr id="3" name="Straight Connector 7"/>
                <a:graphic xmlns:a="http://schemas.openxmlformats.org/drawingml/2006/main">
                  <a:graphicData uri="http://schemas.microsoft.com/office/word/2010/wordprocessingShape">
                    <wps:wsp>
                      <wps:cNvSpPr/>
                      <wps:spPr>
                        <a:xfrm>
                          <a:off x="0" y="0"/>
                          <a:ext cx="6891480" cy="0"/>
                        </a:xfrm>
                        <a:prstGeom prst="line">
                          <a:avLst/>
                        </a:prstGeom>
                        <a:ln w="6480">
                          <a:solidFill>
                            <a:srgbClr val="4472c4"/>
                          </a:solidFill>
                          <a:miter/>
                        </a:ln>
                      </wps:spPr>
                      <wps:style>
                        <a:lnRef idx="0"/>
                        <a:fillRef idx="0"/>
                        <a:effectRef idx="0"/>
                        <a:fontRef idx="minor"/>
                      </wps:style>
                      <wps:bodyPr/>
                    </wps:wsp>
                  </a:graphicData>
                </a:graphic>
              </wp:anchor>
            </w:drawing>
          </mc:Choice>
          <mc:Fallback>
            <w:pict>
              <v:line id="shape_0" from="-45.65pt,8.15pt" to="496.95pt,8.15pt" ID="Straight Connector 7" stroked="t" style="position:absolute;mso-position-horizontal-relative:margin">
                <v:stroke color="#4472c4" weight="6480" joinstyle="miter" endcap="flat"/>
                <v:fill o:detectmouseclick="t" on="false"/>
              </v:line>
            </w:pict>
          </mc:Fallback>
        </mc:AlternateContent>
        <mc:AlternateContent>
          <mc:Choice Requires="wps">
            <w:drawing>
              <wp:anchor behindDoc="0" distT="0" distB="0" distL="114935" distR="114935" simplePos="0" locked="0" layoutInCell="1" allowOverlap="1" relativeHeight="8">
                <wp:simplePos x="0" y="0"/>
                <wp:positionH relativeFrom="margin">
                  <wp:align>center</wp:align>
                </wp:positionH>
                <wp:positionV relativeFrom="paragraph">
                  <wp:posOffset>189230</wp:posOffset>
                </wp:positionV>
                <wp:extent cx="6102350" cy="1853565"/>
                <wp:effectExtent l="0" t="0" r="0" b="0"/>
                <wp:wrapNone/>
                <wp:docPr id="4" name=""/>
                <a:graphic xmlns:a="http://schemas.openxmlformats.org/drawingml/2006/main">
                  <a:graphicData uri="http://schemas.microsoft.com/office/word/2010/wordprocessingShape">
                    <wps:wsp>
                      <wps:cNvSpPr txBox="1"/>
                      <wps:spPr>
                        <a:xfrm>
                          <a:off x="0" y="0"/>
                          <a:ext cx="6101640" cy="1852920"/>
                        </a:xfrm>
                        <a:prstGeom prst="rect">
                          <a:avLst/>
                        </a:prstGeom>
                        <a:solidFill>
                          <a:srgbClr val="ffffff"/>
                        </a:solidFill>
                        <a:ln w="38160">
                          <a:solidFill>
                            <a:srgbClr val="5b9bd5"/>
                          </a:solidFill>
                          <a:miter/>
                        </a:ln>
                        <a:effectLst>
                          <a:outerShdw dist="37674" dir="2700000">
                            <a:srgbClr val="000000">
                              <a:alpha val="40000"/>
                            </a:srgbClr>
                          </a:outerShdw>
                        </a:effectLst>
                      </wps:spPr>
                      <wps:bodyPr/>
                    </wps:wsp>
                  </a:graphicData>
                </a:graphic>
              </wp:anchor>
            </w:drawing>
          </mc:Choice>
          <mc:Fallback>
            <w:pict>
              <v:shapetype id="_x005F_x0000_t202" coordsize="21600,21600" o:spt="202" path="m,l,21600l21600,21600l21600,xe">
                <v:stroke joinstyle="miter"/>
                <v:path gradientshapeok="t" o:connecttype="rect"/>
              </v:shapetype>
              <v:shape id="shape_0" fillcolor="white" stroked="t" style="position:absolute;margin-left:-14.6pt;margin-top:14.9pt;width:480.4pt;height:145.85pt;mso-position-horizontal:center;mso-position-horizontal-relative:margin" type="shapetype_202">
                <v:textbox>
                  <w:txbxContent>
                    <w:p>
                      <w:pPr>
                        <w:overflowPunct w:val="false"/>
                        <w:rPr/>
                      </w:pPr>
                      <w:r>
                        <w:rPr>
                          <w:kern w:val="2"/>
                          <w:rFonts w:ascii="Liberation Serif" w:hAnsi="Liberation Serif" w:eastAsia="NSimSun" w:cs="Lucida Sans"/>
                          <w:lang w:val="en-US" w:eastAsia="zh-CN" w:bidi="hi-IN"/>
                        </w:rPr>
                      </w:r>
                    </w:p>
                  </w:txbxContent>
                </v:textbox>
                <w10:wrap type="none"/>
                <v:fill o:detectmouseclick="t" type="solid" color2="black"/>
                <v:stroke color="#5b9bd5" weight="38160" joinstyle="miter" endcap="flat"/>
                <v:shadow on="t" obscured="f" color="black"/>
              </v:shape>
            </w:pict>
          </mc:Fallback>
        </mc:AlternateContent>
      </w:r>
      <w:r>
        <mc:AlternateContent>
          <mc:Choice Requires="wps">
            <w:drawing>
              <wp:anchor behindDoc="0" distT="72390" distB="72390" distL="95250" distR="127635" simplePos="0" locked="0" layoutInCell="1" allowOverlap="1" relativeHeight="10">
                <wp:simplePos x="0" y="0"/>
                <wp:positionH relativeFrom="margin">
                  <wp:align>center</wp:align>
                </wp:positionH>
                <wp:positionV relativeFrom="paragraph">
                  <wp:posOffset>189230</wp:posOffset>
                </wp:positionV>
                <wp:extent cx="6101715" cy="1852930"/>
                <wp:effectExtent l="0" t="0" r="0" b="0"/>
                <wp:wrapNone/>
                <wp:docPr id="5" name="Frame1"/>
                <a:graphic xmlns:a="http://schemas.openxmlformats.org/drawingml/2006/main">
                  <a:graphicData uri="http://schemas.microsoft.com/office/word/2010/wordprocessingShape">
                    <wps:wsp>
                      <wps:cNvSpPr txBox="1"/>
                      <wps:spPr>
                        <a:xfrm>
                          <a:off x="0" y="0"/>
                          <a:ext cx="6101715" cy="1852930"/>
                        </a:xfrm>
                        <a:prstGeom prst="rect"/>
                        <a:solidFill>
                          <a:srgbClr val="FFFFFF"/>
                        </a:solidFill>
                      </wps:spPr>
                      <wps:txbx>
                        <w:txbxContent>
                          <w:p>
                            <w:pPr>
                              <w:pStyle w:val="P3"/>
                              <w:jc w:val="both"/>
                              <w:rPr>
                                <w:rFonts w:ascii="Gill Sans" w:hAnsi="Gill Sans" w:cs="Gill Sans"/>
                                <w:b/>
                                <w:b/>
                                <w:bCs/>
                                <w:sz w:val="20"/>
                                <w:szCs w:val="20"/>
                              </w:rPr>
                            </w:pPr>
                            <w:r>
                              <w:rPr>
                                <w:rFonts w:cs="Gill Sans" w:ascii="Gill Sans" w:hAnsi="Gill Sans"/>
                                <w:b/>
                                <w:bCs/>
                                <w:sz w:val="20"/>
                                <w:szCs w:val="20"/>
                              </w:rPr>
                              <w:t>About the Role</w:t>
                            </w:r>
                          </w:p>
                          <w:p>
                            <w:pPr>
                              <w:pStyle w:val="P3"/>
                              <w:jc w:val="both"/>
                              <w:rPr>
                                <w:rFonts w:ascii="Gill Sans MT" w:hAnsi="Gill Sans MT" w:eastAsia="Times New Roman" w:cs="Gill Sans MT"/>
                                <w:sz w:val="20"/>
                                <w:szCs w:val="20"/>
                                <w:lang w:eastAsia="en-GB"/>
                              </w:rPr>
                            </w:pPr>
                            <w:r>
                              <w:rPr>
                                <w:rFonts w:eastAsia="Times New Roman" w:cs="Gill Sans MT" w:ascii="Gill Sans MT" w:hAnsi="Gill Sans MT"/>
                                <w:sz w:val="20"/>
                                <w:szCs w:val="20"/>
                                <w:lang w:eastAsia="en-GB"/>
                              </w:rPr>
                              <w:t xml:space="preserve">A new and exciting opportunity has become available within the Health and Social Care department. We are seeking an enthusiastic and inspirational teacher with clinical experience to deliver courses in Health and Social Care Levels 1–3. The successful candidate will bring a positive attitude and high expectations, and will be able to engage students through a range of diverse, well-planned lessons. These will include practical sessions aimed at upskilling learners and making full use of our facilities. You will work as part of a dedicated and enthusiastic team committed to raising achievement, realising the potential of every learner, and delivering outstanding teaching and learning. </w:t>
                            </w:r>
                          </w:p>
                          <w:p>
                            <w:pPr>
                              <w:pStyle w:val="P3"/>
                              <w:jc w:val="both"/>
                              <w:rPr>
                                <w:rFonts w:ascii="Gill Sans MT" w:hAnsi="Gill Sans MT" w:eastAsia="Times New Roman" w:cs="Gill Sans MT"/>
                                <w:sz w:val="20"/>
                                <w:szCs w:val="20"/>
                                <w:lang w:eastAsia="en-GB"/>
                              </w:rPr>
                            </w:pPr>
                            <w:r>
                              <w:rPr>
                                <w:rFonts w:eastAsia="Times New Roman" w:cs="Gill Sans MT" w:ascii="Gill Sans MT" w:hAnsi="Gill Sans MT"/>
                                <w:sz w:val="20"/>
                                <w:szCs w:val="20"/>
                                <w:lang w:eastAsia="en-GB"/>
                              </w:rPr>
                            </w:r>
                          </w:p>
                          <w:p>
                            <w:pPr>
                              <w:pStyle w:val="P3"/>
                              <w:jc w:val="both"/>
                              <w:rPr>
                                <w:rFonts w:ascii="Gill Sans MT" w:hAnsi="Gill Sans MT" w:eastAsia="Times New Roman" w:cs="Gill Sans MT"/>
                                <w:sz w:val="20"/>
                                <w:szCs w:val="20"/>
                                <w:lang w:eastAsia="en-GB"/>
                              </w:rPr>
                            </w:pPr>
                            <w:r>
                              <w:rPr>
                                <w:rFonts w:eastAsia="Times New Roman" w:cs="Gill Sans MT" w:ascii="Gill Sans MT" w:hAnsi="Gill Sans MT"/>
                                <w:sz w:val="20"/>
                                <w:szCs w:val="20"/>
                                <w:lang w:eastAsia="en-GB"/>
                              </w:rPr>
                              <w:t>We are looking for a qualified professional with recent clinical or industry experience to teach, guide, and support our students throughout their studies. We welcome applications from industry professionals who are currently working towards a PGCE. Applications from ECTs are also encouraged.</w:t>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480.45pt;height:145.9pt;mso-wrap-distance-left:7.5pt;mso-wrap-distance-right:10.05pt;mso-wrap-distance-top:5.7pt;mso-wrap-distance-bottom:5.7pt;margin-top:14.9pt;mso-position-vertical-relative:text;margin-left:-14.55pt;mso-position-horizontal:center;mso-position-horizontal-relative:margin">
                <v:textbox inset="0.100694444444444in,0.0506944444444444in,0.100694444444444in,0.0506944444444444in">
                  <w:txbxContent>
                    <w:p>
                      <w:pPr>
                        <w:pStyle w:val="P3"/>
                        <w:jc w:val="both"/>
                        <w:rPr>
                          <w:rFonts w:ascii="Gill Sans" w:hAnsi="Gill Sans" w:cs="Gill Sans"/>
                          <w:b/>
                          <w:b/>
                          <w:bCs/>
                          <w:sz w:val="20"/>
                          <w:szCs w:val="20"/>
                        </w:rPr>
                      </w:pPr>
                      <w:r>
                        <w:rPr>
                          <w:rFonts w:cs="Gill Sans" w:ascii="Gill Sans" w:hAnsi="Gill Sans"/>
                          <w:b/>
                          <w:bCs/>
                          <w:sz w:val="20"/>
                          <w:szCs w:val="20"/>
                        </w:rPr>
                        <w:t>About the Role</w:t>
                      </w:r>
                    </w:p>
                    <w:p>
                      <w:pPr>
                        <w:pStyle w:val="P3"/>
                        <w:jc w:val="both"/>
                        <w:rPr>
                          <w:rFonts w:ascii="Gill Sans MT" w:hAnsi="Gill Sans MT" w:eastAsia="Times New Roman" w:cs="Gill Sans MT"/>
                          <w:sz w:val="20"/>
                          <w:szCs w:val="20"/>
                          <w:lang w:eastAsia="en-GB"/>
                        </w:rPr>
                      </w:pPr>
                      <w:r>
                        <w:rPr>
                          <w:rFonts w:eastAsia="Times New Roman" w:cs="Gill Sans MT" w:ascii="Gill Sans MT" w:hAnsi="Gill Sans MT"/>
                          <w:sz w:val="20"/>
                          <w:szCs w:val="20"/>
                          <w:lang w:eastAsia="en-GB"/>
                        </w:rPr>
                        <w:t xml:space="preserve">A new and exciting opportunity has become available within the Health and Social Care department. We are seeking an enthusiastic and inspirational teacher with clinical experience to deliver courses in Health and Social Care Levels 1–3. The successful candidate will bring a positive attitude and high expectations, and will be able to engage students through a range of diverse, well-planned lessons. These will include practical sessions aimed at upskilling learners and making full use of our facilities. You will work as part of a dedicated and enthusiastic team committed to raising achievement, realising the potential of every learner, and delivering outstanding teaching and learning. </w:t>
                      </w:r>
                    </w:p>
                    <w:p>
                      <w:pPr>
                        <w:pStyle w:val="P3"/>
                        <w:jc w:val="both"/>
                        <w:rPr>
                          <w:rFonts w:ascii="Gill Sans MT" w:hAnsi="Gill Sans MT" w:eastAsia="Times New Roman" w:cs="Gill Sans MT"/>
                          <w:sz w:val="20"/>
                          <w:szCs w:val="20"/>
                          <w:lang w:eastAsia="en-GB"/>
                        </w:rPr>
                      </w:pPr>
                      <w:r>
                        <w:rPr>
                          <w:rFonts w:eastAsia="Times New Roman" w:cs="Gill Sans MT" w:ascii="Gill Sans MT" w:hAnsi="Gill Sans MT"/>
                          <w:sz w:val="20"/>
                          <w:szCs w:val="20"/>
                          <w:lang w:eastAsia="en-GB"/>
                        </w:rPr>
                      </w:r>
                    </w:p>
                    <w:p>
                      <w:pPr>
                        <w:pStyle w:val="P3"/>
                        <w:jc w:val="both"/>
                        <w:rPr>
                          <w:rFonts w:ascii="Gill Sans MT" w:hAnsi="Gill Sans MT" w:eastAsia="Times New Roman" w:cs="Gill Sans MT"/>
                          <w:sz w:val="20"/>
                          <w:szCs w:val="20"/>
                          <w:lang w:eastAsia="en-GB"/>
                        </w:rPr>
                      </w:pPr>
                      <w:r>
                        <w:rPr>
                          <w:rFonts w:eastAsia="Times New Roman" w:cs="Gill Sans MT" w:ascii="Gill Sans MT" w:hAnsi="Gill Sans MT"/>
                          <w:sz w:val="20"/>
                          <w:szCs w:val="20"/>
                          <w:lang w:eastAsia="en-GB"/>
                        </w:rPr>
                        <w:t>We are looking for a qualified professional with recent clinical or industry experience to teach, guide, and support our students throughout their studies. We welcome applications from industry professionals who are currently working towards a PGCE. Applications from ECTs are also encouraged.</w:t>
                      </w:r>
                    </w:p>
                    <w:p>
                      <w:pPr>
                        <w:pStyle w:val="FrameContents"/>
                        <w:rPr/>
                      </w:pPr>
                      <w:r>
                        <w:rPr/>
                      </w:r>
                    </w:p>
                  </w:txbxContent>
                </v:textbox>
              </v:rect>
            </w:pict>
          </mc:Fallback>
        </mc:AlternateContent>
      </w:r>
    </w:p>
    <w:p>
      <w:pPr>
        <w:pStyle w:val="Normal"/>
        <w:tabs>
          <w:tab w:val="clear" w:pos="720"/>
          <w:tab w:val="left" w:pos="8223" w:leader="none"/>
        </w:tabs>
        <w:rPr>
          <w:rFonts w:ascii="GILL SANS SEMIBOLD" w:hAnsi="GILL SANS SEMIBOLD" w:cs="GILL SANS SEMIBOLD"/>
          <w:b/>
          <w:b/>
          <w:bCs/>
          <w:sz w:val="20"/>
          <w:szCs w:val="20"/>
        </w:rPr>
      </w:pPr>
      <w:r>
        <w:rPr>
          <w:rFonts w:cs="GILL SANS SEMIBOLD" w:ascii="GILL SANS SEMIBOLD" w:hAnsi="GILL SANS SEMIBOLD"/>
          <w:b/>
          <w:bCs/>
          <w:sz w:val="20"/>
          <w:szCs w:val="20"/>
        </w:rPr>
        <w:tab/>
      </w:r>
    </w:p>
    <w:p>
      <w:pPr>
        <w:pStyle w:val="Normal"/>
        <w:rPr>
          <w:rFonts w:ascii="GILL SANS SEMIBOLD" w:hAnsi="GILL SANS SEMIBOLD" w:cs="GILL SANS SEMIBOLD"/>
          <w:b/>
          <w:b/>
          <w:bCs/>
          <w:sz w:val="20"/>
          <w:szCs w:val="20"/>
        </w:rPr>
      </w:pPr>
      <w:r>
        <w:rPr>
          <w:rFonts w:cs="GILL SANS SEMIBOLD" w:ascii="GILL SANS SEMIBOLD" w:hAnsi="GILL SANS SEMIBOLD"/>
          <w:b/>
          <w:bCs/>
          <w:sz w:val="20"/>
          <w:szCs w:val="20"/>
        </w:rPr>
      </w:r>
    </w:p>
    <w:p>
      <w:pPr>
        <w:pStyle w:val="Normal"/>
        <w:rPr>
          <w:rFonts w:ascii="GILL SANS SEMIBOLD" w:hAnsi="GILL SANS SEMIBOLD" w:cs="GILL SANS SEMIBOLD"/>
          <w:sz w:val="20"/>
          <w:szCs w:val="20"/>
        </w:rPr>
      </w:pPr>
      <w:r>
        <w:rPr>
          <w:rFonts w:cs="GILL SANS SEMIBOLD" w:ascii="GILL SANS SEMIBOLD" w:hAnsi="GILL SANS SEMIBOLD"/>
          <w:sz w:val="20"/>
          <w:szCs w:val="20"/>
        </w:rPr>
      </w:r>
    </w:p>
    <w:p>
      <w:pPr>
        <w:pStyle w:val="Normal"/>
        <w:rPr>
          <w:rFonts w:ascii="GILL SANS SEMIBOLD" w:hAnsi="GILL SANS SEMIBOLD" w:cs="GILL SANS SEMIBOLD"/>
          <w:sz w:val="20"/>
          <w:szCs w:val="20"/>
        </w:rPr>
      </w:pPr>
      <w:r>
        <w:rPr>
          <w:rFonts w:cs="GILL SANS SEMIBOLD" w:ascii="GILL SANS SEMIBOLD" w:hAnsi="GILL SANS SEMIBOLD"/>
          <w:sz w:val="20"/>
          <w:szCs w:val="20"/>
        </w:rPr>
      </w:r>
    </w:p>
    <w:p>
      <w:pPr>
        <w:pStyle w:val="Normal"/>
        <w:rPr>
          <w:rFonts w:ascii="GILL SANS SEMIBOLD" w:hAnsi="GILL SANS SEMIBOLD" w:cs="GILL SANS SEMIBOLD"/>
          <w:sz w:val="20"/>
          <w:szCs w:val="20"/>
        </w:rPr>
      </w:pPr>
      <w:r>
        <w:rPr>
          <w:rFonts w:cs="GILL SANS SEMIBOLD" w:ascii="GILL SANS SEMIBOLD" w:hAnsi="GILL SANS SEMIBOLD"/>
          <w:sz w:val="20"/>
          <w:szCs w:val="20"/>
        </w:rPr>
      </w:r>
    </w:p>
    <w:p>
      <w:pPr>
        <w:pStyle w:val="Normal"/>
        <w:rPr>
          <w:rFonts w:ascii="GILL SANS SEMIBOLD" w:hAnsi="GILL SANS SEMIBOLD" w:cs="GILL SANS SEMIBOLD"/>
          <w:sz w:val="20"/>
          <w:szCs w:val="20"/>
        </w:rPr>
      </w:pPr>
      <w:r>
        <w:rPr>
          <w:rFonts w:cs="GILL SANS SEMIBOLD" w:ascii="GILL SANS SEMIBOLD" w:hAnsi="GILL SANS SEMIBOLD"/>
          <w:sz w:val="20"/>
          <w:szCs w:val="20"/>
        </w:rPr>
      </w:r>
    </w:p>
    <w:p>
      <w:pPr>
        <w:pStyle w:val="Normal"/>
        <w:rPr>
          <w:rFonts w:ascii="GILL SANS SEMIBOLD" w:hAnsi="GILL SANS SEMIBOLD" w:cs="GILL SANS SEMIBOLD"/>
          <w:sz w:val="20"/>
          <w:szCs w:val="20"/>
        </w:rPr>
      </w:pPr>
      <w:r>
        <w:rPr>
          <w:rFonts w:cs="GILL SANS SEMIBOLD" w:ascii="GILL SANS SEMIBOLD" w:hAnsi="GILL SANS SEMIBOLD"/>
          <w:sz w:val="20"/>
          <w:szCs w:val="20"/>
        </w:rPr>
      </w:r>
    </w:p>
    <w:p>
      <w:pPr>
        <w:pStyle w:val="Normal"/>
        <w:rPr>
          <w:rFonts w:ascii="GILL SANS SEMIBOLD" w:hAnsi="GILL SANS SEMIBOLD" w:cs="GILL SANS SEMIBOLD"/>
          <w:sz w:val="20"/>
          <w:szCs w:val="20"/>
        </w:rPr>
      </w:pPr>
      <w:r>
        <w:rPr>
          <w:rFonts w:cs="GILL SANS SEMIBOLD" w:ascii="GILL SANS SEMIBOLD" w:hAnsi="GILL SANS SEMIBOLD"/>
          <w:sz w:val="20"/>
          <w:szCs w:val="20"/>
        </w:rPr>
      </w:r>
    </w:p>
    <w:p>
      <w:pPr>
        <w:pStyle w:val="Normal"/>
        <w:rPr>
          <w:rFonts w:ascii="GILL SANS SEMIBOLD" w:hAnsi="GILL SANS SEMIBOLD" w:cs="GILL SANS SEMIBOLD"/>
          <w:sz w:val="20"/>
          <w:szCs w:val="20"/>
        </w:rPr>
      </w:pPr>
      <w:r>
        <w:rPr>
          <w:rFonts w:cs="GILL SANS SEMIBOLD" w:ascii="GILL SANS SEMIBOLD" w:hAnsi="GILL SANS SEMIBOLD"/>
          <w:sz w:val="20"/>
          <w:szCs w:val="20"/>
        </w:rPr>
      </w:r>
    </w:p>
    <w:p>
      <w:pPr>
        <w:pStyle w:val="Normal"/>
        <w:rPr>
          <w:rFonts w:ascii="GILL SANS SEMIBOLD" w:hAnsi="GILL SANS SEMIBOLD" w:cs="GILL SANS SEMIBOLD"/>
          <w:sz w:val="20"/>
          <w:szCs w:val="20"/>
        </w:rPr>
      </w:pPr>
      <w:r>
        <w:rPr>
          <w:rFonts w:cs="GILL SANS SEMIBOLD" w:ascii="GILL SANS SEMIBOLD" w:hAnsi="GILL SANS SEMIBOLD"/>
          <w:sz w:val="20"/>
          <w:szCs w:val="20"/>
        </w:rPr>
      </w:r>
    </w:p>
    <w:p>
      <w:pPr>
        <w:pStyle w:val="Normal"/>
        <w:rPr>
          <w:rFonts w:ascii="GILL SANS SEMIBOLD" w:hAnsi="GILL SANS SEMIBOLD" w:cs="GILL SANS SEMIBOLD"/>
          <w:sz w:val="20"/>
          <w:szCs w:val="20"/>
        </w:rPr>
      </w:pPr>
      <w:r>
        <w:rPr>
          <w:rFonts w:cs="GILL SANS SEMIBOLD" w:ascii="GILL SANS SEMIBOLD" w:hAnsi="GILL SANS SEMIBOLD"/>
          <w:sz w:val="20"/>
          <w:szCs w:val="20"/>
        </w:rPr>
      </w:r>
    </w:p>
    <w:p>
      <w:pPr>
        <w:pStyle w:val="Normal"/>
        <w:rPr>
          <w:rFonts w:ascii="GILL SANS SEMIBOLD" w:hAnsi="GILL SANS SEMIBOLD" w:cs="GILL SANS SEMIBOLD"/>
          <w:sz w:val="20"/>
          <w:szCs w:val="20"/>
        </w:rPr>
      </w:pPr>
      <w:r>
        <w:rPr>
          <w:rFonts w:cs="GILL SANS SEMIBOLD" w:ascii="GILL SANS SEMIBOLD" w:hAnsi="GILL SANS SEMIBOLD"/>
          <w:sz w:val="20"/>
          <w:szCs w:val="20"/>
        </w:rPr>
        <mc:AlternateContent>
          <mc:Choice Requires="wps">
            <w:drawing>
              <wp:anchor behindDoc="0" distT="0" distB="0" distL="114935" distR="114935" simplePos="0" locked="0" layoutInCell="1" allowOverlap="1" relativeHeight="7">
                <wp:simplePos x="0" y="0"/>
                <wp:positionH relativeFrom="column">
                  <wp:posOffset>-198120</wp:posOffset>
                </wp:positionH>
                <wp:positionV relativeFrom="paragraph">
                  <wp:posOffset>142240</wp:posOffset>
                </wp:positionV>
                <wp:extent cx="6102350" cy="3427730"/>
                <wp:effectExtent l="0" t="0" r="0" b="0"/>
                <wp:wrapNone/>
                <wp:docPr id="6" name=""/>
                <a:graphic xmlns:a="http://schemas.openxmlformats.org/drawingml/2006/main">
                  <a:graphicData uri="http://schemas.microsoft.com/office/word/2010/wordprocessingShape">
                    <wps:wsp>
                      <wps:cNvSpPr txBox="1"/>
                      <wps:spPr>
                        <a:xfrm>
                          <a:off x="0" y="0"/>
                          <a:ext cx="6101640" cy="3427200"/>
                        </a:xfrm>
                        <a:prstGeom prst="rect">
                          <a:avLst/>
                        </a:prstGeom>
                        <a:solidFill>
                          <a:srgbClr val="ffffff"/>
                        </a:solidFill>
                        <a:ln w="38160">
                          <a:solidFill>
                            <a:srgbClr val="5b9bd5"/>
                          </a:solidFill>
                          <a:miter/>
                        </a:ln>
                        <a:effectLst>
                          <a:outerShdw dist="37674" dir="2700000">
                            <a:srgbClr val="000000">
                              <a:alpha val="40000"/>
                            </a:srgbClr>
                          </a:outerShdw>
                        </a:effectLst>
                      </wps:spPr>
                      <wps:bodyPr/>
                    </wps:wsp>
                  </a:graphicData>
                </a:graphic>
              </wp:anchor>
            </w:drawing>
          </mc:Choice>
          <mc:Fallback>
            <w:pict>
              <v:shape id="shape_0" fillcolor="white" stroked="t" style="position:absolute;margin-left:-15.6pt;margin-top:11.2pt;width:480.4pt;height:269.8pt" type="shapetype_202">
                <v:textbox>
                  <w:txbxContent>
                    <w:p>
                      <w:pPr>
                        <w:overflowPunct w:val="false"/>
                        <w:rPr/>
                      </w:pPr>
                      <w:r>
                        <w:rPr>
                          <w:kern w:val="2"/>
                          <w:rFonts w:ascii="Liberation Serif" w:hAnsi="Liberation Serif" w:eastAsia="NSimSun" w:cs="Lucida Sans"/>
                          <w:lang w:val="en-US" w:eastAsia="zh-CN" w:bidi="hi-IN"/>
                        </w:rPr>
                      </w:r>
                    </w:p>
                  </w:txbxContent>
                </v:textbox>
                <w10:wrap type="none"/>
                <v:fill o:detectmouseclick="t" type="solid" color2="black"/>
                <v:stroke color="#5b9bd5" weight="38160" joinstyle="miter" endcap="flat"/>
                <v:shadow on="t" obscured="f" color="black"/>
              </v:shape>
            </w:pict>
          </mc:Fallback>
        </mc:AlternateContent>
      </w:r>
      <w:r>
        <mc:AlternateContent>
          <mc:Choice Requires="wps">
            <w:drawing>
              <wp:anchor behindDoc="0" distT="72390" distB="72390" distL="95250" distR="127635" simplePos="0" locked="0" layoutInCell="1" allowOverlap="1" relativeHeight="11">
                <wp:simplePos x="0" y="0"/>
                <wp:positionH relativeFrom="column">
                  <wp:posOffset>-198120</wp:posOffset>
                </wp:positionH>
                <wp:positionV relativeFrom="paragraph">
                  <wp:posOffset>142240</wp:posOffset>
                </wp:positionV>
                <wp:extent cx="6101715" cy="3427095"/>
                <wp:effectExtent l="0" t="0" r="0" b="0"/>
                <wp:wrapNone/>
                <wp:docPr id="7" name="Frame2"/>
                <a:graphic xmlns:a="http://schemas.openxmlformats.org/drawingml/2006/main">
                  <a:graphicData uri="http://schemas.microsoft.com/office/word/2010/wordprocessingShape">
                    <wps:wsp>
                      <wps:cNvSpPr txBox="1"/>
                      <wps:spPr>
                        <a:xfrm>
                          <a:off x="0" y="0"/>
                          <a:ext cx="6101715" cy="3427095"/>
                        </a:xfrm>
                        <a:prstGeom prst="rect"/>
                        <a:solidFill>
                          <a:srgbClr val="FFFFFF"/>
                        </a:solidFill>
                      </wps:spPr>
                      <wps:txbx>
                        <w:txbxContent>
                          <w:p>
                            <w:pPr>
                              <w:pStyle w:val="FrameContents"/>
                              <w:numPr>
                                <w:ilvl w:val="0"/>
                                <w:numId w:val="0"/>
                              </w:numPr>
                              <w:ind w:left="0" w:hanging="0"/>
                              <w:rPr>
                                <w:rFonts w:ascii="Gill Sans MT" w:hAnsi="Gill Sans MT" w:cs="Gill Sans MT"/>
                                <w:b/>
                                <w:b/>
                                <w:bCs/>
                                <w:sz w:val="20"/>
                                <w:szCs w:val="20"/>
                              </w:rPr>
                            </w:pPr>
                            <w:r>
                              <w:rPr>
                                <w:rFonts w:cs="Gill Sans MT" w:ascii="Gill Sans MT" w:hAnsi="Gill Sans MT"/>
                                <w:b/>
                                <w:bCs/>
                                <w:sz w:val="20"/>
                                <w:szCs w:val="20"/>
                              </w:rPr>
                              <w:t>How to Apply</w:t>
                            </w:r>
                          </w:p>
                          <w:p>
                            <w:pPr>
                              <w:pStyle w:val="FrameContents"/>
                              <w:numPr>
                                <w:ilvl w:val="0"/>
                                <w:numId w:val="0"/>
                              </w:numPr>
                              <w:ind w:left="0" w:hanging="0"/>
                              <w:jc w:val="both"/>
                              <w:rPr/>
                            </w:pPr>
                            <w:r>
                              <w:rPr>
                                <w:rFonts w:cs="Gill Sans MT" w:ascii="Gill Sans MT" w:hAnsi="Gill Sans MT"/>
                                <w:b/>
                                <w:bCs/>
                                <w:sz w:val="15"/>
                                <w:szCs w:val="15"/>
                              </w:rPr>
                              <w:t xml:space="preserve">To apply for this job, please complete the application form attached and then return to </w:t>
                            </w:r>
                            <w:hyperlink r:id="rId3">
                              <w:r>
                                <w:rPr>
                                  <w:rStyle w:val="InternetLink"/>
                                  <w:rFonts w:cs="Gill Sans MT" w:ascii="Gill Sans MT" w:hAnsi="Gill Sans MT"/>
                                  <w:sz w:val="15"/>
                                  <w:szCs w:val="15"/>
                                </w:rPr>
                                <w:t>HR@salfordcc.ac.uk</w:t>
                              </w:r>
                            </w:hyperlink>
                            <w:r>
                              <w:rPr>
                                <w:rFonts w:cs="Gill Sans MT" w:ascii="Gill Sans MT" w:hAnsi="Gill Sans MT"/>
                                <w:color w:val="0067A6"/>
                                <w:sz w:val="15"/>
                                <w:szCs w:val="15"/>
                              </w:rPr>
                              <w:t> </w:t>
                            </w:r>
                          </w:p>
                          <w:p>
                            <w:pPr>
                              <w:pStyle w:val="FrameContents"/>
                              <w:rPr>
                                <w:rFonts w:ascii="Gill Sans MT" w:hAnsi="Gill Sans MT" w:cs="Gill Sans MT"/>
                                <w:sz w:val="15"/>
                                <w:szCs w:val="15"/>
                              </w:rPr>
                            </w:pPr>
                            <w:r>
                              <w:rPr>
                                <w:rFonts w:cs="Gill Sans MT" w:ascii="Gill Sans MT" w:hAnsi="Gill Sans MT"/>
                                <w:sz w:val="15"/>
                                <w:szCs w:val="15"/>
                              </w:rPr>
                              <w:t> </w:t>
                            </w:r>
                          </w:p>
                          <w:p>
                            <w:pPr>
                              <w:pStyle w:val="FrameContents"/>
                              <w:rPr>
                                <w:rFonts w:ascii="Gill Sans MT" w:hAnsi="Gill Sans MT" w:cs="Gill Sans MT"/>
                                <w:b/>
                                <w:b/>
                                <w:bCs/>
                                <w:sz w:val="15"/>
                                <w:szCs w:val="15"/>
                              </w:rPr>
                            </w:pPr>
                            <w:r>
                              <w:rPr>
                                <w:rFonts w:cs="Gill Sans MT" w:ascii="Gill Sans MT" w:hAnsi="Gill Sans MT"/>
                                <w:b/>
                                <w:bCs/>
                                <w:sz w:val="15"/>
                                <w:szCs w:val="15"/>
                              </w:rPr>
                              <w:t>Reasons to Join Us: </w:t>
                            </w:r>
                          </w:p>
                          <w:p>
                            <w:pPr>
                              <w:pStyle w:val="FrameContents"/>
                              <w:rPr>
                                <w:rFonts w:ascii="Gill Sans MT" w:hAnsi="Gill Sans MT" w:cs="Gill Sans MT"/>
                                <w:sz w:val="15"/>
                                <w:szCs w:val="15"/>
                              </w:rPr>
                            </w:pPr>
                            <w:r>
                              <w:rPr>
                                <w:rFonts w:cs="Gill Sans MT" w:ascii="Gill Sans MT" w:hAnsi="Gill Sans MT"/>
                                <w:sz w:val="15"/>
                                <w:szCs w:val="15"/>
                              </w:rPr>
                            </w:r>
                          </w:p>
                          <w:p>
                            <w:pPr>
                              <w:pStyle w:val="ListParagraph"/>
                              <w:numPr>
                                <w:ilvl w:val="0"/>
                                <w:numId w:val="1"/>
                              </w:numPr>
                              <w:rPr>
                                <w:rFonts w:ascii="Gill Sans MT" w:hAnsi="Gill Sans MT" w:eastAsia="Times New Roman" w:cs="Gill Sans MT"/>
                                <w:sz w:val="15"/>
                                <w:szCs w:val="15"/>
                              </w:rPr>
                            </w:pPr>
                            <w:r>
                              <w:rPr>
                                <w:rFonts w:eastAsia="Times New Roman" w:cs="Gill Sans MT" w:ascii="Gill Sans MT" w:hAnsi="Gill Sans MT"/>
                                <w:sz w:val="15"/>
                                <w:szCs w:val="15"/>
                              </w:rPr>
                              <w:t>We have Generous Terms and Conditions (Sixth Form College’s Association style terms and conditions) including 13 weeks holiday (195 days in College).</w:t>
                            </w:r>
                          </w:p>
                          <w:p>
                            <w:pPr>
                              <w:pStyle w:val="ListParagraph"/>
                              <w:numPr>
                                <w:ilvl w:val="0"/>
                                <w:numId w:val="1"/>
                              </w:numPr>
                              <w:rPr>
                                <w:rFonts w:ascii="Gill Sans MT" w:hAnsi="Gill Sans MT" w:eastAsia="Times New Roman" w:cs="Gill Sans MT"/>
                                <w:sz w:val="15"/>
                                <w:szCs w:val="15"/>
                              </w:rPr>
                            </w:pPr>
                            <w:r>
                              <w:rPr>
                                <w:rFonts w:eastAsia="Times New Roman" w:cs="Gill Sans MT" w:ascii="Gill Sans MT" w:hAnsi="Gill Sans MT"/>
                                <w:sz w:val="15"/>
                                <w:szCs w:val="15"/>
                              </w:rPr>
                              <w:t>We have a 2:30pm finish on Fridays, Free on-site parking and various health and wellbeing resources and benefit schemes including three Staff Wellbeing days per year.</w:t>
                            </w:r>
                          </w:p>
                          <w:p>
                            <w:pPr>
                              <w:pStyle w:val="ListParagraph"/>
                              <w:numPr>
                                <w:ilvl w:val="0"/>
                                <w:numId w:val="1"/>
                              </w:numPr>
                              <w:rPr>
                                <w:rFonts w:ascii="Gill Sans MT" w:hAnsi="Gill Sans MT" w:eastAsia="Times New Roman" w:cs="Gill Sans MT"/>
                                <w:sz w:val="15"/>
                                <w:szCs w:val="15"/>
                              </w:rPr>
                            </w:pPr>
                            <w:r>
                              <w:rPr>
                                <w:rFonts w:eastAsia="Times New Roman" w:cs="Gill Sans MT" w:ascii="Gill Sans MT" w:hAnsi="Gill Sans MT"/>
                                <w:sz w:val="15"/>
                                <w:szCs w:val="15"/>
                              </w:rPr>
                              <w:t>We offer automatic enrolment into the Teachers’ Pension Scheme with 28.68% employer pension contribution.</w:t>
                            </w:r>
                          </w:p>
                          <w:p>
                            <w:pPr>
                              <w:pStyle w:val="ListParagraph"/>
                              <w:numPr>
                                <w:ilvl w:val="0"/>
                                <w:numId w:val="1"/>
                              </w:numPr>
                              <w:rPr>
                                <w:rFonts w:ascii="Gill Sans MT" w:hAnsi="Gill Sans MT" w:eastAsia="Times New Roman" w:cs="Gill Sans MT"/>
                                <w:sz w:val="15"/>
                                <w:szCs w:val="15"/>
                              </w:rPr>
                            </w:pPr>
                            <w:r>
                              <w:rPr>
                                <w:rFonts w:eastAsia="Times New Roman" w:cs="Gill Sans MT" w:ascii="Gill Sans MT" w:hAnsi="Gill Sans MT"/>
                                <w:sz w:val="15"/>
                                <w:szCs w:val="15"/>
                              </w:rPr>
                              <w:t>Our College is an incredible community, there is a lot that staff and their families can get involved with.</w:t>
                            </w:r>
                          </w:p>
                          <w:p>
                            <w:pPr>
                              <w:pStyle w:val="ListParagraph"/>
                              <w:numPr>
                                <w:ilvl w:val="0"/>
                                <w:numId w:val="1"/>
                              </w:numPr>
                              <w:rPr>
                                <w:rFonts w:ascii="Gill Sans MT" w:hAnsi="Gill Sans MT" w:eastAsia="Times New Roman" w:cs="Gill Sans MT"/>
                                <w:sz w:val="15"/>
                                <w:szCs w:val="15"/>
                              </w:rPr>
                            </w:pPr>
                            <w:r>
                              <w:rPr>
                                <w:rFonts w:eastAsia="Times New Roman" w:cs="Gill Sans MT" w:ascii="Gill Sans MT" w:hAnsi="Gill Sans MT"/>
                                <w:sz w:val="15"/>
                                <w:szCs w:val="15"/>
                              </w:rPr>
                              <w:t>We have family friendly policies and we are happy to talk about flexible working.</w:t>
                            </w:r>
                          </w:p>
                          <w:p>
                            <w:pPr>
                              <w:pStyle w:val="ListParagraph"/>
                              <w:numPr>
                                <w:ilvl w:val="0"/>
                                <w:numId w:val="1"/>
                              </w:numPr>
                              <w:rPr>
                                <w:rFonts w:ascii="Gill Sans MT" w:hAnsi="Gill Sans MT" w:eastAsia="Times New Roman" w:cs="Gill Sans MT"/>
                                <w:sz w:val="15"/>
                                <w:szCs w:val="15"/>
                              </w:rPr>
                            </w:pPr>
                            <w:r>
                              <w:rPr>
                                <w:rFonts w:eastAsia="Times New Roman" w:cs="Gill Sans MT" w:ascii="Gill Sans MT" w:hAnsi="Gill Sans MT"/>
                                <w:sz w:val="15"/>
                                <w:szCs w:val="15"/>
                              </w:rPr>
                              <w:t>We invest in our people and offer a range of training &amp; career opportunities for all staff.</w:t>
                            </w:r>
                          </w:p>
                          <w:p>
                            <w:pPr>
                              <w:pStyle w:val="ListParagraph"/>
                              <w:numPr>
                                <w:ilvl w:val="0"/>
                                <w:numId w:val="1"/>
                              </w:numPr>
                              <w:rPr>
                                <w:rFonts w:ascii="Gill Sans MT" w:hAnsi="Gill Sans MT" w:eastAsia="Times New Roman" w:cs="Gill Sans MT"/>
                                <w:sz w:val="15"/>
                                <w:szCs w:val="15"/>
                              </w:rPr>
                            </w:pPr>
                            <w:r>
                              <w:rPr>
                                <w:rFonts w:eastAsia="Times New Roman" w:cs="Gill Sans MT" w:ascii="Gill Sans MT" w:hAnsi="Gill Sans MT"/>
                                <w:sz w:val="15"/>
                                <w:szCs w:val="15"/>
                              </w:rPr>
                              <w:t>We have an amazing Staff Benefits Package with discounts and savings for supermarkets, petrol, high-street retailers, holidays, cinemas and other leisure.</w:t>
                            </w:r>
                          </w:p>
                          <w:p>
                            <w:pPr>
                              <w:pStyle w:val="ListParagraph"/>
                              <w:numPr>
                                <w:ilvl w:val="0"/>
                                <w:numId w:val="1"/>
                              </w:numPr>
                              <w:rPr>
                                <w:rFonts w:ascii="Gill Sans MT" w:hAnsi="Gill Sans MT" w:eastAsia="Times New Roman" w:cs="Gill Sans MT"/>
                                <w:sz w:val="15"/>
                                <w:szCs w:val="15"/>
                              </w:rPr>
                            </w:pPr>
                            <w:r>
                              <w:rPr>
                                <w:rFonts w:eastAsia="Times New Roman" w:cs="Gill Sans MT" w:ascii="Gill Sans MT" w:hAnsi="Gill Sans MT"/>
                                <w:sz w:val="15"/>
                                <w:szCs w:val="15"/>
                              </w:rPr>
                              <w:t>Our shared purpose: We believe in the value of education for a successful future and we want the best for our learners and our staff.</w:t>
                            </w:r>
                          </w:p>
                          <w:p>
                            <w:pPr>
                              <w:pStyle w:val="ListParagraph"/>
                              <w:numPr>
                                <w:ilvl w:val="0"/>
                                <w:numId w:val="2"/>
                              </w:numPr>
                              <w:rPr/>
                            </w:pPr>
                            <w:r>
                              <w:rPr>
                                <w:rFonts w:eastAsia="Times New Roman" w:cs="Gill Sans MT" w:ascii="Gill Sans MT" w:hAnsi="Gill Sans MT"/>
                                <w:sz w:val="15"/>
                                <w:szCs w:val="15"/>
                              </w:rPr>
                              <w:t>Our core values are at the heart of everything we do. Staff and students behave with respect, integrity and kindness.</w:t>
                            </w:r>
                            <w:r>
                              <w:rPr>
                                <w:rFonts w:cs="Gill Sans MT" w:ascii="Gill Sans MT" w:hAnsi="Gill Sans MT"/>
                                <w:sz w:val="15"/>
                                <w:szCs w:val="15"/>
                              </w:rPr>
                              <w:t xml:space="preserve"> </w:t>
                            </w:r>
                          </w:p>
                          <w:p>
                            <w:pPr>
                              <w:pStyle w:val="ListParagraph"/>
                              <w:numPr>
                                <w:ilvl w:val="0"/>
                                <w:numId w:val="2"/>
                              </w:numPr>
                              <w:rPr>
                                <w:rFonts w:ascii="Gill Sans MT" w:hAnsi="Gill Sans MT" w:cs="Gill Sans MT"/>
                                <w:sz w:val="15"/>
                                <w:szCs w:val="15"/>
                              </w:rPr>
                            </w:pPr>
                            <w:r>
                              <w:rPr>
                                <w:rFonts w:cs="Gill Sans MT" w:ascii="Gill Sans MT" w:hAnsi="Gill Sans MT"/>
                                <w:sz w:val="15"/>
                                <w:szCs w:val="15"/>
                              </w:rPr>
                              <w:t>94% of staff are proud to work at the College.</w:t>
                            </w:r>
                          </w:p>
                          <w:p>
                            <w:pPr>
                              <w:pStyle w:val="FrameContents"/>
                              <w:rPr>
                                <w:rFonts w:ascii="Gill Sans MT" w:hAnsi="Gill Sans MT" w:cs="Gill Sans MT"/>
                                <w:i/>
                                <w:i/>
                                <w:iCs/>
                                <w:sz w:val="15"/>
                                <w:szCs w:val="15"/>
                              </w:rPr>
                            </w:pPr>
                            <w:r>
                              <w:rPr>
                                <w:rFonts w:cs="Gill Sans MT" w:ascii="Gill Sans MT" w:hAnsi="Gill Sans MT"/>
                                <w:i/>
                                <w:iCs/>
                                <w:sz w:val="15"/>
                                <w:szCs w:val="15"/>
                              </w:rPr>
                            </w:r>
                          </w:p>
                          <w:p>
                            <w:pPr>
                              <w:pStyle w:val="FrameContents"/>
                              <w:rPr>
                                <w:rFonts w:ascii="Gill Sans MT" w:hAnsi="Gill Sans MT" w:cs="Gill Sans MT"/>
                                <w:b/>
                                <w:b/>
                                <w:bCs/>
                                <w:sz w:val="15"/>
                                <w:szCs w:val="15"/>
                              </w:rPr>
                            </w:pPr>
                            <w:r>
                              <w:rPr>
                                <w:rFonts w:cs="Gill Sans MT" w:ascii="Gill Sans MT" w:hAnsi="Gill Sans MT"/>
                                <w:b/>
                                <w:bCs/>
                                <w:sz w:val="15"/>
                                <w:szCs w:val="15"/>
                              </w:rPr>
                              <w:t xml:space="preserve">Commitment to Safeguarding </w:t>
                            </w:r>
                          </w:p>
                          <w:p>
                            <w:pPr>
                              <w:pStyle w:val="FrameContents"/>
                              <w:numPr>
                                <w:ilvl w:val="0"/>
                                <w:numId w:val="0"/>
                              </w:numPr>
                              <w:ind w:left="0" w:hanging="0"/>
                              <w:rPr>
                                <w:rFonts w:ascii="Gill Sans MT" w:hAnsi="Gill Sans MT" w:cs="Gill Sans MT"/>
                                <w:sz w:val="15"/>
                                <w:szCs w:val="15"/>
                              </w:rPr>
                            </w:pPr>
                            <w:r>
                              <w:rPr>
                                <w:rFonts w:cs="Gill Sans MT" w:ascii="Gill Sans MT" w:hAnsi="Gill Sans MT"/>
                                <w:sz w:val="15"/>
                                <w:szCs w:val="15"/>
                              </w:rPr>
                              <w:t>This post is exempt from the Rehabilitation of Offenders Act 1974 and as part of our safeguarding commitment we undertake DBS checks as part of our pre-employment procedures on all potential new employees</w:t>
                            </w:r>
                          </w:p>
                          <w:p>
                            <w:pPr>
                              <w:pStyle w:val="FrameContents"/>
                              <w:numPr>
                                <w:ilvl w:val="0"/>
                                <w:numId w:val="0"/>
                              </w:numPr>
                              <w:ind w:left="0" w:hanging="0"/>
                              <w:rPr>
                                <w:rFonts w:ascii="Gill Sans MT" w:hAnsi="Gill Sans MT" w:cs="Gill Sans MT"/>
                                <w:b/>
                                <w:b/>
                                <w:bCs/>
                                <w:sz w:val="15"/>
                                <w:szCs w:val="15"/>
                              </w:rPr>
                            </w:pPr>
                            <w:r>
                              <w:rPr>
                                <w:rFonts w:cs="Gill Sans MT" w:ascii="Gill Sans MT" w:hAnsi="Gill Sans MT"/>
                                <w:b/>
                                <w:bCs/>
                                <w:sz w:val="15"/>
                                <w:szCs w:val="15"/>
                              </w:rPr>
                            </w:r>
                          </w:p>
                          <w:p>
                            <w:pPr>
                              <w:pStyle w:val="FrameContents"/>
                              <w:spacing w:before="60" w:after="0"/>
                              <w:contextualSpacing/>
                              <w:jc w:val="both"/>
                              <w:rPr>
                                <w:rFonts w:ascii="Gill Sans" w:hAnsi="Gill Sans" w:cs="Gill Sans"/>
                                <w:b/>
                                <w:b/>
                                <w:bCs/>
                                <w:sz w:val="14"/>
                                <w:szCs w:val="14"/>
                              </w:rPr>
                            </w:pPr>
                            <w:r>
                              <w:rPr>
                                <w:rFonts w:cs="Gill Sans" w:ascii="Gill Sans" w:hAnsi="Gill Sans"/>
                                <w:b/>
                                <w:bCs/>
                                <w:sz w:val="14"/>
                                <w:szCs w:val="14"/>
                              </w:rPr>
                              <w:t xml:space="preserve">The College is committed to fostering a diverse and inclusive community, welcoming applications from individuals of all backgrounds, including those with military experience whose unique skills and perspectives are highly valued. </w:t>
                            </w:r>
                          </w:p>
                          <w:p>
                            <w:pPr>
                              <w:pStyle w:val="FrameContents"/>
                              <w:spacing w:before="60" w:after="0"/>
                              <w:contextualSpacing/>
                              <w:jc w:val="both"/>
                              <w:rPr>
                                <w:rFonts w:ascii="Gill Sans" w:hAnsi="Gill Sans" w:cs="Gill Sans"/>
                                <w:b/>
                                <w:b/>
                                <w:bCs/>
                                <w:sz w:val="14"/>
                                <w:szCs w:val="14"/>
                              </w:rPr>
                            </w:pPr>
                            <w:r>
                              <w:rPr>
                                <w:rFonts w:cs="Gill Sans" w:ascii="Gill Sans" w:hAnsi="Gill Sans"/>
                                <w:b/>
                                <w:bCs/>
                                <w:sz w:val="14"/>
                                <w:szCs w:val="14"/>
                              </w:rPr>
                              <w:t>Recruitment Agencies: We are not utilising the service of recruitment agencies for this vacancy and will accept direct applications only.</w:t>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480.45pt;height:269.85pt;mso-wrap-distance-left:7.5pt;mso-wrap-distance-right:10.05pt;mso-wrap-distance-top:5.7pt;mso-wrap-distance-bottom:5.7pt;margin-top:11.2pt;mso-position-vertical-relative:text;margin-left:-15.6pt;mso-position-horizontal-relative:text">
                <v:textbox inset="0.100694444444444in,0.0506944444444444in,0.100694444444444in,0.0506944444444444in">
                  <w:txbxContent>
                    <w:p>
                      <w:pPr>
                        <w:pStyle w:val="FrameContents"/>
                        <w:numPr>
                          <w:ilvl w:val="0"/>
                          <w:numId w:val="0"/>
                        </w:numPr>
                        <w:ind w:left="0" w:hanging="0"/>
                        <w:rPr>
                          <w:rFonts w:ascii="Gill Sans MT" w:hAnsi="Gill Sans MT" w:cs="Gill Sans MT"/>
                          <w:b/>
                          <w:b/>
                          <w:bCs/>
                          <w:sz w:val="20"/>
                          <w:szCs w:val="20"/>
                        </w:rPr>
                      </w:pPr>
                      <w:r>
                        <w:rPr>
                          <w:rFonts w:cs="Gill Sans MT" w:ascii="Gill Sans MT" w:hAnsi="Gill Sans MT"/>
                          <w:b/>
                          <w:bCs/>
                          <w:sz w:val="20"/>
                          <w:szCs w:val="20"/>
                        </w:rPr>
                        <w:t>How to Apply</w:t>
                      </w:r>
                    </w:p>
                    <w:p>
                      <w:pPr>
                        <w:pStyle w:val="FrameContents"/>
                        <w:numPr>
                          <w:ilvl w:val="0"/>
                          <w:numId w:val="0"/>
                        </w:numPr>
                        <w:ind w:left="0" w:hanging="0"/>
                        <w:jc w:val="both"/>
                        <w:rPr/>
                      </w:pPr>
                      <w:r>
                        <w:rPr>
                          <w:rFonts w:cs="Gill Sans MT" w:ascii="Gill Sans MT" w:hAnsi="Gill Sans MT"/>
                          <w:b/>
                          <w:bCs/>
                          <w:sz w:val="15"/>
                          <w:szCs w:val="15"/>
                        </w:rPr>
                        <w:t xml:space="preserve">To apply for this job, please complete the application form attached and then return to </w:t>
                      </w:r>
                      <w:hyperlink r:id="rId4">
                        <w:r>
                          <w:rPr>
                            <w:rStyle w:val="InternetLink"/>
                            <w:rFonts w:cs="Gill Sans MT" w:ascii="Gill Sans MT" w:hAnsi="Gill Sans MT"/>
                            <w:sz w:val="15"/>
                            <w:szCs w:val="15"/>
                          </w:rPr>
                          <w:t>HR@salfordcc.ac.uk</w:t>
                        </w:r>
                      </w:hyperlink>
                      <w:r>
                        <w:rPr>
                          <w:rFonts w:cs="Gill Sans MT" w:ascii="Gill Sans MT" w:hAnsi="Gill Sans MT"/>
                          <w:color w:val="0067A6"/>
                          <w:sz w:val="15"/>
                          <w:szCs w:val="15"/>
                        </w:rPr>
                        <w:t> </w:t>
                      </w:r>
                    </w:p>
                    <w:p>
                      <w:pPr>
                        <w:pStyle w:val="FrameContents"/>
                        <w:rPr>
                          <w:rFonts w:ascii="Gill Sans MT" w:hAnsi="Gill Sans MT" w:cs="Gill Sans MT"/>
                          <w:sz w:val="15"/>
                          <w:szCs w:val="15"/>
                        </w:rPr>
                      </w:pPr>
                      <w:r>
                        <w:rPr>
                          <w:rFonts w:cs="Gill Sans MT" w:ascii="Gill Sans MT" w:hAnsi="Gill Sans MT"/>
                          <w:sz w:val="15"/>
                          <w:szCs w:val="15"/>
                        </w:rPr>
                        <w:t> </w:t>
                      </w:r>
                    </w:p>
                    <w:p>
                      <w:pPr>
                        <w:pStyle w:val="FrameContents"/>
                        <w:rPr>
                          <w:rFonts w:ascii="Gill Sans MT" w:hAnsi="Gill Sans MT" w:cs="Gill Sans MT"/>
                          <w:b/>
                          <w:b/>
                          <w:bCs/>
                          <w:sz w:val="15"/>
                          <w:szCs w:val="15"/>
                        </w:rPr>
                      </w:pPr>
                      <w:r>
                        <w:rPr>
                          <w:rFonts w:cs="Gill Sans MT" w:ascii="Gill Sans MT" w:hAnsi="Gill Sans MT"/>
                          <w:b/>
                          <w:bCs/>
                          <w:sz w:val="15"/>
                          <w:szCs w:val="15"/>
                        </w:rPr>
                        <w:t>Reasons to Join Us: </w:t>
                      </w:r>
                    </w:p>
                    <w:p>
                      <w:pPr>
                        <w:pStyle w:val="FrameContents"/>
                        <w:rPr>
                          <w:rFonts w:ascii="Gill Sans MT" w:hAnsi="Gill Sans MT" w:cs="Gill Sans MT"/>
                          <w:sz w:val="15"/>
                          <w:szCs w:val="15"/>
                        </w:rPr>
                      </w:pPr>
                      <w:r>
                        <w:rPr>
                          <w:rFonts w:cs="Gill Sans MT" w:ascii="Gill Sans MT" w:hAnsi="Gill Sans MT"/>
                          <w:sz w:val="15"/>
                          <w:szCs w:val="15"/>
                        </w:rPr>
                      </w:r>
                    </w:p>
                    <w:p>
                      <w:pPr>
                        <w:pStyle w:val="ListParagraph"/>
                        <w:numPr>
                          <w:ilvl w:val="0"/>
                          <w:numId w:val="1"/>
                        </w:numPr>
                        <w:rPr>
                          <w:rFonts w:ascii="Gill Sans MT" w:hAnsi="Gill Sans MT" w:eastAsia="Times New Roman" w:cs="Gill Sans MT"/>
                          <w:sz w:val="15"/>
                          <w:szCs w:val="15"/>
                        </w:rPr>
                      </w:pPr>
                      <w:r>
                        <w:rPr>
                          <w:rFonts w:eastAsia="Times New Roman" w:cs="Gill Sans MT" w:ascii="Gill Sans MT" w:hAnsi="Gill Sans MT"/>
                          <w:sz w:val="15"/>
                          <w:szCs w:val="15"/>
                        </w:rPr>
                        <w:t>We have Generous Terms and Conditions (Sixth Form College’s Association style terms and conditions) including 13 weeks holiday (195 days in College).</w:t>
                      </w:r>
                    </w:p>
                    <w:p>
                      <w:pPr>
                        <w:pStyle w:val="ListParagraph"/>
                        <w:numPr>
                          <w:ilvl w:val="0"/>
                          <w:numId w:val="1"/>
                        </w:numPr>
                        <w:rPr>
                          <w:rFonts w:ascii="Gill Sans MT" w:hAnsi="Gill Sans MT" w:eastAsia="Times New Roman" w:cs="Gill Sans MT"/>
                          <w:sz w:val="15"/>
                          <w:szCs w:val="15"/>
                        </w:rPr>
                      </w:pPr>
                      <w:r>
                        <w:rPr>
                          <w:rFonts w:eastAsia="Times New Roman" w:cs="Gill Sans MT" w:ascii="Gill Sans MT" w:hAnsi="Gill Sans MT"/>
                          <w:sz w:val="15"/>
                          <w:szCs w:val="15"/>
                        </w:rPr>
                        <w:t>We have a 2:30pm finish on Fridays, Free on-site parking and various health and wellbeing resources and benefit schemes including three Staff Wellbeing days per year.</w:t>
                      </w:r>
                    </w:p>
                    <w:p>
                      <w:pPr>
                        <w:pStyle w:val="ListParagraph"/>
                        <w:numPr>
                          <w:ilvl w:val="0"/>
                          <w:numId w:val="1"/>
                        </w:numPr>
                        <w:rPr>
                          <w:rFonts w:ascii="Gill Sans MT" w:hAnsi="Gill Sans MT" w:eastAsia="Times New Roman" w:cs="Gill Sans MT"/>
                          <w:sz w:val="15"/>
                          <w:szCs w:val="15"/>
                        </w:rPr>
                      </w:pPr>
                      <w:r>
                        <w:rPr>
                          <w:rFonts w:eastAsia="Times New Roman" w:cs="Gill Sans MT" w:ascii="Gill Sans MT" w:hAnsi="Gill Sans MT"/>
                          <w:sz w:val="15"/>
                          <w:szCs w:val="15"/>
                        </w:rPr>
                        <w:t>We offer automatic enrolment into the Teachers’ Pension Scheme with 28.68% employer pension contribution.</w:t>
                      </w:r>
                    </w:p>
                    <w:p>
                      <w:pPr>
                        <w:pStyle w:val="ListParagraph"/>
                        <w:numPr>
                          <w:ilvl w:val="0"/>
                          <w:numId w:val="1"/>
                        </w:numPr>
                        <w:rPr>
                          <w:rFonts w:ascii="Gill Sans MT" w:hAnsi="Gill Sans MT" w:eastAsia="Times New Roman" w:cs="Gill Sans MT"/>
                          <w:sz w:val="15"/>
                          <w:szCs w:val="15"/>
                        </w:rPr>
                      </w:pPr>
                      <w:r>
                        <w:rPr>
                          <w:rFonts w:eastAsia="Times New Roman" w:cs="Gill Sans MT" w:ascii="Gill Sans MT" w:hAnsi="Gill Sans MT"/>
                          <w:sz w:val="15"/>
                          <w:szCs w:val="15"/>
                        </w:rPr>
                        <w:t>Our College is an incredible community, there is a lot that staff and their families can get involved with.</w:t>
                      </w:r>
                    </w:p>
                    <w:p>
                      <w:pPr>
                        <w:pStyle w:val="ListParagraph"/>
                        <w:numPr>
                          <w:ilvl w:val="0"/>
                          <w:numId w:val="1"/>
                        </w:numPr>
                        <w:rPr>
                          <w:rFonts w:ascii="Gill Sans MT" w:hAnsi="Gill Sans MT" w:eastAsia="Times New Roman" w:cs="Gill Sans MT"/>
                          <w:sz w:val="15"/>
                          <w:szCs w:val="15"/>
                        </w:rPr>
                      </w:pPr>
                      <w:r>
                        <w:rPr>
                          <w:rFonts w:eastAsia="Times New Roman" w:cs="Gill Sans MT" w:ascii="Gill Sans MT" w:hAnsi="Gill Sans MT"/>
                          <w:sz w:val="15"/>
                          <w:szCs w:val="15"/>
                        </w:rPr>
                        <w:t>We have family friendly policies and we are happy to talk about flexible working.</w:t>
                      </w:r>
                    </w:p>
                    <w:p>
                      <w:pPr>
                        <w:pStyle w:val="ListParagraph"/>
                        <w:numPr>
                          <w:ilvl w:val="0"/>
                          <w:numId w:val="1"/>
                        </w:numPr>
                        <w:rPr>
                          <w:rFonts w:ascii="Gill Sans MT" w:hAnsi="Gill Sans MT" w:eastAsia="Times New Roman" w:cs="Gill Sans MT"/>
                          <w:sz w:val="15"/>
                          <w:szCs w:val="15"/>
                        </w:rPr>
                      </w:pPr>
                      <w:r>
                        <w:rPr>
                          <w:rFonts w:eastAsia="Times New Roman" w:cs="Gill Sans MT" w:ascii="Gill Sans MT" w:hAnsi="Gill Sans MT"/>
                          <w:sz w:val="15"/>
                          <w:szCs w:val="15"/>
                        </w:rPr>
                        <w:t>We invest in our people and offer a range of training &amp; career opportunities for all staff.</w:t>
                      </w:r>
                    </w:p>
                    <w:p>
                      <w:pPr>
                        <w:pStyle w:val="ListParagraph"/>
                        <w:numPr>
                          <w:ilvl w:val="0"/>
                          <w:numId w:val="1"/>
                        </w:numPr>
                        <w:rPr>
                          <w:rFonts w:ascii="Gill Sans MT" w:hAnsi="Gill Sans MT" w:eastAsia="Times New Roman" w:cs="Gill Sans MT"/>
                          <w:sz w:val="15"/>
                          <w:szCs w:val="15"/>
                        </w:rPr>
                      </w:pPr>
                      <w:r>
                        <w:rPr>
                          <w:rFonts w:eastAsia="Times New Roman" w:cs="Gill Sans MT" w:ascii="Gill Sans MT" w:hAnsi="Gill Sans MT"/>
                          <w:sz w:val="15"/>
                          <w:szCs w:val="15"/>
                        </w:rPr>
                        <w:t>We have an amazing Staff Benefits Package with discounts and savings for supermarkets, petrol, high-street retailers, holidays, cinemas and other leisure.</w:t>
                      </w:r>
                    </w:p>
                    <w:p>
                      <w:pPr>
                        <w:pStyle w:val="ListParagraph"/>
                        <w:numPr>
                          <w:ilvl w:val="0"/>
                          <w:numId w:val="1"/>
                        </w:numPr>
                        <w:rPr>
                          <w:rFonts w:ascii="Gill Sans MT" w:hAnsi="Gill Sans MT" w:eastAsia="Times New Roman" w:cs="Gill Sans MT"/>
                          <w:sz w:val="15"/>
                          <w:szCs w:val="15"/>
                        </w:rPr>
                      </w:pPr>
                      <w:r>
                        <w:rPr>
                          <w:rFonts w:eastAsia="Times New Roman" w:cs="Gill Sans MT" w:ascii="Gill Sans MT" w:hAnsi="Gill Sans MT"/>
                          <w:sz w:val="15"/>
                          <w:szCs w:val="15"/>
                        </w:rPr>
                        <w:t>Our shared purpose: We believe in the value of education for a successful future and we want the best for our learners and our staff.</w:t>
                      </w:r>
                    </w:p>
                    <w:p>
                      <w:pPr>
                        <w:pStyle w:val="ListParagraph"/>
                        <w:numPr>
                          <w:ilvl w:val="0"/>
                          <w:numId w:val="2"/>
                        </w:numPr>
                        <w:rPr/>
                      </w:pPr>
                      <w:r>
                        <w:rPr>
                          <w:rFonts w:eastAsia="Times New Roman" w:cs="Gill Sans MT" w:ascii="Gill Sans MT" w:hAnsi="Gill Sans MT"/>
                          <w:sz w:val="15"/>
                          <w:szCs w:val="15"/>
                        </w:rPr>
                        <w:t>Our core values are at the heart of everything we do. Staff and students behave with respect, integrity and kindness.</w:t>
                      </w:r>
                      <w:r>
                        <w:rPr>
                          <w:rFonts w:cs="Gill Sans MT" w:ascii="Gill Sans MT" w:hAnsi="Gill Sans MT"/>
                          <w:sz w:val="15"/>
                          <w:szCs w:val="15"/>
                        </w:rPr>
                        <w:t xml:space="preserve"> </w:t>
                      </w:r>
                    </w:p>
                    <w:p>
                      <w:pPr>
                        <w:pStyle w:val="ListParagraph"/>
                        <w:numPr>
                          <w:ilvl w:val="0"/>
                          <w:numId w:val="2"/>
                        </w:numPr>
                        <w:rPr>
                          <w:rFonts w:ascii="Gill Sans MT" w:hAnsi="Gill Sans MT" w:cs="Gill Sans MT"/>
                          <w:sz w:val="15"/>
                          <w:szCs w:val="15"/>
                        </w:rPr>
                      </w:pPr>
                      <w:r>
                        <w:rPr>
                          <w:rFonts w:cs="Gill Sans MT" w:ascii="Gill Sans MT" w:hAnsi="Gill Sans MT"/>
                          <w:sz w:val="15"/>
                          <w:szCs w:val="15"/>
                        </w:rPr>
                        <w:t>94% of staff are proud to work at the College.</w:t>
                      </w:r>
                    </w:p>
                    <w:p>
                      <w:pPr>
                        <w:pStyle w:val="FrameContents"/>
                        <w:rPr>
                          <w:rFonts w:ascii="Gill Sans MT" w:hAnsi="Gill Sans MT" w:cs="Gill Sans MT"/>
                          <w:i/>
                          <w:i/>
                          <w:iCs/>
                          <w:sz w:val="15"/>
                          <w:szCs w:val="15"/>
                        </w:rPr>
                      </w:pPr>
                      <w:r>
                        <w:rPr>
                          <w:rFonts w:cs="Gill Sans MT" w:ascii="Gill Sans MT" w:hAnsi="Gill Sans MT"/>
                          <w:i/>
                          <w:iCs/>
                          <w:sz w:val="15"/>
                          <w:szCs w:val="15"/>
                        </w:rPr>
                      </w:r>
                    </w:p>
                    <w:p>
                      <w:pPr>
                        <w:pStyle w:val="FrameContents"/>
                        <w:rPr>
                          <w:rFonts w:ascii="Gill Sans MT" w:hAnsi="Gill Sans MT" w:cs="Gill Sans MT"/>
                          <w:b/>
                          <w:b/>
                          <w:bCs/>
                          <w:sz w:val="15"/>
                          <w:szCs w:val="15"/>
                        </w:rPr>
                      </w:pPr>
                      <w:r>
                        <w:rPr>
                          <w:rFonts w:cs="Gill Sans MT" w:ascii="Gill Sans MT" w:hAnsi="Gill Sans MT"/>
                          <w:b/>
                          <w:bCs/>
                          <w:sz w:val="15"/>
                          <w:szCs w:val="15"/>
                        </w:rPr>
                        <w:t xml:space="preserve">Commitment to Safeguarding </w:t>
                      </w:r>
                    </w:p>
                    <w:p>
                      <w:pPr>
                        <w:pStyle w:val="FrameContents"/>
                        <w:numPr>
                          <w:ilvl w:val="0"/>
                          <w:numId w:val="0"/>
                        </w:numPr>
                        <w:ind w:left="0" w:hanging="0"/>
                        <w:rPr>
                          <w:rFonts w:ascii="Gill Sans MT" w:hAnsi="Gill Sans MT" w:cs="Gill Sans MT"/>
                          <w:sz w:val="15"/>
                          <w:szCs w:val="15"/>
                        </w:rPr>
                      </w:pPr>
                      <w:r>
                        <w:rPr>
                          <w:rFonts w:cs="Gill Sans MT" w:ascii="Gill Sans MT" w:hAnsi="Gill Sans MT"/>
                          <w:sz w:val="15"/>
                          <w:szCs w:val="15"/>
                        </w:rPr>
                        <w:t>This post is exempt from the Rehabilitation of Offenders Act 1974 and as part of our safeguarding commitment we undertake DBS checks as part of our pre-employment procedures on all potential new employees</w:t>
                      </w:r>
                    </w:p>
                    <w:p>
                      <w:pPr>
                        <w:pStyle w:val="FrameContents"/>
                        <w:numPr>
                          <w:ilvl w:val="0"/>
                          <w:numId w:val="0"/>
                        </w:numPr>
                        <w:ind w:left="0" w:hanging="0"/>
                        <w:rPr>
                          <w:rFonts w:ascii="Gill Sans MT" w:hAnsi="Gill Sans MT" w:cs="Gill Sans MT"/>
                          <w:b/>
                          <w:b/>
                          <w:bCs/>
                          <w:sz w:val="15"/>
                          <w:szCs w:val="15"/>
                        </w:rPr>
                      </w:pPr>
                      <w:r>
                        <w:rPr>
                          <w:rFonts w:cs="Gill Sans MT" w:ascii="Gill Sans MT" w:hAnsi="Gill Sans MT"/>
                          <w:b/>
                          <w:bCs/>
                          <w:sz w:val="15"/>
                          <w:szCs w:val="15"/>
                        </w:rPr>
                      </w:r>
                    </w:p>
                    <w:p>
                      <w:pPr>
                        <w:pStyle w:val="FrameContents"/>
                        <w:spacing w:before="60" w:after="0"/>
                        <w:contextualSpacing/>
                        <w:jc w:val="both"/>
                        <w:rPr>
                          <w:rFonts w:ascii="Gill Sans" w:hAnsi="Gill Sans" w:cs="Gill Sans"/>
                          <w:b/>
                          <w:b/>
                          <w:bCs/>
                          <w:sz w:val="14"/>
                          <w:szCs w:val="14"/>
                        </w:rPr>
                      </w:pPr>
                      <w:r>
                        <w:rPr>
                          <w:rFonts w:cs="Gill Sans" w:ascii="Gill Sans" w:hAnsi="Gill Sans"/>
                          <w:b/>
                          <w:bCs/>
                          <w:sz w:val="14"/>
                          <w:szCs w:val="14"/>
                        </w:rPr>
                        <w:t xml:space="preserve">The College is committed to fostering a diverse and inclusive community, welcoming applications from individuals of all backgrounds, including those with military experience whose unique skills and perspectives are highly valued. </w:t>
                      </w:r>
                    </w:p>
                    <w:p>
                      <w:pPr>
                        <w:pStyle w:val="FrameContents"/>
                        <w:spacing w:before="60" w:after="0"/>
                        <w:contextualSpacing/>
                        <w:jc w:val="both"/>
                        <w:rPr>
                          <w:rFonts w:ascii="Gill Sans" w:hAnsi="Gill Sans" w:cs="Gill Sans"/>
                          <w:b/>
                          <w:b/>
                          <w:bCs/>
                          <w:sz w:val="14"/>
                          <w:szCs w:val="14"/>
                        </w:rPr>
                      </w:pPr>
                      <w:r>
                        <w:rPr>
                          <w:rFonts w:cs="Gill Sans" w:ascii="Gill Sans" w:hAnsi="Gill Sans"/>
                          <w:b/>
                          <w:bCs/>
                          <w:sz w:val="14"/>
                          <w:szCs w:val="14"/>
                        </w:rPr>
                        <w:t>Recruitment Agencies: We are not utilising the service of recruitment agencies for this vacancy and will accept direct applications only.</w:t>
                      </w:r>
                    </w:p>
                    <w:p>
                      <w:pPr>
                        <w:pStyle w:val="FrameContents"/>
                        <w:rPr/>
                      </w:pPr>
                      <w:r>
                        <w:rPr/>
                      </w:r>
                    </w:p>
                  </w:txbxContent>
                </v:textbox>
              </v:rect>
            </w:pict>
          </mc:Fallback>
        </mc:AlternateContent>
      </w:r>
    </w:p>
    <w:p>
      <w:pPr>
        <w:pStyle w:val="Normal"/>
        <w:rPr>
          <w:rFonts w:ascii="GILL SANS SEMIBOLD" w:hAnsi="GILL SANS SEMIBOLD" w:cs="GILL SANS SEMIBOLD"/>
          <w:sz w:val="20"/>
          <w:szCs w:val="20"/>
        </w:rPr>
      </w:pPr>
      <w:r>
        <w:rPr>
          <w:rFonts w:cs="GILL SANS SEMIBOLD" w:ascii="GILL SANS SEMIBOLD" w:hAnsi="GILL SANS SEMIBOLD"/>
          <w:sz w:val="20"/>
          <w:szCs w:val="20"/>
        </w:rPr>
      </w:r>
    </w:p>
    <w:p>
      <w:pPr>
        <w:pStyle w:val="Normal"/>
        <w:rPr>
          <w:rFonts w:ascii="GILL SANS SEMIBOLD" w:hAnsi="GILL SANS SEMIBOLD" w:cs="GILL SANS SEMIBOLD"/>
          <w:sz w:val="20"/>
          <w:szCs w:val="20"/>
        </w:rPr>
      </w:pPr>
      <w:r>
        <w:rPr>
          <w:rFonts w:cs="GILL SANS SEMIBOLD" w:ascii="GILL SANS SEMIBOLD" w:hAnsi="GILL SANS SEMIBOLD"/>
          <w:sz w:val="20"/>
          <w:szCs w:val="20"/>
        </w:rPr>
      </w:r>
    </w:p>
    <w:p>
      <w:pPr>
        <w:pStyle w:val="Normal"/>
        <w:rPr>
          <w:rFonts w:ascii="GILL SANS SEMIBOLD" w:hAnsi="GILL SANS SEMIBOLD" w:cs="GILL SANS SEMIBOLD"/>
          <w:sz w:val="20"/>
          <w:szCs w:val="20"/>
        </w:rPr>
      </w:pPr>
      <w:r>
        <w:rPr>
          <w:rFonts w:cs="GILL SANS SEMIBOLD" w:ascii="GILL SANS SEMIBOLD" w:hAnsi="GILL SANS SEMIBOLD"/>
          <w:sz w:val="20"/>
          <w:szCs w:val="20"/>
        </w:rPr>
      </w:r>
    </w:p>
    <w:p>
      <w:pPr>
        <w:pStyle w:val="Normal"/>
        <w:rPr>
          <w:rFonts w:ascii="GILL SANS SEMIBOLD" w:hAnsi="GILL SANS SEMIBOLD" w:cs="GILL SANS SEMIBOLD"/>
          <w:sz w:val="20"/>
          <w:szCs w:val="20"/>
        </w:rPr>
      </w:pPr>
      <w:r>
        <w:rPr>
          <w:rFonts w:cs="GILL SANS SEMIBOLD" w:ascii="GILL SANS SEMIBOLD" w:hAnsi="GILL SANS SEMIBOLD"/>
          <w:sz w:val="20"/>
          <w:szCs w:val="20"/>
        </w:rPr>
      </w:r>
    </w:p>
    <w:p>
      <w:pPr>
        <w:pStyle w:val="Normal"/>
        <w:rPr>
          <w:rFonts w:ascii="GILL SANS SEMIBOLD" w:hAnsi="GILL SANS SEMIBOLD" w:cs="GILL SANS SEMIBOLD"/>
          <w:sz w:val="20"/>
          <w:szCs w:val="20"/>
        </w:rPr>
      </w:pPr>
      <w:r>
        <w:rPr>
          <w:rFonts w:cs="GILL SANS SEMIBOLD" w:ascii="GILL SANS SEMIBOLD" w:hAnsi="GILL SANS SEMIBOLD"/>
          <w:sz w:val="20"/>
          <w:szCs w:val="20"/>
        </w:rPr>
      </w:r>
    </w:p>
    <w:p>
      <w:pPr>
        <w:pStyle w:val="Normal"/>
        <w:rPr>
          <w:rFonts w:ascii="GILL SANS SEMIBOLD" w:hAnsi="GILL SANS SEMIBOLD" w:cs="GILL SANS SEMIBOLD"/>
          <w:sz w:val="20"/>
          <w:szCs w:val="20"/>
        </w:rPr>
      </w:pPr>
      <w:r>
        <w:rPr>
          <w:rFonts w:cs="GILL SANS SEMIBOLD" w:ascii="GILL SANS SEMIBOLD" w:hAnsi="GILL SANS SEMIBOLD"/>
          <w:sz w:val="20"/>
          <w:szCs w:val="20"/>
        </w:rPr>
      </w:r>
    </w:p>
    <w:p>
      <w:pPr>
        <w:pStyle w:val="Normal"/>
        <w:rPr>
          <w:rFonts w:ascii="GILL SANS SEMIBOLD" w:hAnsi="GILL SANS SEMIBOLD" w:cs="GILL SANS SEMIBOLD"/>
          <w:sz w:val="20"/>
          <w:szCs w:val="20"/>
        </w:rPr>
      </w:pPr>
      <w:r>
        <w:rPr>
          <w:rFonts w:cs="GILL SANS SEMIBOLD" w:ascii="GILL SANS SEMIBOLD" w:hAnsi="GILL SANS SEMIBOLD"/>
          <w:sz w:val="20"/>
          <w:szCs w:val="20"/>
        </w:rPr>
      </w:r>
    </w:p>
    <w:p>
      <w:pPr>
        <w:pStyle w:val="Normal"/>
        <w:rPr>
          <w:rFonts w:ascii="GILL SANS SEMIBOLD" w:hAnsi="GILL SANS SEMIBOLD" w:cs="GILL SANS SEMIBOLD"/>
          <w:sz w:val="20"/>
          <w:szCs w:val="20"/>
        </w:rPr>
      </w:pPr>
      <w:r>
        <w:rPr>
          <w:rFonts w:cs="GILL SANS SEMIBOLD" w:ascii="GILL SANS SEMIBOLD" w:hAnsi="GILL SANS SEMIBOLD"/>
          <w:sz w:val="20"/>
          <w:szCs w:val="20"/>
        </w:rPr>
      </w:r>
    </w:p>
    <w:p>
      <w:pPr>
        <w:pStyle w:val="Normal"/>
        <w:rPr>
          <w:rFonts w:ascii="GILL SANS SEMIBOLD" w:hAnsi="GILL SANS SEMIBOLD" w:cs="GILL SANS SEMIBOLD"/>
          <w:sz w:val="20"/>
          <w:szCs w:val="20"/>
        </w:rPr>
      </w:pPr>
      <w:r>
        <w:rPr>
          <w:rFonts w:cs="GILL SANS SEMIBOLD" w:ascii="GILL SANS SEMIBOLD" w:hAnsi="GILL SANS SEMIBOLD"/>
          <w:sz w:val="20"/>
          <w:szCs w:val="20"/>
        </w:rPr>
      </w:r>
    </w:p>
    <w:p>
      <w:pPr>
        <w:pStyle w:val="Normal"/>
        <w:rPr>
          <w:rFonts w:ascii="GILL SANS SEMIBOLD" w:hAnsi="GILL SANS SEMIBOLD" w:cs="GILL SANS SEMIBOLD"/>
          <w:sz w:val="20"/>
          <w:szCs w:val="20"/>
        </w:rPr>
      </w:pPr>
      <w:r>
        <w:rPr>
          <w:rFonts w:cs="GILL SANS SEMIBOLD" w:ascii="GILL SANS SEMIBOLD" w:hAnsi="GILL SANS SEMIBOLD"/>
          <w:sz w:val="20"/>
          <w:szCs w:val="20"/>
        </w:rPr>
      </w:r>
    </w:p>
    <w:p>
      <w:pPr>
        <w:pStyle w:val="Normal"/>
        <w:rPr>
          <w:rFonts w:ascii="GILL SANS SEMIBOLD" w:hAnsi="GILL SANS SEMIBOLD" w:cs="GILL SANS SEMIBOLD"/>
          <w:sz w:val="20"/>
          <w:szCs w:val="20"/>
        </w:rPr>
      </w:pPr>
      <w:r>
        <w:rPr>
          <w:rFonts w:cs="GILL SANS SEMIBOLD" w:ascii="GILL SANS SEMIBOLD" w:hAnsi="GILL SANS SEMIBOLD"/>
          <w:sz w:val="20"/>
          <w:szCs w:val="20"/>
        </w:rPr>
      </w:r>
    </w:p>
    <w:p>
      <w:pPr>
        <w:pStyle w:val="Normal"/>
        <w:rPr>
          <w:rFonts w:ascii="GILL SANS SEMIBOLD" w:hAnsi="GILL SANS SEMIBOLD" w:cs="GILL SANS SEMIBOLD"/>
          <w:sz w:val="20"/>
          <w:szCs w:val="20"/>
        </w:rPr>
      </w:pPr>
      <w:r>
        <w:rPr>
          <w:rFonts w:cs="GILL SANS SEMIBOLD" w:ascii="GILL SANS SEMIBOLD" w:hAnsi="GILL SANS SEMIBOLD"/>
          <w:sz w:val="20"/>
          <w:szCs w:val="20"/>
        </w:rPr>
      </w:r>
    </w:p>
    <w:sectPr>
      <w:headerReference w:type="default" r:id="rId5"/>
      <w:footerReference w:type="default" r:id="rId6"/>
      <w:type w:val="nextPage"/>
      <w:pgSz w:w="11906" w:h="16838"/>
      <w:pgMar w:left="1440" w:right="1440" w:header="0" w:top="1440" w:footer="708"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ourier New">
    <w:charset w:val="01"/>
    <w:family w:val="modern"/>
    <w:pitch w:val="default"/>
  </w:font>
  <w:font w:name="Wingdings">
    <w:charset w:val="02"/>
    <w:family w:val="auto"/>
    <w:pitch w:val="variable"/>
  </w:font>
  <w:font w:name="Liberation Sans">
    <w:altName w:val="Arial"/>
    <w:charset w:val="00"/>
    <w:family w:val="swiss"/>
    <w:pitch w:val="variable"/>
  </w:font>
  <w:font w:name="Century Gothic">
    <w:charset w:val="00"/>
    <w:family w:val="roman"/>
    <w:pitch w:val="variable"/>
  </w:font>
  <w:font w:name="GILL SANS SEMIBOLD">
    <w:charset w:val="00"/>
    <w:family w:val="roman"/>
    <w:pitch w:val="variable"/>
  </w:font>
  <w:font w:name="Gill Sans">
    <w:charset w:val="00"/>
    <w:family w:val="roman"/>
    <w:pitch w:val="variable"/>
  </w:font>
  <w:font w:name="Gill Sans MT">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drawing>
        <wp:anchor behindDoc="1" distT="0" distB="0" distL="0" distR="0" simplePos="0" locked="0" layoutInCell="1" allowOverlap="1" relativeHeight="2">
          <wp:simplePos x="0" y="0"/>
          <wp:positionH relativeFrom="column">
            <wp:posOffset>-914400</wp:posOffset>
          </wp:positionH>
          <wp:positionV relativeFrom="paragraph">
            <wp:posOffset>-2086610</wp:posOffset>
          </wp:positionV>
          <wp:extent cx="7559675" cy="5041265"/>
          <wp:effectExtent l="0" t="0" r="0" b="0"/>
          <wp:wrapNone/>
          <wp:docPr id="9"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descr=""/>
                  <pic:cNvPicPr>
                    <a:picLocks noChangeAspect="1" noChangeArrowheads="1"/>
                  </pic:cNvPicPr>
                </pic:nvPicPr>
                <pic:blipFill>
                  <a:blip r:embed="rId1"/>
                  <a:srcRect l="-1" t="-2" r="-1" b="-2"/>
                  <a:stretch>
                    <a:fillRect/>
                  </a:stretch>
                </pic:blipFill>
                <pic:spPr bwMode="auto">
                  <a:xfrm>
                    <a:off x="0" y="0"/>
                    <a:ext cx="7559675" cy="5041265"/>
                  </a:xfrm>
                  <a:prstGeom prst="rect">
                    <a:avLst/>
                  </a:prstGeom>
                </pic:spPr>
              </pic:pic>
            </a:graphicData>
          </a:graphic>
        </wp:anchor>
      </w:drawing>
      <w:drawing>
        <wp:anchor behindDoc="1" distT="0" distB="0" distL="114935" distR="114935" simplePos="0" locked="0" layoutInCell="1" allowOverlap="1" relativeHeight="3">
          <wp:simplePos x="0" y="0"/>
          <wp:positionH relativeFrom="column">
            <wp:posOffset>-1846580</wp:posOffset>
          </wp:positionH>
          <wp:positionV relativeFrom="paragraph">
            <wp:posOffset>-2454910</wp:posOffset>
          </wp:positionV>
          <wp:extent cx="7560310" cy="4413885"/>
          <wp:effectExtent l="0" t="0" r="0" b="0"/>
          <wp:wrapNone/>
          <wp:docPr id="10"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
                  <pic:cNvPicPr>
                    <a:picLocks noChangeAspect="1" noChangeArrowheads="1"/>
                  </pic:cNvPicPr>
                </pic:nvPicPr>
                <pic:blipFill>
                  <a:blip r:embed="rId2"/>
                  <a:srcRect l="-2" t="-3" r="-2" b="-3"/>
                  <a:stretch>
                    <a:fillRect/>
                  </a:stretch>
                </pic:blipFill>
                <pic:spPr bwMode="auto">
                  <a:xfrm>
                    <a:off x="0" y="0"/>
                    <a:ext cx="7560310" cy="4413885"/>
                  </a:xfrm>
                  <a:prstGeom prst="rect">
                    <a:avLst/>
                  </a:prstGeom>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anchor behindDoc="1" distT="0" distB="0" distL="114300" distR="114300" simplePos="0" locked="0" layoutInCell="1" allowOverlap="1" relativeHeight="4">
          <wp:simplePos x="0" y="0"/>
          <wp:positionH relativeFrom="margin">
            <wp:posOffset>0</wp:posOffset>
          </wp:positionH>
          <wp:positionV relativeFrom="paragraph">
            <wp:posOffset>185420</wp:posOffset>
          </wp:positionV>
          <wp:extent cx="5730875" cy="1021715"/>
          <wp:effectExtent l="0" t="0" r="0" b="0"/>
          <wp:wrapSquare wrapText="bothSides"/>
          <wp:docPr id="8"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
                  <pic:cNvPicPr>
                    <a:picLocks noChangeAspect="1" noChangeArrowheads="1"/>
                  </pic:cNvPicPr>
                </pic:nvPicPr>
                <pic:blipFill>
                  <a:blip r:embed="rId1"/>
                  <a:srcRect l="-6" t="-35" r="-6" b="-35"/>
                  <a:stretch>
                    <a:fillRect/>
                  </a:stretch>
                </pic:blipFill>
                <pic:spPr bwMode="auto">
                  <a:xfrm>
                    <a:off x="0" y="0"/>
                    <a:ext cx="5730875" cy="102171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2">
    <w:lvl w:ilvl="0">
      <w:start w:val="1"/>
      <w:numFmt w:val="bullet"/>
      <w:lvlText w:val=""/>
      <w:lvlJc w:val="left"/>
      <w:pPr>
        <w:ind w:left="360" w:hanging="360"/>
      </w:pPr>
      <w:rPr>
        <w:rFonts w:ascii="Symbol" w:hAnsi="Symbol" w:cs="Symbol" w:hint="default"/>
        <w:sz w:val="15"/>
        <w:szCs w:val="15"/>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sz w:val="15"/>
        <w:szCs w:val="15"/>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sz w:val="15"/>
        <w:szCs w:val="15"/>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0"/>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Calibri" w:hAnsi="Calibri" w:eastAsia="Calibri" w:cs="Arial"/>
      <w:color w:val="auto"/>
      <w:kern w:val="0"/>
      <w:sz w:val="24"/>
      <w:szCs w:val="24"/>
      <w:lang w:val="en-GB" w:eastAsia="en-US" w:bidi="ar-SA"/>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rFonts w:ascii="Symbol" w:hAnsi="Symbol" w:cs="Symbol"/>
      <w:sz w:val="15"/>
      <w:szCs w:val="15"/>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InternetLink">
    <w:name w:val="Internet Link"/>
    <w:basedOn w:val="DefaultParagraphFont"/>
    <w:rPr>
      <w:color w:val="0563C1"/>
      <w:u w:val="single"/>
    </w:rPr>
  </w:style>
  <w:style w:type="character" w:styleId="UnresolvedMention1">
    <w:name w:val="Unresolved Mention1"/>
    <w:basedOn w:val="DefaultParagraphFont"/>
    <w:qFormat/>
    <w:rPr>
      <w:color w:val="605E5C"/>
      <w:shd w:fill="E1DFDD" w:val="clear"/>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andFooter">
    <w:name w:val="Header and Footer"/>
    <w:basedOn w:val="Normal"/>
    <w:qFormat/>
    <w:pPr/>
    <w:rPr/>
  </w:style>
  <w:style w:type="paragraph" w:styleId="Header">
    <w:name w:val="Header"/>
    <w:basedOn w:val="Normal"/>
    <w:pPr>
      <w:tabs>
        <w:tab w:val="clear" w:pos="720"/>
        <w:tab w:val="center" w:pos="4513" w:leader="none"/>
        <w:tab w:val="right" w:pos="9026" w:leader="none"/>
      </w:tabs>
    </w:pPr>
    <w:rPr/>
  </w:style>
  <w:style w:type="paragraph" w:styleId="Footer">
    <w:name w:val="Footer"/>
    <w:basedOn w:val="Normal"/>
    <w:pPr>
      <w:tabs>
        <w:tab w:val="clear" w:pos="720"/>
        <w:tab w:val="center" w:pos="4513" w:leader="none"/>
        <w:tab w:val="right" w:pos="9026" w:leader="none"/>
      </w:tabs>
    </w:pPr>
    <w:rPr/>
  </w:style>
  <w:style w:type="paragraph" w:styleId="P3">
    <w:name w:val="p3"/>
    <w:basedOn w:val="Normal"/>
    <w:qFormat/>
    <w:pPr/>
    <w:rPr>
      <w:rFonts w:ascii="Century Gothic" w:hAnsi="Century Gothic" w:cs="Times New Roman"/>
      <w:sz w:val="12"/>
      <w:szCs w:val="12"/>
      <w:lang w:val="en-US"/>
    </w:rPr>
  </w:style>
  <w:style w:type="paragraph" w:styleId="ListParagraph">
    <w:name w:val="List Paragraph"/>
    <w:basedOn w:val="Normal"/>
    <w:qFormat/>
    <w:pPr>
      <w:spacing w:before="0" w:after="0"/>
      <w:ind w:left="720" w:right="0" w:hanging="0"/>
      <w:contextualSpacing/>
    </w:pPr>
    <w:rPr>
      <w:lang w:val="en-U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HR@salfordcc.ac.uk" TargetMode="External"/><Relationship Id="rId4" Type="http://schemas.openxmlformats.org/officeDocument/2006/relationships/hyperlink" Target="mailto:HR@salfordcc.ac.uk" TargetMode="Externa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docProps/app.xml><?xml version="1.0" encoding="utf-8"?>
<Properties xmlns="http://schemas.openxmlformats.org/officeDocument/2006/extended-properties" xmlns:vt="http://schemas.openxmlformats.org/officeDocument/2006/docPropsVTypes">
  <Template>Normal</Template>
  <TotalTime>10</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2026-04-01T12:05:00Z</dcterms:created>
  <dc:creator>Tom Davidson</dc:creator>
  <dc:description/>
  <dc:language>en-US</dc:language>
  <cp:lastModifiedBy>Gillian Walton</cp:lastModifiedBy>
  <cp:lastPrinted>1995-11-21T17:41:00Z</cp:lastPrinted>
  <dcterms:modified xsi:type="dcterms:W3CDTF">2026-04-07T11:40:00Z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0x0101004C96994F7A72394AB31EE9ACA0E8BBBA</vt:lpwstr>
  </property>
  <property fmtid="{D5CDD505-2E9C-101B-9397-08002B2CF9AE}" pid="4" name="DocSecurity">
    <vt:i4>2</vt:i4>
  </property>
  <property fmtid="{D5CDD505-2E9C-101B-9397-08002B2CF9AE}" pid="5" name="HyperlinksChanged">
    <vt:bool>0</vt:bool>
  </property>
  <property fmtid="{D5CDD505-2E9C-101B-9397-08002B2CF9AE}" pid="6" name="LinksUpToDate">
    <vt:bool>0</vt:bool>
  </property>
  <property fmtid="{D5CDD505-2E9C-101B-9397-08002B2CF9AE}" pid="7" name="MSIP_Label_8448bdcc-a5c1-4821-919e-44fa9583868f_ActionId">
    <vt:lpwstr>26372617-4407-4dc4-ae62-b00b69a92dab</vt:lpwstr>
  </property>
  <property fmtid="{D5CDD505-2E9C-101B-9397-08002B2CF9AE}" pid="8" name="MSIP_Label_8448bdcc-a5c1-4821-919e-44fa9583868f_ContentBits">
    <vt:lpwstr>0</vt:lpwstr>
  </property>
  <property fmtid="{D5CDD505-2E9C-101B-9397-08002B2CF9AE}" pid="9" name="MSIP_Label_8448bdcc-a5c1-4821-919e-44fa9583868f_Enabled">
    <vt:lpwstr>true</vt:lpwstr>
  </property>
  <property fmtid="{D5CDD505-2E9C-101B-9397-08002B2CF9AE}" pid="10" name="MSIP_Label_8448bdcc-a5c1-4821-919e-44fa9583868f_Method">
    <vt:lpwstr>Standard</vt:lpwstr>
  </property>
  <property fmtid="{D5CDD505-2E9C-101B-9397-08002B2CF9AE}" pid="11" name="MSIP_Label_8448bdcc-a5c1-4821-919e-44fa9583868f_Name">
    <vt:lpwstr>defa4170-0d19-0005-0004-bc88714345d2</vt:lpwstr>
  </property>
  <property fmtid="{D5CDD505-2E9C-101B-9397-08002B2CF9AE}" pid="12" name="MSIP_Label_8448bdcc-a5c1-4821-919e-44fa9583868f_SetDate">
    <vt:lpwstr>2024-02-05T15:31:01Z</vt:lpwstr>
  </property>
  <property fmtid="{D5CDD505-2E9C-101B-9397-08002B2CF9AE}" pid="13" name="MSIP_Label_8448bdcc-a5c1-4821-919e-44fa9583868f_SiteId">
    <vt:lpwstr>96f4d8ee-39bd-4af2-bb46-02d6d12565b5</vt:lpwstr>
  </property>
  <property fmtid="{D5CDD505-2E9C-101B-9397-08002B2CF9AE}" pid="14" name="ScaleCrop">
    <vt:bool>0</vt:bool>
  </property>
  <property fmtid="{D5CDD505-2E9C-101B-9397-08002B2CF9AE}" pid="15" name="ShareDoc">
    <vt:bool>0</vt:bool>
  </property>
</Properties>
</file>