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120"/>
        <w:rPr>
          <w:b/>
          <w:b/>
          <w:bCs/>
          <w:sz w:val="24"/>
          <w:szCs w:val="24"/>
        </w:rPr>
      </w:pPr>
      <w:r>
        <w:rPr>
          <w:b/>
          <w:bCs/>
          <w:sz w:val="24"/>
          <w:szCs w:val="24"/>
        </w:rPr>
        <w:t>Post:</w:t>
        <w:tab/>
        <w:t>Responsible Financial Officer</w:t>
      </w:r>
    </w:p>
    <w:p>
      <w:pPr>
        <w:pStyle w:val="Normal"/>
        <w:spacing w:lineRule="auto" w:line="240" w:before="0" w:after="120"/>
        <w:rPr>
          <w:b/>
          <w:b/>
          <w:bCs/>
          <w:sz w:val="24"/>
          <w:szCs w:val="24"/>
        </w:rPr>
      </w:pPr>
      <w:r>
        <w:rPr>
          <w:b/>
          <w:bCs/>
          <w:sz w:val="24"/>
          <w:szCs w:val="24"/>
        </w:rPr>
      </w:r>
    </w:p>
    <w:p>
      <w:pPr>
        <w:pStyle w:val="Normal"/>
        <w:spacing w:lineRule="auto" w:line="240" w:before="0" w:after="120"/>
        <w:rPr>
          <w:sz w:val="24"/>
          <w:szCs w:val="24"/>
        </w:rPr>
      </w:pPr>
      <w:r>
        <w:rPr>
          <w:sz w:val="24"/>
          <w:szCs w:val="24"/>
        </w:rPr>
        <w:t>Salary: LC2 SCP 18-23 FTE £32,578 - £35,570. Actual salary £17,610 – £19,227</w:t>
      </w:r>
    </w:p>
    <w:p>
      <w:pPr>
        <w:pStyle w:val="Normal"/>
        <w:spacing w:lineRule="auto" w:line="240" w:before="0" w:after="120"/>
        <w:rPr>
          <w:sz w:val="24"/>
          <w:szCs w:val="24"/>
        </w:rPr>
      </w:pPr>
      <w:r>
        <w:rPr>
          <w:sz w:val="24"/>
          <w:szCs w:val="24"/>
        </w:rPr>
        <w:t xml:space="preserve">Standard Hours: 20 per week Monday to Friday 12noon to 4pm. </w:t>
      </w:r>
    </w:p>
    <w:p>
      <w:pPr>
        <w:pStyle w:val="Normal"/>
        <w:spacing w:lineRule="auto" w:line="240" w:before="0" w:after="120"/>
        <w:rPr>
          <w:sz w:val="24"/>
          <w:szCs w:val="24"/>
        </w:rPr>
      </w:pPr>
      <w:r>
        <w:rPr>
          <w:sz w:val="24"/>
          <w:szCs w:val="24"/>
        </w:rPr>
        <w:t>Some additional hours may be required at busy times of the Financial calendar.</w:t>
      </w:r>
    </w:p>
    <w:p>
      <w:pPr>
        <w:pStyle w:val="Normal"/>
        <w:spacing w:lineRule="auto" w:line="240" w:before="0" w:after="120"/>
        <w:rPr>
          <w:sz w:val="24"/>
          <w:szCs w:val="24"/>
        </w:rPr>
      </w:pPr>
      <w:r>
        <w:rPr>
          <w:sz w:val="24"/>
          <w:szCs w:val="24"/>
        </w:rPr>
        <w:t>This role will be based at the Parish Council Offices in Uppermill</w:t>
      </w:r>
    </w:p>
    <w:p>
      <w:pPr>
        <w:pStyle w:val="Normal"/>
        <w:spacing w:lineRule="auto" w:line="240" w:before="0" w:after="120"/>
        <w:rPr>
          <w:sz w:val="24"/>
          <w:szCs w:val="24"/>
        </w:rPr>
      </w:pPr>
      <w:r>
        <w:rPr>
          <w:sz w:val="24"/>
          <w:szCs w:val="24"/>
        </w:rPr>
      </w:r>
    </w:p>
    <w:p>
      <w:pPr>
        <w:pStyle w:val="Normal"/>
        <w:spacing w:lineRule="auto" w:line="240" w:before="0" w:after="120"/>
        <w:rPr>
          <w:b/>
          <w:b/>
          <w:bCs/>
          <w:sz w:val="24"/>
          <w:szCs w:val="24"/>
        </w:rPr>
      </w:pPr>
      <w:r>
        <w:rPr>
          <w:b/>
          <w:bCs/>
          <w:sz w:val="24"/>
          <w:szCs w:val="24"/>
        </w:rPr>
        <w:t>Overview of the Responsible Financial Officer Role</w:t>
      </w:r>
    </w:p>
    <w:p>
      <w:pPr>
        <w:pStyle w:val="Normal"/>
        <w:spacing w:lineRule="auto" w:line="240" w:before="0" w:after="120"/>
        <w:rPr>
          <w:sz w:val="24"/>
          <w:szCs w:val="24"/>
        </w:rPr>
      </w:pPr>
      <w:r>
        <w:rPr>
          <w:sz w:val="24"/>
          <w:szCs w:val="24"/>
        </w:rPr>
        <w:t>As responsible financial officer, you will: </w:t>
      </w:r>
    </w:p>
    <w:p>
      <w:pPr>
        <w:pStyle w:val="Normal"/>
        <w:numPr>
          <w:ilvl w:val="0"/>
          <w:numId w:val="2"/>
        </w:numPr>
        <w:tabs>
          <w:tab w:val="clear" w:pos="720"/>
          <w:tab w:val="left" w:pos="567" w:leader="none"/>
        </w:tabs>
        <w:spacing w:lineRule="auto" w:line="240" w:before="0" w:after="120"/>
        <w:ind w:left="567" w:right="0" w:hanging="567"/>
        <w:rPr>
          <w:sz w:val="24"/>
          <w:szCs w:val="24"/>
        </w:rPr>
      </w:pPr>
      <w:r>
        <w:rPr>
          <w:sz w:val="24"/>
          <w:szCs w:val="24"/>
        </w:rPr>
        <w:t>Lead the financial management of the council, ensuring compliance with statutory regulations and best practices. </w:t>
      </w:r>
    </w:p>
    <w:p>
      <w:pPr>
        <w:pStyle w:val="Normal"/>
        <w:numPr>
          <w:ilvl w:val="0"/>
          <w:numId w:val="2"/>
        </w:numPr>
        <w:tabs>
          <w:tab w:val="clear" w:pos="720"/>
          <w:tab w:val="left" w:pos="567" w:leader="none"/>
        </w:tabs>
        <w:spacing w:lineRule="auto" w:line="240" w:before="0" w:after="120"/>
        <w:ind w:left="567" w:right="0" w:hanging="567"/>
        <w:rPr>
          <w:sz w:val="24"/>
          <w:szCs w:val="24"/>
        </w:rPr>
      </w:pPr>
      <w:r>
        <w:rPr>
          <w:sz w:val="24"/>
          <w:szCs w:val="24"/>
        </w:rPr>
        <w:t>Prepare budgets, oversee VAT accounting and claims, produce financial reports for meetings </w:t>
      </w:r>
    </w:p>
    <w:p>
      <w:pPr>
        <w:pStyle w:val="Normal"/>
        <w:numPr>
          <w:ilvl w:val="0"/>
          <w:numId w:val="2"/>
        </w:numPr>
        <w:tabs>
          <w:tab w:val="clear" w:pos="720"/>
          <w:tab w:val="left" w:pos="567" w:leader="none"/>
        </w:tabs>
        <w:spacing w:lineRule="auto" w:line="240" w:before="0" w:after="120"/>
        <w:ind w:left="567" w:right="0" w:hanging="567"/>
        <w:rPr>
          <w:sz w:val="24"/>
          <w:szCs w:val="24"/>
        </w:rPr>
      </w:pPr>
      <w:r>
        <w:rPr>
          <w:sz w:val="24"/>
          <w:szCs w:val="24"/>
        </w:rPr>
        <w:t xml:space="preserve">Manage payroll including collation of hours/mileage for submission to an external payroll provider’ for processing and payments of salaries. </w:t>
      </w:r>
    </w:p>
    <w:p>
      <w:pPr>
        <w:pStyle w:val="Normal"/>
        <w:numPr>
          <w:ilvl w:val="0"/>
          <w:numId w:val="2"/>
        </w:numPr>
        <w:tabs>
          <w:tab w:val="clear" w:pos="720"/>
          <w:tab w:val="left" w:pos="567" w:leader="none"/>
        </w:tabs>
        <w:spacing w:lineRule="auto" w:line="240" w:before="0" w:after="120"/>
        <w:ind w:left="567" w:right="0" w:hanging="567"/>
        <w:rPr>
          <w:sz w:val="24"/>
          <w:szCs w:val="24"/>
        </w:rPr>
      </w:pPr>
      <w:r>
        <w:rPr>
          <w:sz w:val="24"/>
          <w:szCs w:val="24"/>
        </w:rPr>
        <w:t>Responsibility for all HMRC &amp; Pension matters including monthly payments and input to GMPF I-connect.</w:t>
      </w:r>
    </w:p>
    <w:p>
      <w:pPr>
        <w:pStyle w:val="Normal"/>
        <w:numPr>
          <w:ilvl w:val="0"/>
          <w:numId w:val="2"/>
        </w:numPr>
        <w:tabs>
          <w:tab w:val="clear" w:pos="720"/>
          <w:tab w:val="left" w:pos="567" w:leader="none"/>
        </w:tabs>
        <w:spacing w:lineRule="auto" w:line="240" w:before="0" w:after="120"/>
        <w:ind w:left="567" w:right="0" w:hanging="567"/>
        <w:rPr>
          <w:sz w:val="24"/>
          <w:szCs w:val="24"/>
        </w:rPr>
      </w:pPr>
      <w:r>
        <w:rPr>
          <w:sz w:val="24"/>
          <w:szCs w:val="24"/>
        </w:rPr>
        <w:t>Support procurement and contract management processes. </w:t>
      </w:r>
    </w:p>
    <w:p>
      <w:pPr>
        <w:pStyle w:val="Normal"/>
        <w:numPr>
          <w:ilvl w:val="0"/>
          <w:numId w:val="2"/>
        </w:numPr>
        <w:tabs>
          <w:tab w:val="clear" w:pos="720"/>
          <w:tab w:val="left" w:pos="567" w:leader="none"/>
        </w:tabs>
        <w:spacing w:lineRule="auto" w:line="240" w:before="0" w:after="120"/>
        <w:ind w:left="567" w:right="0" w:hanging="567"/>
        <w:rPr>
          <w:sz w:val="24"/>
          <w:szCs w:val="24"/>
        </w:rPr>
      </w:pPr>
      <w:r>
        <w:rPr>
          <w:sz w:val="24"/>
          <w:szCs w:val="24"/>
        </w:rPr>
        <w:t>Advise on financial strategy and contribute to medium-term financial planning. </w:t>
      </w:r>
    </w:p>
    <w:p>
      <w:pPr>
        <w:pStyle w:val="Normal"/>
        <w:spacing w:lineRule="auto" w:line="240" w:before="0" w:after="120"/>
        <w:rPr/>
      </w:pPr>
      <w:r>
        <w:rPr>
          <w:sz w:val="24"/>
          <w:szCs w:val="24"/>
        </w:rPr>
        <w:t>You’ll work closely with the Clerk, internal and external auditors at year end and contribute to the strategic direction of the Council.</w:t>
        <w:br/>
        <w:t> </w:t>
        <w:br/>
      </w:r>
      <w:r>
        <w:rPr>
          <w:b/>
          <w:bCs/>
          <w:sz w:val="24"/>
          <w:szCs w:val="24"/>
        </w:rPr>
        <w:t>What we are looking for </w:t>
      </w:r>
      <w:r>
        <w:rPr>
          <w:sz w:val="24"/>
          <w:szCs w:val="24"/>
        </w:rPr>
        <w:br/>
        <w:br/>
        <w:t>Essential: </w:t>
      </w:r>
    </w:p>
    <w:p>
      <w:pPr>
        <w:pStyle w:val="Normal"/>
        <w:numPr>
          <w:ilvl w:val="0"/>
          <w:numId w:val="3"/>
        </w:numPr>
        <w:tabs>
          <w:tab w:val="clear" w:pos="720"/>
          <w:tab w:val="left" w:pos="567" w:leader="none"/>
        </w:tabs>
        <w:spacing w:lineRule="auto" w:line="240" w:before="0" w:after="120"/>
        <w:ind w:left="567" w:right="0" w:hanging="567"/>
        <w:rPr>
          <w:sz w:val="24"/>
          <w:szCs w:val="24"/>
        </w:rPr>
      </w:pPr>
      <w:r>
        <w:rPr>
          <w:sz w:val="24"/>
          <w:szCs w:val="24"/>
        </w:rPr>
        <w:t>Proven local authority sector experience in financial administration, VAT, and year end audit. </w:t>
      </w:r>
    </w:p>
    <w:p>
      <w:pPr>
        <w:pStyle w:val="Normal"/>
        <w:numPr>
          <w:ilvl w:val="0"/>
          <w:numId w:val="3"/>
        </w:numPr>
        <w:tabs>
          <w:tab w:val="clear" w:pos="720"/>
          <w:tab w:val="left" w:pos="567" w:leader="none"/>
        </w:tabs>
        <w:spacing w:lineRule="auto" w:line="240" w:before="0" w:after="120"/>
        <w:ind w:left="567" w:right="0" w:hanging="567"/>
        <w:rPr>
          <w:sz w:val="24"/>
          <w:szCs w:val="24"/>
        </w:rPr>
      </w:pPr>
      <w:r>
        <w:rPr>
          <w:sz w:val="24"/>
          <w:szCs w:val="24"/>
        </w:rPr>
        <w:t>Strong IT skills, particularly Excel.</w:t>
      </w:r>
    </w:p>
    <w:p>
      <w:pPr>
        <w:pStyle w:val="Normal"/>
        <w:numPr>
          <w:ilvl w:val="0"/>
          <w:numId w:val="3"/>
        </w:numPr>
        <w:tabs>
          <w:tab w:val="clear" w:pos="720"/>
          <w:tab w:val="left" w:pos="567" w:leader="none"/>
        </w:tabs>
        <w:spacing w:lineRule="auto" w:line="240" w:before="0" w:after="120"/>
        <w:ind w:left="567" w:right="0" w:hanging="567"/>
        <w:rPr>
          <w:sz w:val="24"/>
          <w:szCs w:val="24"/>
        </w:rPr>
      </w:pPr>
      <w:r>
        <w:rPr>
          <w:sz w:val="24"/>
          <w:szCs w:val="24"/>
        </w:rPr>
        <w:t>Excellent attention to detail and organisational skills. </w:t>
      </w:r>
    </w:p>
    <w:p>
      <w:pPr>
        <w:pStyle w:val="Normal"/>
        <w:spacing w:lineRule="auto" w:line="240" w:before="0" w:after="120"/>
        <w:rPr>
          <w:sz w:val="24"/>
          <w:szCs w:val="24"/>
        </w:rPr>
      </w:pPr>
      <w:r>
        <w:rPr>
          <w:sz w:val="24"/>
          <w:szCs w:val="24"/>
        </w:rPr>
        <w:t>Desirable: </w:t>
      </w:r>
    </w:p>
    <w:p>
      <w:pPr>
        <w:pStyle w:val="Normal"/>
        <w:numPr>
          <w:ilvl w:val="0"/>
          <w:numId w:val="4"/>
        </w:numPr>
        <w:tabs>
          <w:tab w:val="clear" w:pos="720"/>
          <w:tab w:val="left" w:pos="567" w:leader="none"/>
        </w:tabs>
        <w:spacing w:lineRule="auto" w:line="240" w:before="0" w:after="120"/>
        <w:ind w:left="567" w:right="0" w:hanging="567"/>
        <w:rPr>
          <w:sz w:val="24"/>
          <w:szCs w:val="24"/>
          <w:lang w:val="it-IT"/>
        </w:rPr>
      </w:pPr>
      <w:r>
        <w:rPr>
          <w:sz w:val="24"/>
          <w:szCs w:val="24"/>
          <w:lang w:val="it-IT"/>
        </w:rPr>
        <w:t>Professional financial/accounting qualification (eg; CiLCA, FiLCA, AAT, ACCA, CIMA, CIPFA). </w:t>
      </w:r>
    </w:p>
    <w:p>
      <w:pPr>
        <w:pStyle w:val="Normal"/>
        <w:numPr>
          <w:ilvl w:val="0"/>
          <w:numId w:val="4"/>
        </w:numPr>
        <w:tabs>
          <w:tab w:val="clear" w:pos="720"/>
          <w:tab w:val="left" w:pos="567" w:leader="none"/>
        </w:tabs>
        <w:spacing w:lineRule="auto" w:line="240" w:before="0" w:after="120"/>
        <w:ind w:left="567" w:right="0" w:hanging="567"/>
        <w:rPr>
          <w:sz w:val="24"/>
          <w:szCs w:val="24"/>
        </w:rPr>
      </w:pPr>
      <w:r>
        <w:rPr>
          <w:sz w:val="24"/>
          <w:szCs w:val="24"/>
        </w:rPr>
        <w:t>Experience in Scribe accounting package for Councils (training will be given).</w:t>
      </w:r>
    </w:p>
    <w:p>
      <w:pPr>
        <w:pStyle w:val="Normal"/>
        <w:spacing w:lineRule="auto" w:line="240" w:before="0" w:after="120"/>
        <w:rPr>
          <w:sz w:val="24"/>
          <w:szCs w:val="24"/>
        </w:rPr>
      </w:pPr>
      <w:r>
        <w:rPr>
          <w:sz w:val="24"/>
          <w:szCs w:val="24"/>
        </w:rPr>
      </w:r>
    </w:p>
    <w:p>
      <w:pPr>
        <w:pStyle w:val="Normal"/>
        <w:spacing w:lineRule="auto" w:line="240" w:before="0" w:after="120"/>
        <w:rPr>
          <w:b/>
          <w:b/>
          <w:bCs/>
          <w:sz w:val="24"/>
          <w:szCs w:val="24"/>
        </w:rPr>
      </w:pPr>
      <w:r>
        <w:rPr>
          <w:b/>
          <w:bCs/>
          <w:sz w:val="24"/>
          <w:szCs w:val="24"/>
        </w:rPr>
        <w:t>Details of the Responsible Financial Officer Role</w:t>
      </w:r>
    </w:p>
    <w:p>
      <w:pPr>
        <w:pStyle w:val="Normal"/>
        <w:spacing w:lineRule="auto" w:line="240" w:before="0" w:after="120"/>
        <w:rPr>
          <w:sz w:val="24"/>
          <w:szCs w:val="24"/>
        </w:rPr>
      </w:pPr>
      <w:r>
        <w:rPr>
          <w:sz w:val="24"/>
          <w:szCs w:val="24"/>
        </w:rPr>
        <w:t xml:space="preserve">This job description serves to illustrate the scope and responsibilities of the role and is not intended to be an exhaustive list of duties which may be required. </w:t>
      </w:r>
    </w:p>
    <w:p>
      <w:pPr>
        <w:pStyle w:val="Normal"/>
        <w:spacing w:lineRule="auto" w:line="240" w:before="0" w:after="120"/>
        <w:rPr/>
      </w:pPr>
      <w:r>
        <w:rPr>
          <w:sz w:val="24"/>
          <w:szCs w:val="24"/>
          <w:u w:val="single"/>
        </w:rPr>
        <w:t>Administration of Financial Affairs</w:t>
      </w:r>
      <w:r>
        <w:rPr>
          <w:sz w:val="24"/>
          <w:szCs w:val="24"/>
        </w:rPr>
        <w:t xml:space="preserve">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carry out all the functions required by law of a local authority’s Responsible Financial Officer.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be the Council’s principal adviser on matters of financial management.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review and update Financial Regulations when necessary and monitor compliance.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manage and monitor the Council’s budget expenditure and income and provide Council and Committees with regular reports under each heading in the approved operational budget monitoring report and capital budgets.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support the Clerk in advising the Council on its financial forward plan, strategy and policies and producing a rolling business plan.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advise the Council regarding investment funds.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produce the draft annual budget and annual statement of accounts for approval by the Council.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advise on and prepare the detailed draft annual operational budget, estimates of income and expenditure, projects and infrastructure programme, and annual precept proposal, in accordance with the Financial Regulations and Council processes.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maintain all relevant financial records of the Council.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ensure that adequate financial security and internal financial and accounting controls are in place and periodically reviewed, and the accounting records of the Council are maintained and kept up to date in accordance with proper practices.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jointly work with the Clerk to ensure that appropriate financial risk assessments are undertaken, and relevant internal controls implemented to avoid bribery and corruption whilst ensuring that the Council gets best value for money on new contracts.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jointly work with the Clerk to ensure that appropriate and adequate insurances are maintained for the Council and claims are processed.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maintain the Council’s asset register and equipment inventory of Council property.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supply information and complete returns to internal and external auditors. To ensure that audit reports and recommendations are presented to the Council and that statutory external audit requirements are completed each year.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assist the Clerk in ensuring financial compliance with Financial Regulations and Standing Orders and recommend any necessary amendments to the Clerk.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prepare for approval the statutory external audit requirements for records, returns and public notices for the annual audit.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make arrangements for the opportunity for inspection of the Council’s financial records in accordance with current guidance and legislations.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liaise with and bring to the attention of the Clerk and Councillors any correspondence or report of the Internal or External Auditors and detail any action to be taken as appropriate.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report any challenge on the accounts to the Clerk and the relevant Councillors.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To assist the Clerk with procurement and service level agreements</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advise and assist the Clerk on the raising of funds by way of grants and sponsorship etc.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ensure all surplus Council funds are invested securely and to maximise income.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ensure the Council’s obligations for risk assessment are properly met, to assess the financial risks faced by the Council and assist the Clerk in compiling and maintaining an accurate risk register.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produce any financial management information and reports required by the Clerk for the Council or its Committees.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maintain records relating to the procurement of goods and services and ensure sufficient internal controls are implemented to avoid bribery and corruption. </w:t>
      </w:r>
    </w:p>
    <w:p>
      <w:pPr>
        <w:pStyle w:val="Normal"/>
        <w:numPr>
          <w:ilvl w:val="0"/>
          <w:numId w:val="5"/>
        </w:numPr>
        <w:tabs>
          <w:tab w:val="clear" w:pos="720"/>
          <w:tab w:val="left" w:pos="567" w:leader="none"/>
        </w:tabs>
        <w:spacing w:lineRule="auto" w:line="240" w:before="0" w:after="120"/>
        <w:ind w:left="567" w:right="0" w:hanging="567"/>
        <w:rPr>
          <w:sz w:val="24"/>
          <w:szCs w:val="24"/>
        </w:rPr>
      </w:pPr>
      <w:r>
        <w:rPr>
          <w:sz w:val="24"/>
          <w:szCs w:val="24"/>
        </w:rPr>
        <w:t xml:space="preserve">To ensure that the requirements of the Bribery Act are complied with. </w:t>
      </w:r>
    </w:p>
    <w:p>
      <w:pPr>
        <w:pStyle w:val="Normal"/>
        <w:tabs>
          <w:tab w:val="clear" w:pos="720"/>
          <w:tab w:val="left" w:pos="567" w:leader="none"/>
        </w:tabs>
        <w:spacing w:lineRule="auto" w:line="240" w:before="0" w:after="120"/>
        <w:ind w:left="567" w:right="0" w:hanging="0"/>
        <w:rPr>
          <w:sz w:val="24"/>
          <w:szCs w:val="24"/>
        </w:rPr>
      </w:pPr>
      <w:r>
        <w:rPr>
          <w:sz w:val="24"/>
          <w:szCs w:val="24"/>
        </w:rPr>
      </w:r>
    </w:p>
    <w:p>
      <w:pPr>
        <w:pStyle w:val="Normal"/>
        <w:spacing w:lineRule="auto" w:line="240" w:before="0" w:after="120"/>
        <w:rPr/>
      </w:pPr>
      <w:r>
        <w:rPr>
          <w:sz w:val="24"/>
          <w:szCs w:val="24"/>
          <w:u w:val="single"/>
        </w:rPr>
        <w:t>Accounts</w:t>
      </w:r>
      <w:r>
        <w:rPr>
          <w:sz w:val="24"/>
          <w:szCs w:val="24"/>
        </w:rPr>
        <w:t xml:space="preserve">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process purchase invoices for payment to suppliers, preparing bank payments or cheques for approval.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ensure that all invoices for Council services, lettings and other matters are accurately and promptly issued.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record all payments made to the Council, issue any necessary receipts, receive and bank all income received and investigate and deal with any queries.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ensure there are sufficient funds available at any given time to enable financial commitments to be met.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complete all necessary VAT returns/claims in accordance with Financial Regulations.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monitor use of the bank card and carry out bank reconciliations in accordance with Financial Regulations.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carry out bank reconciliations in accordance with Financial Regulations.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ensure that appropriate financial IT systems are in place and operated securely.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 xml:space="preserve">To prepare reports for submission to the Council.  </w:t>
      </w:r>
    </w:p>
    <w:p>
      <w:pPr>
        <w:pStyle w:val="Normal"/>
        <w:numPr>
          <w:ilvl w:val="0"/>
          <w:numId w:val="6"/>
        </w:numPr>
        <w:tabs>
          <w:tab w:val="clear" w:pos="720"/>
          <w:tab w:val="left" w:pos="567" w:leader="none"/>
        </w:tabs>
        <w:spacing w:lineRule="auto" w:line="240" w:before="0" w:after="120"/>
        <w:ind w:left="567" w:right="0" w:hanging="567"/>
        <w:rPr>
          <w:sz w:val="24"/>
          <w:szCs w:val="24"/>
        </w:rPr>
      </w:pPr>
      <w:r>
        <w:rPr>
          <w:sz w:val="24"/>
          <w:szCs w:val="24"/>
        </w:rPr>
        <w:t>To process the Rochdale United Charities’ Return, be responsible for processing grant payments, cash book maintenance, bank reconciliations and prepare periodical reports for the trustee meetings.</w:t>
      </w:r>
    </w:p>
    <w:p>
      <w:pPr>
        <w:pStyle w:val="Normal"/>
        <w:tabs>
          <w:tab w:val="clear" w:pos="720"/>
          <w:tab w:val="left" w:pos="567" w:leader="none"/>
        </w:tabs>
        <w:spacing w:lineRule="auto" w:line="240" w:before="0" w:after="120"/>
        <w:ind w:left="567" w:right="0" w:hanging="0"/>
        <w:rPr>
          <w:sz w:val="24"/>
          <w:szCs w:val="24"/>
        </w:rPr>
      </w:pPr>
      <w:r>
        <w:rPr>
          <w:sz w:val="24"/>
          <w:szCs w:val="24"/>
        </w:rPr>
      </w:r>
    </w:p>
    <w:p>
      <w:pPr>
        <w:pStyle w:val="Normal"/>
        <w:spacing w:lineRule="auto" w:line="240" w:before="0" w:after="120"/>
        <w:rPr/>
      </w:pPr>
      <w:r>
        <w:rPr>
          <w:sz w:val="24"/>
          <w:szCs w:val="24"/>
          <w:u w:val="single"/>
        </w:rPr>
        <w:t>General</w:t>
      </w:r>
      <w:r>
        <w:rPr>
          <w:sz w:val="24"/>
          <w:szCs w:val="24"/>
        </w:rPr>
        <w:t xml:space="preserve"> </w:t>
      </w:r>
    </w:p>
    <w:p>
      <w:pPr>
        <w:pStyle w:val="Normal"/>
        <w:numPr>
          <w:ilvl w:val="0"/>
          <w:numId w:val="7"/>
        </w:numPr>
        <w:spacing w:lineRule="auto" w:line="240" w:before="0" w:after="120"/>
        <w:ind w:left="567" w:right="0" w:hanging="567"/>
        <w:rPr>
          <w:sz w:val="24"/>
          <w:szCs w:val="24"/>
        </w:rPr>
      </w:pPr>
      <w:r>
        <w:rPr>
          <w:sz w:val="24"/>
          <w:szCs w:val="24"/>
        </w:rPr>
        <w:t xml:space="preserve">To attend, if requested, Full Council meetings. </w:t>
      </w:r>
    </w:p>
    <w:p>
      <w:pPr>
        <w:pStyle w:val="Normal"/>
        <w:numPr>
          <w:ilvl w:val="0"/>
          <w:numId w:val="7"/>
        </w:numPr>
        <w:spacing w:lineRule="auto" w:line="240" w:before="0" w:after="120"/>
        <w:ind w:left="567" w:right="0" w:hanging="567"/>
        <w:rPr>
          <w:sz w:val="24"/>
          <w:szCs w:val="24"/>
        </w:rPr>
      </w:pPr>
      <w:r>
        <w:rPr>
          <w:sz w:val="24"/>
          <w:szCs w:val="24"/>
        </w:rPr>
        <w:t>To attend the Finance Committee meetings.</w:t>
      </w:r>
    </w:p>
    <w:p>
      <w:pPr>
        <w:pStyle w:val="Normal"/>
        <w:numPr>
          <w:ilvl w:val="0"/>
          <w:numId w:val="7"/>
        </w:numPr>
        <w:spacing w:lineRule="auto" w:line="240" w:before="0" w:after="120"/>
        <w:ind w:left="567" w:right="0" w:hanging="567"/>
        <w:rPr>
          <w:sz w:val="24"/>
          <w:szCs w:val="24"/>
        </w:rPr>
      </w:pPr>
      <w:r>
        <w:rPr>
          <w:sz w:val="24"/>
          <w:szCs w:val="24"/>
        </w:rPr>
        <w:t>To support cover of the office function during its core hours, providing support to visiting members of public and councillors where appropriate.</w:t>
      </w:r>
    </w:p>
    <w:p>
      <w:pPr>
        <w:pStyle w:val="Normal"/>
        <w:numPr>
          <w:ilvl w:val="0"/>
          <w:numId w:val="7"/>
        </w:numPr>
        <w:spacing w:lineRule="auto" w:line="240" w:before="0" w:after="120"/>
        <w:ind w:left="567" w:right="0" w:hanging="567"/>
        <w:rPr>
          <w:sz w:val="24"/>
          <w:szCs w:val="24"/>
        </w:rPr>
      </w:pPr>
      <w:r>
        <w:rPr>
          <w:sz w:val="24"/>
          <w:szCs w:val="24"/>
        </w:rPr>
        <w:t xml:space="preserve">To assist the Clerk with pensions automatic enrolment and payroll information, as required. </w:t>
      </w:r>
    </w:p>
    <w:p>
      <w:pPr>
        <w:pStyle w:val="Normal"/>
        <w:numPr>
          <w:ilvl w:val="0"/>
          <w:numId w:val="7"/>
        </w:numPr>
        <w:spacing w:lineRule="auto" w:line="240" w:before="0" w:after="120"/>
        <w:ind w:left="567" w:right="0" w:hanging="567"/>
        <w:rPr>
          <w:sz w:val="24"/>
          <w:szCs w:val="24"/>
        </w:rPr>
      </w:pPr>
      <w:r>
        <w:rPr>
          <w:sz w:val="24"/>
          <w:szCs w:val="24"/>
        </w:rPr>
        <w:t xml:space="preserve">To recognise and be aware of the requirements of the Health and Safety at Work Act as well as Fire and Safety regulations and ensure that these are observed. </w:t>
      </w:r>
    </w:p>
    <w:p>
      <w:pPr>
        <w:pStyle w:val="Normal"/>
        <w:numPr>
          <w:ilvl w:val="0"/>
          <w:numId w:val="7"/>
        </w:numPr>
        <w:spacing w:lineRule="auto" w:line="240" w:before="0" w:after="120"/>
        <w:ind w:left="567" w:right="0" w:hanging="567"/>
        <w:rPr>
          <w:sz w:val="24"/>
          <w:szCs w:val="24"/>
        </w:rPr>
      </w:pPr>
      <w:r>
        <w:rPr>
          <w:sz w:val="24"/>
          <w:szCs w:val="24"/>
        </w:rPr>
        <w:t xml:space="preserve">To undertake all relevant correspondence in connection with the responsibilities of the post. </w:t>
      </w:r>
    </w:p>
    <w:p>
      <w:pPr>
        <w:pStyle w:val="Normal"/>
        <w:numPr>
          <w:ilvl w:val="0"/>
          <w:numId w:val="7"/>
        </w:numPr>
        <w:spacing w:lineRule="auto" w:line="240" w:before="0" w:after="120"/>
        <w:ind w:left="567" w:right="0" w:hanging="567"/>
        <w:rPr>
          <w:sz w:val="24"/>
          <w:szCs w:val="24"/>
        </w:rPr>
      </w:pPr>
      <w:r>
        <w:rPr>
          <w:sz w:val="24"/>
          <w:szCs w:val="24"/>
        </w:rPr>
        <w:t xml:space="preserve">To undertake training associated with the work and role of Responsible Financial Officer as required and authorised by the Clerk/Council. </w:t>
      </w:r>
    </w:p>
    <w:p>
      <w:pPr>
        <w:pStyle w:val="Normal"/>
        <w:numPr>
          <w:ilvl w:val="0"/>
          <w:numId w:val="7"/>
        </w:numPr>
        <w:spacing w:lineRule="auto" w:line="240" w:before="0" w:after="120"/>
        <w:ind w:left="567" w:right="0" w:hanging="567"/>
        <w:rPr>
          <w:sz w:val="24"/>
          <w:szCs w:val="24"/>
        </w:rPr>
      </w:pPr>
      <w:r>
        <w:rPr>
          <w:sz w:val="24"/>
          <w:szCs w:val="24"/>
        </w:rPr>
        <w:t xml:space="preserve">To undertake such other duties commensurate with the level of the post and job purpose as required by the Clerk from time to time. </w:t>
      </w:r>
    </w:p>
    <w:sectPr>
      <w:headerReference w:type="default" r:id="rId2"/>
      <w:type w:val="nextPage"/>
      <w:pgSz w:w="11906" w:h="16838"/>
      <w:pgMar w:left="1440" w:right="1440" w:header="708"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Linotype">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inline distT="0" distB="0" distL="0" distR="0">
          <wp:extent cx="1127125" cy="118046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7" t="-6" r="-7" b="-6"/>
                  <a:stretch>
                    <a:fillRect/>
                  </a:stretch>
                </pic:blipFill>
                <pic:spPr bwMode="auto">
                  <a:xfrm>
                    <a:off x="0" y="0"/>
                    <a:ext cx="1127125" cy="1180465"/>
                  </a:xfrm>
                  <a:prstGeom prst="rect">
                    <a:avLst/>
                  </a:prstGeom>
                </pic:spPr>
              </pic:pic>
            </a:graphicData>
          </a:graphic>
        </wp:inline>
      </w:drawing>
      <mc:AlternateContent>
        <mc:Choice Requires="wps">
          <w:drawing>
            <wp:anchor behindDoc="1" distT="0" distB="0" distL="114935" distR="114935" simplePos="0" locked="0" layoutInCell="1" allowOverlap="1" relativeHeight="9">
              <wp:simplePos x="0" y="0"/>
              <wp:positionH relativeFrom="column">
                <wp:posOffset>1754505</wp:posOffset>
              </wp:positionH>
              <wp:positionV relativeFrom="paragraph">
                <wp:posOffset>11430</wp:posOffset>
              </wp:positionV>
              <wp:extent cx="4220210" cy="676910"/>
              <wp:effectExtent l="0" t="0" r="0" b="0"/>
              <wp:wrapSquare wrapText="bothSides"/>
              <wp:docPr id="1" name=""/>
              <a:graphic xmlns:a="http://schemas.openxmlformats.org/drawingml/2006/main">
                <a:graphicData uri="http://schemas.microsoft.com/office/word/2010/wordprocessingShape">
                  <wps:wsp>
                    <wps:cNvSpPr txBox="1"/>
                    <wps:spPr>
                      <a:xfrm>
                        <a:off x="0" y="0"/>
                        <a:ext cx="4219560" cy="67644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138.15pt;margin-top:0.9pt;width:332.2pt;height:53.2pt" type="shapetype_202">
              <v:textbox>
                <w:txbxContent>
                  <w:p>
                    <w:pPr>
                      <w:overflowPunct w:val="false"/>
                      <w:spacing w:before="0" w:after="0" w:lineRule="auto" w:line="240"/>
                      <w:rPr/>
                    </w:pPr>
                    <w:r>
                      <w:rPr>
                        <w:sz w:val="24"/>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mc:AlternateContent>
        <mc:Choice Requires="wps">
          <w:drawing>
            <wp:anchor behindDoc="1" distT="0" distB="0" distL="114935" distR="114935" simplePos="0" locked="0" layoutInCell="1" allowOverlap="1" relativeHeight="13">
              <wp:simplePos x="0" y="0"/>
              <wp:positionH relativeFrom="rightMargin">
                <wp:posOffset>0</wp:posOffset>
              </wp:positionH>
              <wp:positionV relativeFrom="paragraph">
                <wp:posOffset>625475</wp:posOffset>
              </wp:positionV>
              <wp:extent cx="2191385" cy="467360"/>
              <wp:effectExtent l="0" t="0" r="0" b="0"/>
              <wp:wrapSquare wrapText="bothSides"/>
              <wp:docPr id="2" name=""/>
              <a:graphic xmlns:a="http://schemas.openxmlformats.org/drawingml/2006/main">
                <a:graphicData uri="http://schemas.microsoft.com/office/word/2010/wordprocessingShape">
                  <wps:wsp>
                    <wps:cNvSpPr txBox="1"/>
                    <wps:spPr>
                      <a:xfrm>
                        <a:off x="0" y="0"/>
                        <a:ext cx="2190600" cy="466560"/>
                      </a:xfrm>
                      <a:prstGeom prst="rect">
                        <a:avLst/>
                      </a:prstGeom>
                      <a:solidFill>
                        <a:srgbClr val="ffffff"/>
                      </a:solidFill>
                      <a:ln>
                        <a:noFill/>
                      </a:ln>
                    </wps:spPr>
                    <wps:bodyPr/>
                  </wps:wsp>
                </a:graphicData>
              </a:graphic>
            </wp:anchor>
          </w:drawing>
        </mc:Choice>
        <mc:Fallback>
          <w:pict>
            <v:shape id="shape_0" fillcolor="white" stroked="f" style="position:absolute;margin-left:0pt;margin-top:49.25pt;width:172.45pt;height:36.7pt;mso-position-horizontal-relative:page" type="shapetype_202">
              <v:textbox>
                <w:txbxContent>
                  <w:p>
                    <w:pPr>
                      <w:overflowPunct w:val="false"/>
                      <w:spacing w:before="0" w:after="0" w:lineRule="auto" w:line="240"/>
                      <w:rPr/>
                    </w:pPr>
                    <w:r>
                      <w:rPr>
                        <w:sz w:val="24"/>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1" distT="72390" distB="72390" distL="114300" distR="123190" simplePos="0" locked="0" layoutInCell="1" allowOverlap="1" relativeHeight="17">
              <wp:simplePos x="0" y="0"/>
              <wp:positionH relativeFrom="column">
                <wp:posOffset>1754505</wp:posOffset>
              </wp:positionH>
              <wp:positionV relativeFrom="paragraph">
                <wp:posOffset>11430</wp:posOffset>
              </wp:positionV>
              <wp:extent cx="4219575" cy="676275"/>
              <wp:effectExtent l="0" t="0" r="0" b="0"/>
              <wp:wrapNone/>
              <wp:docPr id="4" name="Frame1"/>
              <a:graphic xmlns:a="http://schemas.openxmlformats.org/drawingml/2006/main">
                <a:graphicData uri="http://schemas.microsoft.com/office/word/2010/wordprocessingShape">
                  <wps:wsp>
                    <wps:cNvSpPr txBox="1"/>
                    <wps:spPr>
                      <a:xfrm>
                        <a:off x="0" y="0"/>
                        <a:ext cx="4219575" cy="676275"/>
                      </a:xfrm>
                      <a:prstGeom prst="rect"/>
                      <a:solidFill>
                        <a:srgbClr val="FFFFFF">
                          <a:alpha val="0"/>
                        </a:srgbClr>
                      </a:solidFill>
                    </wps:spPr>
                    <wps:txbx>
                      <w:txbxContent>
                        <w:p>
                          <w:pPr>
                            <w:pStyle w:val="FrameContents"/>
                            <w:spacing w:before="0" w:after="160"/>
                            <w:rPr>
                              <w:rFonts w:ascii="Palatino Linotype" w:hAnsi="Palatino Linotype" w:cs="Palatino Linotype"/>
                              <w:b/>
                              <w:b/>
                              <w:color w:val="00B050"/>
                              <w:sz w:val="76"/>
                              <w:szCs w:val="76"/>
                            </w:rPr>
                          </w:pPr>
                          <w:r>
                            <w:rPr>
                              <w:rFonts w:cs="Palatino Linotype" w:ascii="Palatino Linotype" w:hAnsi="Palatino Linotype"/>
                              <w:b/>
                              <w:color w:val="00B050"/>
                              <w:sz w:val="76"/>
                              <w:szCs w:val="76"/>
                            </w:rPr>
                            <w:t>SADDLEWORTH</w:t>
                          </w:r>
                        </w:p>
                      </w:txbxContent>
                    </wps:txbx>
                    <wps:bodyPr anchor="t" lIns="92075" tIns="46355" rIns="92075" bIns="46355">
                      <a:noAutofit/>
                    </wps:bodyPr>
                  </wps:wsp>
                </a:graphicData>
              </a:graphic>
            </wp:anchor>
          </w:drawing>
        </mc:Choice>
        <mc:Fallback>
          <w:pict>
            <v:rect fillcolor="#FFFFFF" style="position:absolute;rotation:0;width:332.25pt;height:53.25pt;mso-wrap-distance-left:9pt;mso-wrap-distance-right:9.7pt;mso-wrap-distance-top:5.7pt;mso-wrap-distance-bottom:5.7pt;margin-top:0.9pt;mso-position-vertical-relative:text;margin-left:138.15pt;mso-position-horizontal-relative:text">
              <v:fill opacity="0f"/>
              <v:textbox inset="0.100694444444444in,0.0506944444444444in,0.100694444444444in,0.0506944444444444in">
                <w:txbxContent>
                  <w:p>
                    <w:pPr>
                      <w:pStyle w:val="FrameContents"/>
                      <w:spacing w:before="0" w:after="160"/>
                      <w:rPr>
                        <w:rFonts w:ascii="Palatino Linotype" w:hAnsi="Palatino Linotype" w:cs="Palatino Linotype"/>
                        <w:b/>
                        <w:b/>
                        <w:color w:val="00B050"/>
                        <w:sz w:val="76"/>
                        <w:szCs w:val="76"/>
                      </w:rPr>
                    </w:pPr>
                    <w:r>
                      <w:rPr>
                        <w:rFonts w:cs="Palatino Linotype" w:ascii="Palatino Linotype" w:hAnsi="Palatino Linotype"/>
                        <w:b/>
                        <w:color w:val="00B050"/>
                        <w:sz w:val="76"/>
                        <w:szCs w:val="76"/>
                      </w:rPr>
                      <w:t>SADDLEWORTH</w:t>
                    </w:r>
                  </w:p>
                </w:txbxContent>
              </v:textbox>
            </v:rect>
          </w:pict>
        </mc:Fallback>
      </mc:AlternateContent>
    </w:r>
    <w:r>
      <mc:AlternateContent>
        <mc:Choice Requires="wps">
          <w:drawing>
            <wp:anchor behindDoc="1" distT="72390" distB="72390" distL="114300" distR="114300" simplePos="0" locked="0" layoutInCell="1" allowOverlap="1" relativeHeight="21">
              <wp:simplePos x="0" y="0"/>
              <wp:positionH relativeFrom="rightMargin">
                <wp:posOffset>0</wp:posOffset>
              </wp:positionH>
              <wp:positionV relativeFrom="paragraph">
                <wp:posOffset>625475</wp:posOffset>
              </wp:positionV>
              <wp:extent cx="2190750" cy="466725"/>
              <wp:effectExtent l="0" t="0" r="0" b="0"/>
              <wp:wrapNone/>
              <wp:docPr id="5" name="Frame2"/>
              <a:graphic xmlns:a="http://schemas.openxmlformats.org/drawingml/2006/main">
                <a:graphicData uri="http://schemas.microsoft.com/office/word/2010/wordprocessingShape">
                  <wps:wsp>
                    <wps:cNvSpPr txBox="1"/>
                    <wps:spPr>
                      <a:xfrm>
                        <a:off x="0" y="0"/>
                        <a:ext cx="2190750" cy="466725"/>
                      </a:xfrm>
                      <a:prstGeom prst="rect"/>
                      <a:solidFill>
                        <a:srgbClr val="FFFFFF">
                          <a:alpha val="0"/>
                        </a:srgbClr>
                      </a:solidFill>
                    </wps:spPr>
                    <wps:txbx>
                      <w:txbxContent>
                        <w:p>
                          <w:pPr>
                            <w:pStyle w:val="FrameContents"/>
                            <w:spacing w:before="0" w:after="160"/>
                            <w:rPr>
                              <w:rFonts w:ascii="Palatino Linotype" w:hAnsi="Palatino Linotype" w:cs="Palatino Linotype"/>
                              <w:color w:val="00B050"/>
                              <w:sz w:val="48"/>
                            </w:rPr>
                          </w:pPr>
                          <w:r>
                            <w:rPr>
                              <w:rFonts w:cs="Palatino Linotype" w:ascii="Palatino Linotype" w:hAnsi="Palatino Linotype"/>
                              <w:color w:val="00B050"/>
                              <w:sz w:val="48"/>
                            </w:rPr>
                            <w:t>Parish Council</w:t>
                          </w:r>
                        </w:p>
                      </w:txbxContent>
                    </wps:txbx>
                    <wps:bodyPr anchor="t" lIns="92075" tIns="46355" rIns="92075" bIns="46355">
                      <a:noAutofit/>
                    </wps:bodyPr>
                  </wps:wsp>
                </a:graphicData>
              </a:graphic>
            </wp:anchor>
          </w:drawing>
        </mc:Choice>
        <mc:Fallback>
          <w:pict>
            <v:rect fillcolor="#FFFFFF" style="position:absolute;rotation:0;width:172.5pt;height:36.75pt;mso-wrap-distance-left:9pt;mso-wrap-distance-right:9pt;mso-wrap-distance-top:5.7pt;mso-wrap-distance-bottom:5.7pt;margin-top:49.25pt;mso-position-vertical-relative:text;margin-left:0pt;mso-position-horizontal-relative:text">
              <v:fill opacity="0f"/>
              <v:textbox inset="0.100694444444444in,0.0506944444444444in,0.100694444444444in,0.0506944444444444in">
                <w:txbxContent>
                  <w:p>
                    <w:pPr>
                      <w:pStyle w:val="FrameContents"/>
                      <w:spacing w:before="0" w:after="160"/>
                      <w:rPr>
                        <w:rFonts w:ascii="Palatino Linotype" w:hAnsi="Palatino Linotype" w:cs="Palatino Linotype"/>
                        <w:color w:val="00B050"/>
                        <w:sz w:val="48"/>
                      </w:rPr>
                    </w:pPr>
                    <w:r>
                      <w:rPr>
                        <w:rFonts w:cs="Palatino Linotype" w:ascii="Palatino Linotype" w:hAnsi="Palatino Linotype"/>
                        <w:color w:val="00B050"/>
                        <w:sz w:val="48"/>
                      </w:rPr>
                      <w:t>Parish Council</w:t>
                    </w:r>
                  </w:p>
                </w:txbxContent>
              </v:textbox>
            </v:rect>
          </w:pict>
        </mc:Fallback>
      </mc:AlternateConten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sz w:val="24"/>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5">
    <w:lvl w:ilvl="0">
      <w:start w:val="1"/>
      <w:numFmt w:val="decimal"/>
      <w:lvlText w:val="%1."/>
      <w:lvlJc w:val="left"/>
      <w:pPr>
        <w:ind w:left="458" w:hanging="0"/>
      </w:pPr>
      <w:rPr>
        <w:dstrike w:val="false"/>
        <w:strike w:val="false"/>
        <w:vertAlign w:val="baseline"/>
        <w:position w:val="0"/>
        <w:sz w:val="24"/>
        <w:sz w:val="24"/>
        <w:i w:val="false"/>
        <w:u w:val="none" w:color="000000"/>
        <w:b w:val="false"/>
        <w:szCs w:val="24"/>
        <w:rFonts w:eastAsia="Arial" w:cs="Arial"/>
        <w:color w:val="000000"/>
      </w:rPr>
    </w:lvl>
    <w:lvl w:ilvl="1">
      <w:start w:val="1"/>
      <w:numFmt w:val="lowerLetter"/>
      <w:lvlText w:val="%2"/>
      <w:lvlJc w:val="left"/>
      <w:pPr>
        <w:ind w:left="1094" w:hanging="0"/>
      </w:pPr>
      <w:rPr>
        <w:dstrike w:val="false"/>
        <w:strike w:val="false"/>
        <w:vertAlign w:val="baseline"/>
        <w:position w:val="0"/>
        <w:sz w:val="24"/>
        <w:sz w:val="24"/>
        <w:i w:val="false"/>
        <w:u w:val="none" w:color="000000"/>
        <w:b w:val="false"/>
        <w:szCs w:val="24"/>
        <w:rFonts w:eastAsia="Arial" w:cs="Arial"/>
        <w:color w:val="000000"/>
      </w:rPr>
    </w:lvl>
    <w:lvl w:ilvl="2">
      <w:start w:val="1"/>
      <w:numFmt w:val="lowerRoman"/>
      <w:lvlText w:val="%3"/>
      <w:lvlJc w:val="left"/>
      <w:pPr>
        <w:ind w:left="1814" w:hanging="0"/>
      </w:pPr>
      <w:rPr>
        <w:dstrike w:val="false"/>
        <w:strike w:val="false"/>
        <w:vertAlign w:val="baseline"/>
        <w:position w:val="0"/>
        <w:sz w:val="24"/>
        <w:sz w:val="24"/>
        <w:i w:val="false"/>
        <w:u w:val="none" w:color="000000"/>
        <w:b w:val="false"/>
        <w:szCs w:val="24"/>
        <w:rFonts w:eastAsia="Arial" w:cs="Arial"/>
        <w:color w:val="000000"/>
      </w:rPr>
    </w:lvl>
    <w:lvl w:ilvl="3">
      <w:start w:val="1"/>
      <w:numFmt w:val="decimal"/>
      <w:lvlText w:val="%4"/>
      <w:lvlJc w:val="left"/>
      <w:pPr>
        <w:ind w:left="2534" w:hanging="0"/>
      </w:pPr>
      <w:rPr>
        <w:dstrike w:val="false"/>
        <w:strike w:val="false"/>
        <w:vertAlign w:val="baseline"/>
        <w:position w:val="0"/>
        <w:sz w:val="24"/>
        <w:sz w:val="24"/>
        <w:i w:val="false"/>
        <w:u w:val="none" w:color="000000"/>
        <w:b w:val="false"/>
        <w:szCs w:val="24"/>
        <w:rFonts w:eastAsia="Arial" w:cs="Arial"/>
        <w:color w:val="000000"/>
      </w:rPr>
    </w:lvl>
    <w:lvl w:ilvl="4">
      <w:start w:val="1"/>
      <w:numFmt w:val="lowerLetter"/>
      <w:lvlText w:val="%5"/>
      <w:lvlJc w:val="left"/>
      <w:pPr>
        <w:ind w:left="3254" w:hanging="0"/>
      </w:pPr>
      <w:rPr>
        <w:dstrike w:val="false"/>
        <w:strike w:val="false"/>
        <w:vertAlign w:val="baseline"/>
        <w:position w:val="0"/>
        <w:sz w:val="24"/>
        <w:sz w:val="24"/>
        <w:i w:val="false"/>
        <w:u w:val="none" w:color="000000"/>
        <w:b w:val="false"/>
        <w:szCs w:val="24"/>
        <w:rFonts w:eastAsia="Arial" w:cs="Arial"/>
        <w:color w:val="000000"/>
      </w:rPr>
    </w:lvl>
    <w:lvl w:ilvl="5">
      <w:start w:val="1"/>
      <w:numFmt w:val="lowerRoman"/>
      <w:lvlText w:val="%6"/>
      <w:lvlJc w:val="left"/>
      <w:pPr>
        <w:ind w:left="3974" w:hanging="0"/>
      </w:pPr>
      <w:rPr>
        <w:dstrike w:val="false"/>
        <w:strike w:val="false"/>
        <w:vertAlign w:val="baseline"/>
        <w:position w:val="0"/>
        <w:sz w:val="24"/>
        <w:sz w:val="24"/>
        <w:i w:val="false"/>
        <w:u w:val="none" w:color="000000"/>
        <w:b w:val="false"/>
        <w:szCs w:val="24"/>
        <w:rFonts w:eastAsia="Arial" w:cs="Arial"/>
        <w:color w:val="000000"/>
      </w:rPr>
    </w:lvl>
    <w:lvl w:ilvl="6">
      <w:start w:val="1"/>
      <w:numFmt w:val="decimal"/>
      <w:lvlText w:val="%7"/>
      <w:lvlJc w:val="left"/>
      <w:pPr>
        <w:ind w:left="4694" w:hanging="0"/>
      </w:pPr>
      <w:rPr>
        <w:dstrike w:val="false"/>
        <w:strike w:val="false"/>
        <w:vertAlign w:val="baseline"/>
        <w:position w:val="0"/>
        <w:sz w:val="24"/>
        <w:sz w:val="24"/>
        <w:i w:val="false"/>
        <w:u w:val="none" w:color="000000"/>
        <w:b w:val="false"/>
        <w:szCs w:val="24"/>
        <w:rFonts w:eastAsia="Arial" w:cs="Arial"/>
        <w:color w:val="000000"/>
      </w:rPr>
    </w:lvl>
    <w:lvl w:ilvl="7">
      <w:start w:val="1"/>
      <w:numFmt w:val="lowerLetter"/>
      <w:lvlText w:val="%8"/>
      <w:lvlJc w:val="left"/>
      <w:pPr>
        <w:ind w:left="5414" w:hanging="0"/>
      </w:pPr>
      <w:rPr>
        <w:dstrike w:val="false"/>
        <w:strike w:val="false"/>
        <w:vertAlign w:val="baseline"/>
        <w:position w:val="0"/>
        <w:sz w:val="24"/>
        <w:sz w:val="24"/>
        <w:i w:val="false"/>
        <w:u w:val="none" w:color="000000"/>
        <w:b w:val="false"/>
        <w:szCs w:val="24"/>
        <w:rFonts w:eastAsia="Arial" w:cs="Arial"/>
        <w:color w:val="000000"/>
      </w:rPr>
    </w:lvl>
    <w:lvl w:ilvl="8">
      <w:start w:val="1"/>
      <w:numFmt w:val="lowerRoman"/>
      <w:lvlText w:val="%9"/>
      <w:lvlJc w:val="left"/>
      <w:pPr>
        <w:ind w:left="6134" w:hanging="0"/>
      </w:pPr>
      <w:rPr>
        <w:dstrike w:val="false"/>
        <w:strike w:val="false"/>
        <w:vertAlign w:val="baseline"/>
        <w:position w:val="0"/>
        <w:sz w:val="24"/>
        <w:sz w:val="24"/>
        <w:i w:val="false"/>
        <w:u w:val="none" w:color="000000"/>
        <w:b w:val="false"/>
        <w:szCs w:val="24"/>
        <w:rFonts w:eastAsia="Arial" w:cs="Arial"/>
        <w:color w:val="000000"/>
      </w:rPr>
    </w:lvl>
  </w:abstractNum>
  <w:abstractNum w:abstractNumId="6">
    <w:lvl w:ilvl="0">
      <w:start w:val="1"/>
      <w:numFmt w:val="decimal"/>
      <w:lvlText w:val="%1."/>
      <w:lvlJc w:val="left"/>
      <w:pPr>
        <w:ind w:left="458" w:hanging="0"/>
      </w:pPr>
      <w:rPr>
        <w:dstrike w:val="false"/>
        <w:strike w:val="false"/>
        <w:vertAlign w:val="baseline"/>
        <w:position w:val="0"/>
        <w:sz w:val="24"/>
        <w:sz w:val="24"/>
        <w:i w:val="false"/>
        <w:u w:val="none" w:color="000000"/>
        <w:b w:val="false"/>
        <w:szCs w:val="22"/>
        <w:rFonts w:eastAsia="Arial" w:cs="Arial"/>
        <w:color w:val="000000"/>
      </w:rPr>
    </w:lvl>
    <w:lvl w:ilvl="1">
      <w:start w:val="1"/>
      <w:numFmt w:val="lowerLetter"/>
      <w:lvlText w:val="%2"/>
      <w:lvlJc w:val="left"/>
      <w:pPr>
        <w:ind w:left="1198" w:hanging="0"/>
      </w:pPr>
      <w:rPr>
        <w:dstrike w:val="false"/>
        <w:strike w:val="false"/>
        <w:vertAlign w:val="baseline"/>
        <w:position w:val="0"/>
        <w:sz w:val="22"/>
        <w:sz w:val="22"/>
        <w:i w:val="false"/>
        <w:u w:val="none" w:color="000000"/>
        <w:b w:val="false"/>
        <w:szCs w:val="22"/>
        <w:rFonts w:eastAsia="Arial" w:cs="Arial"/>
        <w:color w:val="000000"/>
      </w:rPr>
    </w:lvl>
    <w:lvl w:ilvl="2">
      <w:start w:val="1"/>
      <w:numFmt w:val="lowerRoman"/>
      <w:lvlText w:val="%3"/>
      <w:lvlJc w:val="left"/>
      <w:pPr>
        <w:ind w:left="1918" w:hanging="0"/>
      </w:pPr>
      <w:rPr>
        <w:dstrike w:val="false"/>
        <w:strike w:val="false"/>
        <w:vertAlign w:val="baseline"/>
        <w:position w:val="0"/>
        <w:sz w:val="22"/>
        <w:sz w:val="22"/>
        <w:i w:val="false"/>
        <w:u w:val="none" w:color="000000"/>
        <w:b w:val="false"/>
        <w:szCs w:val="22"/>
        <w:rFonts w:eastAsia="Arial" w:cs="Arial"/>
        <w:color w:val="000000"/>
      </w:rPr>
    </w:lvl>
    <w:lvl w:ilvl="3">
      <w:start w:val="1"/>
      <w:numFmt w:val="decimal"/>
      <w:lvlText w:val="%4"/>
      <w:lvlJc w:val="left"/>
      <w:pPr>
        <w:ind w:left="2638" w:hanging="0"/>
      </w:pPr>
      <w:rPr>
        <w:dstrike w:val="false"/>
        <w:strike w:val="false"/>
        <w:vertAlign w:val="baseline"/>
        <w:position w:val="0"/>
        <w:sz w:val="22"/>
        <w:sz w:val="22"/>
        <w:i w:val="false"/>
        <w:u w:val="none" w:color="000000"/>
        <w:b w:val="false"/>
        <w:szCs w:val="22"/>
        <w:rFonts w:eastAsia="Arial" w:cs="Arial"/>
        <w:color w:val="000000"/>
      </w:rPr>
    </w:lvl>
    <w:lvl w:ilvl="4">
      <w:start w:val="1"/>
      <w:numFmt w:val="lowerLetter"/>
      <w:lvlText w:val="%5"/>
      <w:lvlJc w:val="left"/>
      <w:pPr>
        <w:ind w:left="3358" w:hanging="0"/>
      </w:pPr>
      <w:rPr>
        <w:dstrike w:val="false"/>
        <w:strike w:val="false"/>
        <w:vertAlign w:val="baseline"/>
        <w:position w:val="0"/>
        <w:sz w:val="22"/>
        <w:sz w:val="22"/>
        <w:i w:val="false"/>
        <w:u w:val="none" w:color="000000"/>
        <w:b w:val="false"/>
        <w:szCs w:val="22"/>
        <w:rFonts w:eastAsia="Arial" w:cs="Arial"/>
        <w:color w:val="000000"/>
      </w:rPr>
    </w:lvl>
    <w:lvl w:ilvl="5">
      <w:start w:val="1"/>
      <w:numFmt w:val="lowerRoman"/>
      <w:lvlText w:val="%6"/>
      <w:lvlJc w:val="left"/>
      <w:pPr>
        <w:ind w:left="4078" w:hanging="0"/>
      </w:pPr>
      <w:rPr>
        <w:dstrike w:val="false"/>
        <w:strike w:val="false"/>
        <w:vertAlign w:val="baseline"/>
        <w:position w:val="0"/>
        <w:sz w:val="22"/>
        <w:sz w:val="22"/>
        <w:i w:val="false"/>
        <w:u w:val="none" w:color="000000"/>
        <w:b w:val="false"/>
        <w:szCs w:val="22"/>
        <w:rFonts w:eastAsia="Arial" w:cs="Arial"/>
        <w:color w:val="000000"/>
      </w:rPr>
    </w:lvl>
    <w:lvl w:ilvl="6">
      <w:start w:val="1"/>
      <w:numFmt w:val="decimal"/>
      <w:lvlText w:val="%7"/>
      <w:lvlJc w:val="left"/>
      <w:pPr>
        <w:ind w:left="4798" w:hanging="0"/>
      </w:pPr>
      <w:rPr>
        <w:dstrike w:val="false"/>
        <w:strike w:val="false"/>
        <w:vertAlign w:val="baseline"/>
        <w:position w:val="0"/>
        <w:sz w:val="22"/>
        <w:sz w:val="22"/>
        <w:i w:val="false"/>
        <w:u w:val="none" w:color="000000"/>
        <w:b w:val="false"/>
        <w:szCs w:val="22"/>
        <w:rFonts w:eastAsia="Arial" w:cs="Arial"/>
        <w:color w:val="000000"/>
      </w:rPr>
    </w:lvl>
    <w:lvl w:ilvl="7">
      <w:start w:val="1"/>
      <w:numFmt w:val="lowerLetter"/>
      <w:lvlText w:val="%8"/>
      <w:lvlJc w:val="left"/>
      <w:pPr>
        <w:ind w:left="5518" w:hanging="0"/>
      </w:pPr>
      <w:rPr>
        <w:dstrike w:val="false"/>
        <w:strike w:val="false"/>
        <w:vertAlign w:val="baseline"/>
        <w:position w:val="0"/>
        <w:sz w:val="22"/>
        <w:sz w:val="22"/>
        <w:i w:val="false"/>
        <w:u w:val="none" w:color="000000"/>
        <w:b w:val="false"/>
        <w:szCs w:val="22"/>
        <w:rFonts w:eastAsia="Arial" w:cs="Arial"/>
        <w:color w:val="000000"/>
      </w:rPr>
    </w:lvl>
    <w:lvl w:ilvl="8">
      <w:start w:val="1"/>
      <w:numFmt w:val="lowerRoman"/>
      <w:lvlText w:val="%9"/>
      <w:lvlJc w:val="left"/>
      <w:pPr>
        <w:ind w:left="6238" w:hanging="0"/>
      </w:pPr>
      <w:rPr>
        <w:dstrike w:val="false"/>
        <w:strike w:val="false"/>
        <w:vertAlign w:val="baseline"/>
        <w:position w:val="0"/>
        <w:sz w:val="22"/>
        <w:sz w:val="22"/>
        <w:i w:val="false"/>
        <w:u w:val="none" w:color="000000"/>
        <w:b w:val="false"/>
        <w:szCs w:val="22"/>
        <w:rFonts w:eastAsia="Arial" w:cs="Arial"/>
        <w:color w:val="000000"/>
      </w:rPr>
    </w:lvl>
  </w:abstractNum>
  <w:abstractNum w:abstractNumId="7">
    <w:lvl w:ilvl="0">
      <w:start w:val="1"/>
      <w:numFmt w:val="decimal"/>
      <w:lvlText w:val="%1."/>
      <w:lvlJc w:val="left"/>
      <w:pPr>
        <w:ind w:left="458" w:hanging="0"/>
      </w:pPr>
      <w:rPr>
        <w:dstrike w:val="false"/>
        <w:strike w:val="false"/>
        <w:vertAlign w:val="baseline"/>
        <w:position w:val="0"/>
        <w:sz w:val="24"/>
        <w:sz w:val="24"/>
        <w:i w:val="false"/>
        <w:u w:val="none" w:color="000000"/>
        <w:b w:val="false"/>
        <w:szCs w:val="22"/>
        <w:rFonts w:eastAsia="Arial" w:cs="Arial"/>
        <w:color w:val="000000"/>
      </w:rPr>
    </w:lvl>
    <w:lvl w:ilvl="1">
      <w:start w:val="1"/>
      <w:numFmt w:val="lowerLetter"/>
      <w:lvlText w:val="%2"/>
      <w:lvlJc w:val="left"/>
      <w:pPr>
        <w:ind w:left="1198" w:hanging="0"/>
      </w:pPr>
      <w:rPr>
        <w:dstrike w:val="false"/>
        <w:strike w:val="false"/>
        <w:vertAlign w:val="baseline"/>
        <w:position w:val="0"/>
        <w:sz w:val="22"/>
        <w:sz w:val="22"/>
        <w:i w:val="false"/>
        <w:u w:val="none" w:color="000000"/>
        <w:b w:val="false"/>
        <w:szCs w:val="22"/>
        <w:rFonts w:eastAsia="Arial" w:cs="Arial"/>
        <w:color w:val="000000"/>
      </w:rPr>
    </w:lvl>
    <w:lvl w:ilvl="2">
      <w:start w:val="1"/>
      <w:numFmt w:val="lowerRoman"/>
      <w:lvlText w:val="%3"/>
      <w:lvlJc w:val="left"/>
      <w:pPr>
        <w:ind w:left="1918" w:hanging="0"/>
      </w:pPr>
      <w:rPr>
        <w:dstrike w:val="false"/>
        <w:strike w:val="false"/>
        <w:vertAlign w:val="baseline"/>
        <w:position w:val="0"/>
        <w:sz w:val="22"/>
        <w:sz w:val="22"/>
        <w:i w:val="false"/>
        <w:u w:val="none" w:color="000000"/>
        <w:b w:val="false"/>
        <w:szCs w:val="22"/>
        <w:rFonts w:eastAsia="Arial" w:cs="Arial"/>
        <w:color w:val="000000"/>
      </w:rPr>
    </w:lvl>
    <w:lvl w:ilvl="3">
      <w:start w:val="1"/>
      <w:numFmt w:val="decimal"/>
      <w:lvlText w:val="%4"/>
      <w:lvlJc w:val="left"/>
      <w:pPr>
        <w:ind w:left="2638" w:hanging="0"/>
      </w:pPr>
      <w:rPr>
        <w:dstrike w:val="false"/>
        <w:strike w:val="false"/>
        <w:vertAlign w:val="baseline"/>
        <w:position w:val="0"/>
        <w:sz w:val="22"/>
        <w:sz w:val="22"/>
        <w:i w:val="false"/>
        <w:u w:val="none" w:color="000000"/>
        <w:b w:val="false"/>
        <w:szCs w:val="22"/>
        <w:rFonts w:eastAsia="Arial" w:cs="Arial"/>
        <w:color w:val="000000"/>
      </w:rPr>
    </w:lvl>
    <w:lvl w:ilvl="4">
      <w:start w:val="1"/>
      <w:numFmt w:val="lowerLetter"/>
      <w:lvlText w:val="%5"/>
      <w:lvlJc w:val="left"/>
      <w:pPr>
        <w:ind w:left="3358" w:hanging="0"/>
      </w:pPr>
      <w:rPr>
        <w:dstrike w:val="false"/>
        <w:strike w:val="false"/>
        <w:vertAlign w:val="baseline"/>
        <w:position w:val="0"/>
        <w:sz w:val="22"/>
        <w:sz w:val="22"/>
        <w:i w:val="false"/>
        <w:u w:val="none" w:color="000000"/>
        <w:b w:val="false"/>
        <w:szCs w:val="22"/>
        <w:rFonts w:eastAsia="Arial" w:cs="Arial"/>
        <w:color w:val="000000"/>
      </w:rPr>
    </w:lvl>
    <w:lvl w:ilvl="5">
      <w:start w:val="1"/>
      <w:numFmt w:val="lowerRoman"/>
      <w:lvlText w:val="%6"/>
      <w:lvlJc w:val="left"/>
      <w:pPr>
        <w:ind w:left="4078" w:hanging="0"/>
      </w:pPr>
      <w:rPr>
        <w:dstrike w:val="false"/>
        <w:strike w:val="false"/>
        <w:vertAlign w:val="baseline"/>
        <w:position w:val="0"/>
        <w:sz w:val="22"/>
        <w:sz w:val="22"/>
        <w:i w:val="false"/>
        <w:u w:val="none" w:color="000000"/>
        <w:b w:val="false"/>
        <w:szCs w:val="22"/>
        <w:rFonts w:eastAsia="Arial" w:cs="Arial"/>
        <w:color w:val="000000"/>
      </w:rPr>
    </w:lvl>
    <w:lvl w:ilvl="6">
      <w:start w:val="1"/>
      <w:numFmt w:val="decimal"/>
      <w:lvlText w:val="%7"/>
      <w:lvlJc w:val="left"/>
      <w:pPr>
        <w:ind w:left="4798" w:hanging="0"/>
      </w:pPr>
      <w:rPr>
        <w:dstrike w:val="false"/>
        <w:strike w:val="false"/>
        <w:vertAlign w:val="baseline"/>
        <w:position w:val="0"/>
        <w:sz w:val="22"/>
        <w:sz w:val="22"/>
        <w:i w:val="false"/>
        <w:u w:val="none" w:color="000000"/>
        <w:b w:val="false"/>
        <w:szCs w:val="22"/>
        <w:rFonts w:eastAsia="Arial" w:cs="Arial"/>
        <w:color w:val="000000"/>
      </w:rPr>
    </w:lvl>
    <w:lvl w:ilvl="7">
      <w:start w:val="1"/>
      <w:numFmt w:val="lowerLetter"/>
      <w:lvlText w:val="%8"/>
      <w:lvlJc w:val="left"/>
      <w:pPr>
        <w:ind w:left="5518" w:hanging="0"/>
      </w:pPr>
      <w:rPr>
        <w:dstrike w:val="false"/>
        <w:strike w:val="false"/>
        <w:vertAlign w:val="baseline"/>
        <w:position w:val="0"/>
        <w:sz w:val="22"/>
        <w:sz w:val="22"/>
        <w:i w:val="false"/>
        <w:u w:val="none" w:color="000000"/>
        <w:b w:val="false"/>
        <w:szCs w:val="22"/>
        <w:rFonts w:eastAsia="Arial" w:cs="Arial"/>
        <w:color w:val="000000"/>
      </w:rPr>
    </w:lvl>
    <w:lvl w:ilvl="8">
      <w:start w:val="1"/>
      <w:numFmt w:val="lowerRoman"/>
      <w:lvlText w:val="%9"/>
      <w:lvlJc w:val="left"/>
      <w:pPr>
        <w:ind w:left="6238" w:hanging="0"/>
      </w:pPr>
      <w:rPr>
        <w:dstrike w:val="false"/>
        <w:strike w:val="false"/>
        <w:vertAlign w:val="baseline"/>
        <w:position w:val="0"/>
        <w:sz w:val="22"/>
        <w:sz w:val="22"/>
        <w:i w:val="false"/>
        <w:u w:val="none" w:color="000000"/>
        <w:b w:val="false"/>
        <w:szCs w:val="22"/>
        <w:rFonts w:eastAsia="Arial" w:cs="Arial"/>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6"/>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Aptos" w:hAnsi="Aptos" w:eastAsia="Aptos" w:cs=""/>
      <w:color w:val="auto"/>
      <w:kern w:val="2"/>
      <w:sz w:val="22"/>
      <w:szCs w:val="22"/>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numPr>
        <w:ilvl w:val="1"/>
        <w:numId w:val="1"/>
      </w:numPr>
      <w:spacing w:lineRule="auto" w:line="240" w:before="240" w:after="60"/>
      <w:outlineLvl w:val="1"/>
    </w:pPr>
    <w:rPr>
      <w:rFonts w:ascii="Arial" w:hAnsi="Arial" w:eastAsia="" w:cs=""/>
      <w:b/>
      <w:bCs/>
      <w:iCs/>
      <w:sz w:val="24"/>
      <w:szCs w:val="28"/>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sz w:val="24"/>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4"/>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4"/>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eastAsia="Arial" w:cs="Arial"/>
      <w:b w:val="false"/>
      <w:i w:val="false"/>
      <w:strike w:val="false"/>
      <w:dstrike w:val="false"/>
      <w:color w:val="000000"/>
      <w:position w:val="0"/>
      <w:sz w:val="24"/>
      <w:sz w:val="24"/>
      <w:szCs w:val="24"/>
      <w:u w:val="none" w:color="000000"/>
      <w:vertAlign w:val="baseline"/>
    </w:rPr>
  </w:style>
  <w:style w:type="character" w:styleId="WW8Num5z0">
    <w:name w:val="WW8Num5z0"/>
    <w:qFormat/>
    <w:rPr>
      <w:rFonts w:eastAsia="Arial" w:cs="Arial"/>
      <w:b w:val="false"/>
      <w:i w:val="false"/>
      <w:strike w:val="false"/>
      <w:dstrike w:val="false"/>
      <w:color w:val="000000"/>
      <w:position w:val="0"/>
      <w:sz w:val="24"/>
      <w:sz w:val="24"/>
      <w:szCs w:val="22"/>
      <w:u w:val="none" w:color="000000"/>
      <w:vertAlign w:val="baseline"/>
    </w:rPr>
  </w:style>
  <w:style w:type="character" w:styleId="WW8Num5z1">
    <w:name w:val="WW8Num5z1"/>
    <w:qFormat/>
    <w:rPr>
      <w:rFonts w:eastAsia="Arial" w:cs="Arial"/>
      <w:b w:val="false"/>
      <w:i w:val="false"/>
      <w:strike w:val="false"/>
      <w:dstrike w:val="false"/>
      <w:color w:val="000000"/>
      <w:position w:val="0"/>
      <w:sz w:val="22"/>
      <w:sz w:val="22"/>
      <w:szCs w:val="22"/>
      <w:u w:val="none" w:color="000000"/>
      <w:vertAlign w:val="baseline"/>
    </w:rPr>
  </w:style>
  <w:style w:type="character" w:styleId="WW8Num6z0">
    <w:name w:val="WW8Num6z0"/>
    <w:qFormat/>
    <w:rPr>
      <w:rFonts w:eastAsia="Arial" w:cs="Arial"/>
      <w:b w:val="false"/>
      <w:i w:val="false"/>
      <w:strike w:val="false"/>
      <w:dstrike w:val="false"/>
      <w:color w:val="000000"/>
      <w:position w:val="0"/>
      <w:sz w:val="24"/>
      <w:sz w:val="24"/>
      <w:szCs w:val="22"/>
      <w:u w:val="none" w:color="000000"/>
      <w:vertAlign w:val="baseline"/>
    </w:rPr>
  </w:style>
  <w:style w:type="character" w:styleId="WW8Num6z1">
    <w:name w:val="WW8Num6z1"/>
    <w:qFormat/>
    <w:rPr>
      <w:rFonts w:eastAsia="Arial" w:cs="Arial"/>
      <w:b w:val="false"/>
      <w:i w:val="false"/>
      <w:strike w:val="false"/>
      <w:dstrike w:val="false"/>
      <w:color w:val="000000"/>
      <w:position w:val="0"/>
      <w:sz w:val="22"/>
      <w:sz w:val="22"/>
      <w:szCs w:val="22"/>
      <w:u w:val="none" w:color="000000"/>
      <w:vertAlign w:val="baseline"/>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ing2Char">
    <w:name w:val="Heading 2 Char"/>
    <w:basedOn w:val="DefaultParagraphFont"/>
    <w:qFormat/>
    <w:rPr>
      <w:rFonts w:ascii="Arial" w:hAnsi="Arial" w:eastAsia="" w:cs=""/>
      <w:b/>
      <w:bCs/>
      <w:iCs/>
      <w:sz w:val="24"/>
      <w:szCs w:val="28"/>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000000"/>
      <w:spacing w:val="15"/>
      <w:sz w:val="28"/>
      <w:szCs w:val="28"/>
    </w:rPr>
  </w:style>
  <w:style w:type="character" w:styleId="QuoteChar">
    <w:name w:val="Quote Char"/>
    <w:basedOn w:val="DefaultParagraphFont"/>
    <w:qFormat/>
    <w:rPr>
      <w:i/>
      <w:iCs/>
      <w:color w:val="00000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000000"/>
      <w:spacing w:val="15"/>
      <w:sz w:val="28"/>
      <w:szCs w:val="28"/>
    </w:rPr>
  </w:style>
  <w:style w:type="paragraph" w:styleId="Quote">
    <w:name w:val="Quote"/>
    <w:basedOn w:val="Normal"/>
    <w:next w:val="Normal"/>
    <w:qFormat/>
    <w:pPr>
      <w:spacing w:before="160" w:after="160"/>
      <w:jc w:val="center"/>
    </w:pPr>
    <w:rPr>
      <w:i/>
      <w:iCs/>
      <w:color w:val="000000"/>
    </w:rPr>
  </w:style>
  <w:style w:type="paragraph" w:styleId="ListParagraph">
    <w:name w:val="List Paragraph"/>
    <w:basedOn w:val="Normal"/>
    <w:qFormat/>
    <w:pPr>
      <w:spacing w:before="0" w:after="16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21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