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120" w:after="120"/>
        <w:ind w:left="7200" w:right="0" w:firstLine="720"/>
        <w:rPr>
          <w:rFonts w:ascii="Calibri" w:hAnsi="Calibri" w:cs="Calibri"/>
          <w:sz w:val="22"/>
          <w:szCs w:val="22"/>
        </w:rPr>
      </w:pPr>
      <w:r>
        <w:rPr>
          <w:rFonts w:cs="Calibri" w:ascii="Calibri" w:hAnsi="Calibri"/>
          <w:sz w:val="22"/>
          <w:szCs w:val="22"/>
        </w:rPr>
      </w:r>
    </w:p>
    <w:p>
      <w:pPr>
        <w:pStyle w:val="Normal"/>
        <w:spacing w:before="120" w:after="120"/>
        <w:jc w:val="center"/>
        <w:rPr>
          <w:rFonts w:ascii="Calibri" w:hAnsi="Calibri" w:cs="Calibri"/>
          <w:b/>
          <w:b/>
          <w:sz w:val="22"/>
          <w:szCs w:val="22"/>
        </w:rPr>
      </w:pPr>
      <w:r>
        <w:rPr>
          <w:rFonts w:cs="Calibri" w:ascii="Calibri" w:hAnsi="Calibri"/>
          <w:b/>
          <w:sz w:val="22"/>
          <w:szCs w:val="22"/>
        </w:rPr>
        <w:t>JOB DESCRIPTION</w:t>
      </w:r>
    </w:p>
    <w:tbl>
      <w:tblPr>
        <w:tblW w:w="10068" w:type="dxa"/>
        <w:jc w:val="left"/>
        <w:tblInd w:w="0" w:type="dxa"/>
        <w:tblCellMar>
          <w:top w:w="0" w:type="dxa"/>
          <w:left w:w="108" w:type="dxa"/>
          <w:bottom w:w="0" w:type="dxa"/>
          <w:right w:w="108" w:type="dxa"/>
        </w:tblCellMar>
      </w:tblPr>
      <w:tblGrid>
        <w:gridCol w:w="4916"/>
        <w:gridCol w:w="294"/>
        <w:gridCol w:w="2694"/>
        <w:gridCol w:w="2126"/>
        <w:gridCol w:w="22"/>
        <w:gridCol w:w="1"/>
      </w:tblGrid>
      <w:tr>
        <w:trPr/>
        <w:tc>
          <w:tcPr>
            <w:tcW w:w="10052" w:type="dxa"/>
            <w:gridSpan w:val="5"/>
            <w:tcBorders>
              <w:top w:val="single" w:sz="6" w:space="0" w:color="000000"/>
              <w:left w:val="single" w:sz="6" w:space="0" w:color="000000"/>
              <w:bottom w:val="double" w:sz="6" w:space="0" w:color="000000"/>
              <w:right w:val="single" w:sz="6" w:space="0" w:color="000000"/>
            </w:tcBorders>
            <w:shd w:fill="auto" w:val="clear"/>
            <w:vAlign w:val="center"/>
          </w:tcPr>
          <w:p>
            <w:pPr>
              <w:pStyle w:val="Normal"/>
              <w:spacing w:before="120" w:after="120"/>
              <w:rPr/>
            </w:pPr>
            <w:r>
              <w:rPr>
                <w:rFonts w:cs="Calibri" w:ascii="Calibri" w:hAnsi="Calibri"/>
                <w:b/>
                <w:bCs/>
                <w:sz w:val="22"/>
                <w:szCs w:val="22"/>
              </w:rPr>
              <w:t>Post Title:</w:t>
            </w:r>
            <w:r>
              <w:rPr>
                <w:rFonts w:cs="Calibri" w:ascii="Calibri" w:hAnsi="Calibri"/>
                <w:sz w:val="22"/>
                <w:szCs w:val="22"/>
              </w:rPr>
              <w:t xml:space="preserve">  Senior Programme Manager (Construction)</w:t>
            </w:r>
          </w:p>
        </w:tc>
      </w:tr>
      <w:tr>
        <w:trPr/>
        <w:tc>
          <w:tcPr>
            <w:tcW w:w="4916" w:type="dxa"/>
            <w:tcBorders>
              <w:top w:val="double" w:sz="6" w:space="0" w:color="000000"/>
              <w:left w:val="single" w:sz="6" w:space="0" w:color="000000"/>
              <w:bottom w:val="double" w:sz="6" w:space="0" w:color="000000"/>
            </w:tcBorders>
            <w:shd w:fill="auto" w:val="clear"/>
            <w:vAlign w:val="center"/>
          </w:tcPr>
          <w:p>
            <w:pPr>
              <w:pStyle w:val="Normal"/>
              <w:spacing w:before="120" w:after="120"/>
              <w:rPr/>
            </w:pPr>
            <w:r>
              <w:rPr>
                <w:rFonts w:cs="Calibri" w:ascii="Calibri" w:hAnsi="Calibri"/>
                <w:b/>
                <w:sz w:val="22"/>
                <w:szCs w:val="22"/>
              </w:rPr>
              <w:t>Department</w:t>
            </w:r>
            <w:r>
              <w:rPr>
                <w:rFonts w:cs="Calibri" w:ascii="Calibri" w:hAnsi="Calibri"/>
                <w:sz w:val="22"/>
                <w:szCs w:val="22"/>
              </w:rPr>
              <w:t>: Place</w:t>
            </w:r>
          </w:p>
        </w:tc>
        <w:tc>
          <w:tcPr>
            <w:tcW w:w="5136" w:type="dxa"/>
            <w:gridSpan w:val="4"/>
            <w:tcBorders>
              <w:top w:val="double" w:sz="6" w:space="0" w:color="000000"/>
              <w:left w:val="single" w:sz="6" w:space="0" w:color="000000"/>
              <w:bottom w:val="double" w:sz="6" w:space="0" w:color="000000"/>
              <w:right w:val="single" w:sz="6" w:space="0" w:color="000000"/>
            </w:tcBorders>
            <w:shd w:fill="auto" w:val="clear"/>
            <w:vAlign w:val="center"/>
          </w:tcPr>
          <w:p>
            <w:pPr>
              <w:pStyle w:val="Normal"/>
              <w:spacing w:before="120" w:after="120"/>
              <w:rPr/>
            </w:pPr>
            <w:r>
              <w:rPr>
                <w:rFonts w:cs="Calibri" w:ascii="Calibri" w:hAnsi="Calibri"/>
                <w:b/>
                <w:sz w:val="22"/>
                <w:szCs w:val="22"/>
              </w:rPr>
              <w:t>Establishment/Post No</w:t>
            </w:r>
            <w:r>
              <w:rPr>
                <w:rFonts w:cs="Calibri" w:ascii="Calibri" w:hAnsi="Calibri"/>
                <w:sz w:val="22"/>
                <w:szCs w:val="22"/>
              </w:rPr>
              <w:t xml:space="preserve">: </w:t>
            </w:r>
          </w:p>
        </w:tc>
      </w:tr>
      <w:tr>
        <w:trPr/>
        <w:tc>
          <w:tcPr>
            <w:tcW w:w="4916" w:type="dxa"/>
            <w:tcBorders>
              <w:top w:val="double" w:sz="6" w:space="0" w:color="000000"/>
              <w:left w:val="single" w:sz="6" w:space="0" w:color="000000"/>
            </w:tcBorders>
            <w:shd w:fill="auto" w:val="clear"/>
            <w:vAlign w:val="center"/>
          </w:tcPr>
          <w:p>
            <w:pPr>
              <w:pStyle w:val="Normal"/>
              <w:spacing w:before="120" w:after="120"/>
              <w:rPr/>
            </w:pPr>
            <w:r>
              <w:rPr>
                <w:rFonts w:cs="Calibri" w:ascii="Calibri" w:hAnsi="Calibri"/>
                <w:b/>
                <w:bCs/>
                <w:sz w:val="22"/>
                <w:szCs w:val="22"/>
              </w:rPr>
              <w:t>Division/Section</w:t>
            </w:r>
            <w:r>
              <w:rPr>
                <w:rFonts w:cs="Calibri" w:ascii="Calibri" w:hAnsi="Calibri"/>
                <w:sz w:val="22"/>
                <w:szCs w:val="22"/>
              </w:rPr>
              <w:t xml:space="preserve">: Construction &amp; Maintenance </w:t>
            </w:r>
          </w:p>
        </w:tc>
        <w:tc>
          <w:tcPr>
            <w:tcW w:w="5136" w:type="dxa"/>
            <w:gridSpan w:val="4"/>
            <w:tcBorders>
              <w:top w:val="double" w:sz="6" w:space="0" w:color="000000"/>
              <w:left w:val="single" w:sz="6" w:space="0" w:color="000000"/>
              <w:bottom w:val="double" w:sz="6" w:space="0" w:color="000000"/>
              <w:right w:val="single" w:sz="6" w:space="0" w:color="000000"/>
            </w:tcBorders>
            <w:shd w:fill="auto" w:val="clear"/>
            <w:vAlign w:val="center"/>
          </w:tcPr>
          <w:p>
            <w:pPr>
              <w:pStyle w:val="Normal"/>
              <w:spacing w:before="120" w:after="120"/>
              <w:rPr/>
            </w:pPr>
            <w:r>
              <w:rPr>
                <w:rFonts w:cs="Calibri" w:ascii="Calibri" w:hAnsi="Calibri"/>
                <w:b/>
                <w:bCs/>
                <w:sz w:val="22"/>
                <w:szCs w:val="22"/>
              </w:rPr>
              <w:t>Post Grade</w:t>
            </w:r>
            <w:r>
              <w:rPr>
                <w:rFonts w:cs="Calibri" w:ascii="Calibri" w:hAnsi="Calibri"/>
                <w:sz w:val="22"/>
                <w:szCs w:val="22"/>
              </w:rPr>
              <w:t xml:space="preserve">: 17 </w:t>
            </w:r>
          </w:p>
        </w:tc>
      </w:tr>
      <w:tr>
        <w:trPr/>
        <w:tc>
          <w:tcPr>
            <w:tcW w:w="4916" w:type="dxa"/>
            <w:tcBorders>
              <w:top w:val="double" w:sz="6" w:space="0" w:color="000000"/>
              <w:left w:val="single" w:sz="6" w:space="0" w:color="000000"/>
              <w:bottom w:val="double" w:sz="6" w:space="0" w:color="000000"/>
            </w:tcBorders>
            <w:shd w:fill="auto" w:val="clear"/>
            <w:vAlign w:val="center"/>
          </w:tcPr>
          <w:p>
            <w:pPr>
              <w:pStyle w:val="Normal"/>
              <w:spacing w:before="120" w:after="120"/>
              <w:rPr/>
            </w:pPr>
            <w:r>
              <w:rPr>
                <w:rFonts w:cs="Calibri" w:ascii="Calibri" w:hAnsi="Calibri"/>
                <w:b/>
                <w:bCs/>
                <w:sz w:val="22"/>
                <w:szCs w:val="22"/>
              </w:rPr>
              <w:t>Location</w:t>
            </w:r>
            <w:r>
              <w:rPr>
                <w:rFonts w:cs="Calibri" w:ascii="Calibri" w:hAnsi="Calibri"/>
                <w:sz w:val="22"/>
                <w:szCs w:val="22"/>
              </w:rPr>
              <w:t xml:space="preserve">: </w:t>
            </w:r>
            <w:r>
              <w:rPr>
                <w:rFonts w:eastAsia="Verdana" w:cs="Calibri" w:ascii="Calibri" w:hAnsi="Calibri"/>
                <w:sz w:val="22"/>
                <w:szCs w:val="22"/>
              </w:rPr>
              <w:t>Town Hall, Bury or any other location in the Borough</w:t>
            </w:r>
          </w:p>
        </w:tc>
        <w:tc>
          <w:tcPr>
            <w:tcW w:w="5136" w:type="dxa"/>
            <w:gridSpan w:val="4"/>
            <w:tcBorders>
              <w:left w:val="single" w:sz="6" w:space="0" w:color="000000"/>
              <w:bottom w:val="double" w:sz="6" w:space="0" w:color="000000"/>
              <w:right w:val="single" w:sz="6" w:space="0" w:color="000000"/>
            </w:tcBorders>
            <w:shd w:fill="auto" w:val="clear"/>
            <w:vAlign w:val="center"/>
          </w:tcPr>
          <w:p>
            <w:pPr>
              <w:pStyle w:val="Normal"/>
              <w:spacing w:before="120" w:after="120"/>
              <w:rPr/>
            </w:pPr>
            <w:r>
              <w:rPr>
                <w:rFonts w:cs="Calibri" w:ascii="Calibri" w:hAnsi="Calibri"/>
                <w:b/>
                <w:sz w:val="22"/>
                <w:szCs w:val="22"/>
              </w:rPr>
              <w:t>Post Hours</w:t>
            </w:r>
            <w:r>
              <w:rPr>
                <w:rFonts w:cs="Calibri" w:ascii="Calibri" w:hAnsi="Calibri"/>
                <w:sz w:val="22"/>
                <w:szCs w:val="22"/>
              </w:rPr>
              <w:t xml:space="preserve">: 37 hours – flexible working scheme  </w:t>
            </w:r>
          </w:p>
        </w:tc>
      </w:tr>
      <w:tr>
        <w:trPr/>
        <w:tc>
          <w:tcPr>
            <w:tcW w:w="10052" w:type="dxa"/>
            <w:gridSpan w:val="5"/>
            <w:tcBorders>
              <w:top w:val="double" w:sz="6" w:space="0" w:color="000000"/>
              <w:left w:val="single" w:sz="6" w:space="0" w:color="000000"/>
              <w:bottom w:val="double" w:sz="6" w:space="0" w:color="000000"/>
              <w:right w:val="single" w:sz="6" w:space="0" w:color="000000"/>
            </w:tcBorders>
            <w:shd w:fill="auto" w:val="clear"/>
            <w:vAlign w:val="center"/>
          </w:tcPr>
          <w:p>
            <w:pPr>
              <w:pStyle w:val="Normal"/>
              <w:spacing w:before="120" w:after="120"/>
              <w:jc w:val="both"/>
              <w:rPr/>
            </w:pPr>
            <w:r>
              <w:rPr>
                <w:rFonts w:cs="Calibri" w:ascii="Calibri" w:hAnsi="Calibri"/>
                <w:b/>
                <w:sz w:val="22"/>
                <w:szCs w:val="22"/>
              </w:rPr>
              <w:t>Special Conditions of Service</w:t>
            </w:r>
            <w:r>
              <w:rPr>
                <w:rFonts w:cs="Calibri" w:ascii="Calibri" w:hAnsi="Calibri"/>
                <w:sz w:val="22"/>
                <w:szCs w:val="22"/>
              </w:rPr>
              <w:t xml:space="preserve">:  </w:t>
            </w:r>
          </w:p>
          <w:p>
            <w:pPr>
              <w:pStyle w:val="ListParagraph"/>
              <w:numPr>
                <w:ilvl w:val="0"/>
                <w:numId w:val="2"/>
              </w:numPr>
              <w:spacing w:before="120" w:after="120"/>
              <w:jc w:val="both"/>
              <w:rPr>
                <w:rFonts w:ascii="Calibri" w:hAnsi="Calibri" w:cs="Calibri"/>
                <w:sz w:val="22"/>
                <w:szCs w:val="22"/>
              </w:rPr>
            </w:pPr>
            <w:r>
              <w:rPr>
                <w:rFonts w:cs="Calibri" w:ascii="Calibri" w:hAnsi="Calibri"/>
                <w:sz w:val="22"/>
                <w:szCs w:val="22"/>
              </w:rPr>
              <w:t>To be qualified to a professional and technical level in the specialist areas of Architectural Design, Building Surveying and Project Management and have significant knowledge of the other professional specialist areas associated with this service e.g. Structural, Civil Engineering, Quantity Surveying, Mechanical and Electrical, Landscaping.</w:t>
            </w:r>
          </w:p>
          <w:p>
            <w:pPr>
              <w:pStyle w:val="ListParagraph"/>
              <w:numPr>
                <w:ilvl w:val="0"/>
                <w:numId w:val="2"/>
              </w:numPr>
              <w:spacing w:before="120" w:after="120"/>
              <w:jc w:val="both"/>
              <w:rPr>
                <w:rFonts w:ascii="Calibri" w:hAnsi="Calibri" w:cs="Calibri"/>
                <w:sz w:val="22"/>
                <w:szCs w:val="22"/>
              </w:rPr>
            </w:pPr>
            <w:r>
              <w:rPr>
                <w:rFonts w:cs="Calibri" w:ascii="Calibri" w:hAnsi="Calibri"/>
                <w:sz w:val="22"/>
                <w:szCs w:val="22"/>
              </w:rPr>
              <w:t>To lead and be responsible for providing design and management of very varied and highly complex capital building projects (eg primary/secondary and SEND school projects and council buildings contracts) of a large value (£12million+) in accordance with the Council’s corporate strategies.</w:t>
            </w:r>
          </w:p>
          <w:p>
            <w:pPr>
              <w:pStyle w:val="ListParagraph"/>
              <w:numPr>
                <w:ilvl w:val="0"/>
                <w:numId w:val="2"/>
              </w:numPr>
              <w:spacing w:before="120" w:after="120"/>
              <w:jc w:val="both"/>
              <w:rPr>
                <w:rFonts w:ascii="Calibri" w:hAnsi="Calibri" w:cs="Calibri"/>
                <w:sz w:val="22"/>
                <w:szCs w:val="22"/>
              </w:rPr>
            </w:pPr>
            <w:r>
              <w:rPr>
                <w:rFonts w:cs="Calibri" w:ascii="Calibri" w:hAnsi="Calibri"/>
                <w:sz w:val="22"/>
                <w:szCs w:val="22"/>
              </w:rPr>
              <w:t>To lead and manage teams working on building projects totalling £30million+ annually and generating an annual income in fees for the service, and to lead and manage significant change within the FM Service in adapting to the changing requirements of buildings, facilities and service customers.</w:t>
            </w:r>
          </w:p>
          <w:p>
            <w:pPr>
              <w:pStyle w:val="ListParagraph"/>
              <w:numPr>
                <w:ilvl w:val="0"/>
                <w:numId w:val="2"/>
              </w:numPr>
              <w:spacing w:before="120" w:after="120"/>
              <w:jc w:val="both"/>
              <w:rPr>
                <w:rFonts w:ascii="Calibri" w:hAnsi="Calibri" w:cs="Calibri"/>
                <w:sz w:val="22"/>
                <w:szCs w:val="22"/>
              </w:rPr>
            </w:pPr>
            <w:r>
              <w:rPr>
                <w:rFonts w:cs="Calibri" w:ascii="Calibri" w:hAnsi="Calibri"/>
                <w:sz w:val="22"/>
                <w:szCs w:val="22"/>
              </w:rPr>
              <w:t>Extended flexi time scheme in operation.</w:t>
            </w:r>
          </w:p>
          <w:p>
            <w:pPr>
              <w:pStyle w:val="ListParagraph"/>
              <w:numPr>
                <w:ilvl w:val="0"/>
                <w:numId w:val="2"/>
              </w:numPr>
              <w:spacing w:before="120" w:after="120"/>
              <w:jc w:val="both"/>
              <w:rPr>
                <w:rFonts w:ascii="Calibri" w:hAnsi="Calibri" w:cs="Calibri"/>
                <w:sz w:val="22"/>
                <w:szCs w:val="22"/>
              </w:rPr>
            </w:pPr>
            <w:r>
              <w:rPr>
                <w:rFonts w:cs="Calibri" w:ascii="Calibri" w:hAnsi="Calibri"/>
                <w:sz w:val="22"/>
                <w:szCs w:val="22"/>
              </w:rPr>
              <w:t>The post holder will be required to work flexibly outside of normal working hours in accordance with the exigencies of the service, which could reasonably include service responses to emergencies.</w:t>
            </w:r>
          </w:p>
          <w:p>
            <w:pPr>
              <w:pStyle w:val="Normal"/>
              <w:numPr>
                <w:ilvl w:val="0"/>
                <w:numId w:val="2"/>
              </w:numPr>
              <w:spacing w:before="120" w:after="120"/>
              <w:jc w:val="both"/>
              <w:rPr>
                <w:rFonts w:ascii="Calibri" w:hAnsi="Calibri" w:cs="Calibri"/>
                <w:sz w:val="22"/>
                <w:szCs w:val="22"/>
              </w:rPr>
            </w:pPr>
            <w:r>
              <w:rPr>
                <w:rFonts w:cs="Calibri" w:ascii="Calibri" w:hAnsi="Calibri"/>
                <w:sz w:val="22"/>
                <w:szCs w:val="22"/>
              </w:rPr>
              <w:t>The ability to travel inside and outside of the Borough for which expenses will be payable in accordance with the council’s conditions of service.</w:t>
            </w:r>
          </w:p>
          <w:p>
            <w:pPr>
              <w:pStyle w:val="Normal"/>
              <w:numPr>
                <w:ilvl w:val="0"/>
                <w:numId w:val="2"/>
              </w:numPr>
              <w:spacing w:before="120" w:after="120"/>
              <w:jc w:val="both"/>
              <w:rPr>
                <w:rFonts w:ascii="Calibri" w:hAnsi="Calibri" w:cs="Calibri"/>
                <w:sz w:val="22"/>
                <w:szCs w:val="22"/>
              </w:rPr>
            </w:pPr>
            <w:r>
              <w:rPr>
                <w:rFonts w:cs="Calibri" w:ascii="Calibri" w:hAnsi="Calibri"/>
                <w:sz w:val="22"/>
                <w:szCs w:val="22"/>
              </w:rPr>
              <w:t>To attend evening meetings in accordance with service requirements.</w:t>
            </w:r>
          </w:p>
          <w:p>
            <w:pPr>
              <w:pStyle w:val="Normal"/>
              <w:numPr>
                <w:ilvl w:val="0"/>
                <w:numId w:val="2"/>
              </w:numPr>
              <w:spacing w:before="120" w:after="120"/>
              <w:jc w:val="both"/>
              <w:rPr/>
            </w:pPr>
            <w:r>
              <w:rPr>
                <w:rFonts w:cs="Calibri" w:ascii="Calibri" w:hAnsi="Calibri"/>
                <w:sz w:val="22"/>
                <w:szCs w:val="22"/>
              </w:rPr>
              <w:t>Working conditions include being situated on site during the construction periods of all projects. This includes carrying out construction site inspections with exposure to conditions such as adverse weather, construction site hazardous situations such as trips and falls, working at height on scaffolding, confined spaces and in boiler plant rooms.</w:t>
            </w:r>
            <w:r>
              <w:rPr>
                <w:rFonts w:cs="Calibri" w:ascii="Calibri" w:hAnsi="Calibri"/>
                <w:b/>
                <w:bCs/>
                <w:sz w:val="22"/>
                <w:szCs w:val="22"/>
              </w:rPr>
              <w:t xml:space="preserve">  </w:t>
            </w:r>
          </w:p>
        </w:tc>
      </w:tr>
      <w:tr>
        <w:trPr/>
        <w:tc>
          <w:tcPr>
            <w:tcW w:w="10052" w:type="dxa"/>
            <w:gridSpan w:val="5"/>
            <w:tcBorders>
              <w:top w:val="double" w:sz="6" w:space="0" w:color="000000"/>
              <w:left w:val="single" w:sz="6" w:space="0" w:color="000000"/>
              <w:bottom w:val="double" w:sz="6" w:space="0" w:color="000000"/>
              <w:right w:val="single" w:sz="6" w:space="0" w:color="000000"/>
            </w:tcBorders>
            <w:shd w:fill="auto" w:val="clear"/>
            <w:vAlign w:val="center"/>
          </w:tcPr>
          <w:p>
            <w:pPr>
              <w:pStyle w:val="Normal"/>
              <w:spacing w:before="120" w:after="120"/>
              <w:jc w:val="both"/>
              <w:rPr>
                <w:rFonts w:ascii="Calibri" w:hAnsi="Calibri" w:cs="Calibri"/>
                <w:b/>
                <w:b/>
                <w:bCs/>
                <w:sz w:val="22"/>
                <w:szCs w:val="22"/>
              </w:rPr>
            </w:pPr>
            <w:r>
              <w:rPr>
                <w:rFonts w:cs="Calibri" w:ascii="Calibri" w:hAnsi="Calibri"/>
                <w:b/>
                <w:bCs/>
                <w:sz w:val="22"/>
                <w:szCs w:val="22"/>
              </w:rPr>
              <w:t>Purpose and Objectives of Post:</w:t>
            </w:r>
          </w:p>
          <w:p>
            <w:pPr>
              <w:pStyle w:val="ListParagraph"/>
              <w:numPr>
                <w:ilvl w:val="0"/>
                <w:numId w:val="7"/>
              </w:numPr>
              <w:spacing w:before="120" w:after="120"/>
              <w:ind w:left="357" w:right="0" w:hanging="357"/>
              <w:jc w:val="both"/>
              <w:rPr>
                <w:rFonts w:ascii="Calibri" w:hAnsi="Calibri" w:cs="Calibri"/>
                <w:sz w:val="22"/>
                <w:szCs w:val="22"/>
              </w:rPr>
            </w:pPr>
            <w:r>
              <w:rPr>
                <w:rFonts w:cs="Calibri" w:ascii="Calibri" w:hAnsi="Calibri"/>
                <w:sz w:val="22"/>
                <w:szCs w:val="22"/>
              </w:rPr>
              <w:t>To be responsible for client programmes and the effective full leadership, management and development of the Construction &amp; Maintenance team projects including the supervision and management of the Senior Project Managers with minimal managerial direction, ensuring the service is delivered to manage customer expectations and the maintenance of sufficient resources to meet priorities across the specialist areas.</w:t>
            </w:r>
          </w:p>
          <w:p>
            <w:pPr>
              <w:pStyle w:val="ListParagraph"/>
              <w:numPr>
                <w:ilvl w:val="0"/>
                <w:numId w:val="7"/>
              </w:numPr>
              <w:spacing w:before="120" w:after="120"/>
              <w:ind w:left="357" w:right="0" w:hanging="357"/>
              <w:jc w:val="both"/>
              <w:rPr>
                <w:rFonts w:ascii="Calibri" w:hAnsi="Calibri" w:cs="Calibri"/>
                <w:sz w:val="22"/>
                <w:szCs w:val="22"/>
              </w:rPr>
            </w:pPr>
            <w:r>
              <w:rPr>
                <w:rFonts w:cs="Calibri" w:ascii="Calibri" w:hAnsi="Calibri"/>
                <w:sz w:val="22"/>
                <w:szCs w:val="22"/>
              </w:rPr>
              <w:t>To act as senior programme manager and have client management responsibilities. To work closely with the Facilities Management Team and to act as design champion promoting and implementing excellent design strategy across the Council.</w:t>
            </w:r>
          </w:p>
          <w:p>
            <w:pPr>
              <w:pStyle w:val="ListParagraph"/>
              <w:numPr>
                <w:ilvl w:val="0"/>
                <w:numId w:val="7"/>
              </w:numPr>
              <w:spacing w:before="120" w:after="120"/>
              <w:ind w:left="357" w:right="0" w:hanging="357"/>
              <w:jc w:val="both"/>
              <w:rPr>
                <w:rFonts w:ascii="Calibri" w:hAnsi="Calibri" w:cs="Calibri"/>
                <w:sz w:val="22"/>
                <w:szCs w:val="22"/>
              </w:rPr>
            </w:pPr>
            <w:r>
              <w:rPr>
                <w:rFonts w:cs="Calibri" w:ascii="Calibri" w:hAnsi="Calibri"/>
                <w:sz w:val="22"/>
                <w:szCs w:val="22"/>
              </w:rPr>
              <w:t>To design, develop and implement, a strategy for the delivery of stock condition surveys and refurbishment programmes across the Council’s Operational estate in line with the Authority’s Future Asset Plan.</w:t>
            </w:r>
          </w:p>
          <w:p>
            <w:pPr>
              <w:pStyle w:val="ListParagraph"/>
              <w:numPr>
                <w:ilvl w:val="0"/>
                <w:numId w:val="7"/>
              </w:numPr>
              <w:spacing w:before="120" w:after="120"/>
              <w:ind w:left="357" w:right="0" w:hanging="357"/>
              <w:jc w:val="both"/>
              <w:rPr>
                <w:rFonts w:ascii="Calibri" w:hAnsi="Calibri" w:cs="Calibri"/>
                <w:sz w:val="22"/>
                <w:szCs w:val="22"/>
              </w:rPr>
            </w:pPr>
            <w:r>
              <w:rPr>
                <w:rFonts w:cs="Calibri" w:ascii="Calibri" w:hAnsi="Calibri"/>
                <w:sz w:val="22"/>
                <w:szCs w:val="22"/>
              </w:rPr>
              <w:t>To be responsible for providing specialist advice and guidance in relation to the delivery of the Council’s Capital Planned Maintenance Programmes, and work with colleagues to develop a strategic forward maintenance plan.</w:t>
            </w:r>
          </w:p>
          <w:p>
            <w:pPr>
              <w:pStyle w:val="ListParagraph"/>
              <w:numPr>
                <w:ilvl w:val="0"/>
                <w:numId w:val="7"/>
              </w:numPr>
              <w:spacing w:before="120" w:after="120"/>
              <w:ind w:left="357" w:right="0" w:hanging="357"/>
              <w:jc w:val="both"/>
              <w:rPr>
                <w:rFonts w:ascii="Calibri" w:hAnsi="Calibri" w:cs="Calibri"/>
                <w:sz w:val="22"/>
                <w:szCs w:val="22"/>
              </w:rPr>
            </w:pPr>
            <w:r>
              <w:rPr>
                <w:rFonts w:cs="Calibri" w:ascii="Calibri" w:hAnsi="Calibri"/>
                <w:sz w:val="22"/>
                <w:szCs w:val="22"/>
              </w:rPr>
              <w:t>To manage inputs from across the entire organisation including legal, finance, procurement, clients and other internal and external multidisciplinary teams in relation to capital building projects</w:t>
            </w:r>
          </w:p>
          <w:p>
            <w:pPr>
              <w:pStyle w:val="ListParagraph"/>
              <w:numPr>
                <w:ilvl w:val="0"/>
                <w:numId w:val="7"/>
              </w:numPr>
              <w:spacing w:before="120" w:after="120"/>
              <w:ind w:left="357" w:right="0" w:hanging="357"/>
              <w:jc w:val="both"/>
              <w:rPr>
                <w:rFonts w:ascii="Calibri" w:hAnsi="Calibri" w:cs="Calibri"/>
                <w:sz w:val="22"/>
                <w:szCs w:val="22"/>
              </w:rPr>
            </w:pPr>
            <w:r>
              <w:rPr>
                <w:rFonts w:cs="Calibri" w:ascii="Calibri" w:hAnsi="Calibri"/>
                <w:sz w:val="22"/>
                <w:szCs w:val="22"/>
              </w:rPr>
              <w:t>To have responsibility for the implementation of the Construction (Design and Management) Regulations requirements across all Architectural &amp; Building Surveying works delivered by the service.</w:t>
            </w:r>
          </w:p>
        </w:tc>
      </w:tr>
      <w:tr>
        <w:trPr>
          <w:trHeight w:val="35" w:hRule="atLeast"/>
        </w:trPr>
        <w:tc>
          <w:tcPr>
            <w:tcW w:w="10030" w:type="dxa"/>
            <w:gridSpan w:val="4"/>
            <w:tcBorders>
              <w:top w:val="double" w:sz="6" w:space="0" w:color="000000"/>
              <w:left w:val="single" w:sz="6" w:space="0" w:color="000000"/>
              <w:bottom w:val="double" w:sz="6" w:space="0" w:color="000000"/>
            </w:tcBorders>
            <w:shd w:fill="auto" w:val="clear"/>
            <w:vAlign w:val="center"/>
          </w:tcPr>
          <w:p>
            <w:pPr>
              <w:pStyle w:val="Normal"/>
              <w:spacing w:before="120" w:after="120"/>
              <w:rPr/>
            </w:pPr>
            <w:r>
              <w:rPr>
                <w:rFonts w:cs="Calibri" w:ascii="Calibri" w:hAnsi="Calibri"/>
                <w:b/>
                <w:bCs/>
                <w:sz w:val="22"/>
                <w:szCs w:val="22"/>
              </w:rPr>
              <w:t xml:space="preserve">Immediately Responsible to: </w:t>
            </w:r>
            <w:r>
              <w:rPr>
                <w:rFonts w:cs="Calibri" w:ascii="Calibri" w:hAnsi="Calibri"/>
                <w:sz w:val="22"/>
                <w:szCs w:val="22"/>
              </w:rPr>
              <w:t>Head of Construction</w:t>
            </w:r>
          </w:p>
        </w:tc>
        <w:tc>
          <w:tcPr>
            <w:tcW w:w="23" w:type="dxa"/>
            <w:tcBorders>
              <w:left w:val="single" w:sz="6" w:space="0" w:color="000000"/>
            </w:tcBorders>
            <w:shd w:fill="auto" w:val="clear"/>
          </w:tcPr>
          <w:p>
            <w:pPr>
              <w:pStyle w:val="Normal"/>
              <w:snapToGrid w:val="false"/>
              <w:rPr/>
            </w:pPr>
            <w:r>
              <w:rPr/>
            </w:r>
          </w:p>
        </w:tc>
      </w:tr>
      <w:tr>
        <w:trPr>
          <w:trHeight w:val="35" w:hRule="atLeast"/>
        </w:trPr>
        <w:tc>
          <w:tcPr>
            <w:tcW w:w="10030" w:type="dxa"/>
            <w:gridSpan w:val="4"/>
            <w:tcBorders>
              <w:top w:val="double" w:sz="6" w:space="0" w:color="000000"/>
              <w:left w:val="single" w:sz="6" w:space="0" w:color="000000"/>
              <w:bottom w:val="single" w:sz="4" w:space="0" w:color="000000"/>
            </w:tcBorders>
            <w:shd w:fill="auto" w:val="clear"/>
            <w:vAlign w:val="center"/>
          </w:tcPr>
          <w:p>
            <w:pPr>
              <w:pStyle w:val="Normal"/>
              <w:spacing w:before="120" w:after="120"/>
              <w:rPr/>
            </w:pPr>
            <w:r>
              <w:rPr>
                <w:rFonts w:cs="Calibri" w:ascii="Calibri" w:hAnsi="Calibri"/>
                <w:b/>
                <w:bCs/>
                <w:sz w:val="22"/>
                <w:szCs w:val="22"/>
              </w:rPr>
              <w:t xml:space="preserve">Immediately Responsible for:  </w:t>
            </w:r>
            <w:r>
              <w:rPr>
                <w:rFonts w:cs="Calibri" w:ascii="Calibri" w:hAnsi="Calibri"/>
                <w:sz w:val="22"/>
                <w:szCs w:val="22"/>
              </w:rPr>
              <w:t>Senior Project Managers, Project Managers and Quantity Surveyor within the section, external Contractors and Consultants.</w:t>
            </w:r>
          </w:p>
        </w:tc>
        <w:tc>
          <w:tcPr>
            <w:tcW w:w="23" w:type="dxa"/>
            <w:tcBorders>
              <w:left w:val="single" w:sz="6" w:space="0" w:color="000000"/>
            </w:tcBorders>
            <w:shd w:fill="auto" w:val="clear"/>
          </w:tcPr>
          <w:p>
            <w:pPr>
              <w:pStyle w:val="Normal"/>
              <w:snapToGrid w:val="false"/>
              <w:rPr/>
            </w:pPr>
            <w:r>
              <w:rPr/>
            </w:r>
          </w:p>
        </w:tc>
      </w:tr>
      <w:tr>
        <w:trPr/>
        <w:tc>
          <w:tcPr>
            <w:tcW w:w="10030" w:type="dxa"/>
            <w:gridSpan w:val="4"/>
            <w:tcBorders>
              <w:top w:val="single" w:sz="4" w:space="0" w:color="000000"/>
              <w:left w:val="single" w:sz="6" w:space="0" w:color="000000"/>
              <w:bottom w:val="double" w:sz="4" w:space="0" w:color="000000"/>
            </w:tcBorders>
            <w:shd w:fill="auto" w:val="clear"/>
            <w:vAlign w:val="center"/>
          </w:tcPr>
          <w:p>
            <w:pPr>
              <w:pStyle w:val="Normal"/>
              <w:tabs>
                <w:tab w:val="clear" w:pos="720"/>
                <w:tab w:val="left" w:pos="4320" w:leader="none"/>
              </w:tabs>
              <w:spacing w:before="120" w:after="120"/>
              <w:rPr>
                <w:rFonts w:ascii="Calibri" w:hAnsi="Calibri" w:cs="Calibri"/>
                <w:b/>
                <w:b/>
                <w:sz w:val="22"/>
                <w:szCs w:val="22"/>
              </w:rPr>
            </w:pPr>
            <w:r>
              <w:rPr>
                <w:rFonts w:cs="Calibri" w:ascii="Calibri" w:hAnsi="Calibri"/>
                <w:b/>
                <w:sz w:val="22"/>
                <w:szCs w:val="22"/>
              </w:rPr>
              <w:t>Relationships: (Internal and External)</w:t>
            </w:r>
          </w:p>
          <w:p>
            <w:pPr>
              <w:pStyle w:val="Normal"/>
              <w:tabs>
                <w:tab w:val="clear" w:pos="720"/>
                <w:tab w:val="left" w:pos="4320" w:leader="none"/>
              </w:tabs>
              <w:spacing w:before="120" w:after="120"/>
              <w:rPr>
                <w:rFonts w:ascii="Calibri" w:hAnsi="Calibri" w:cs="Calibri"/>
                <w:b/>
                <w:b/>
                <w:sz w:val="22"/>
                <w:szCs w:val="22"/>
              </w:rPr>
            </w:pPr>
            <w:r>
              <w:rPr>
                <w:rFonts w:cs="Calibri" w:ascii="Calibri" w:hAnsi="Calibri"/>
                <w:b/>
                <w:sz w:val="22"/>
                <w:szCs w:val="22"/>
              </w:rPr>
              <w:t>Internal:</w:t>
            </w:r>
          </w:p>
          <w:p>
            <w:pPr>
              <w:pStyle w:val="ListParagraph"/>
              <w:numPr>
                <w:ilvl w:val="0"/>
                <w:numId w:val="10"/>
              </w:numPr>
              <w:tabs>
                <w:tab w:val="clear" w:pos="720"/>
                <w:tab w:val="left" w:pos="4320" w:leader="none"/>
              </w:tabs>
              <w:spacing w:before="120" w:after="120"/>
              <w:rPr>
                <w:rFonts w:ascii="Calibri" w:hAnsi="Calibri" w:cs="Calibri"/>
                <w:bCs/>
                <w:sz w:val="22"/>
                <w:szCs w:val="22"/>
              </w:rPr>
            </w:pPr>
            <w:r>
              <w:rPr>
                <w:rFonts w:cs="Calibri" w:ascii="Calibri" w:hAnsi="Calibri"/>
                <w:bCs/>
                <w:sz w:val="22"/>
                <w:szCs w:val="22"/>
              </w:rPr>
              <w:t xml:space="preserve">All Place Services Employees and other employees of the Authority </w:t>
            </w:r>
          </w:p>
          <w:p>
            <w:pPr>
              <w:pStyle w:val="ListParagraph"/>
              <w:numPr>
                <w:ilvl w:val="0"/>
                <w:numId w:val="10"/>
              </w:numPr>
              <w:tabs>
                <w:tab w:val="clear" w:pos="720"/>
                <w:tab w:val="left" w:pos="4320" w:leader="none"/>
              </w:tabs>
              <w:spacing w:before="120" w:after="120"/>
              <w:rPr>
                <w:rFonts w:ascii="Calibri" w:hAnsi="Calibri" w:cs="Calibri"/>
                <w:bCs/>
                <w:sz w:val="22"/>
                <w:szCs w:val="22"/>
              </w:rPr>
            </w:pPr>
            <w:r>
              <w:rPr>
                <w:rFonts w:cs="Calibri" w:ascii="Calibri" w:hAnsi="Calibri"/>
                <w:bCs/>
                <w:sz w:val="22"/>
                <w:szCs w:val="22"/>
              </w:rPr>
              <w:t>Premises Managers and Responsible Persons</w:t>
            </w:r>
          </w:p>
          <w:p>
            <w:pPr>
              <w:pStyle w:val="ListParagraph"/>
              <w:numPr>
                <w:ilvl w:val="0"/>
                <w:numId w:val="10"/>
              </w:numPr>
              <w:tabs>
                <w:tab w:val="clear" w:pos="720"/>
                <w:tab w:val="left" w:pos="4320" w:leader="none"/>
              </w:tabs>
              <w:spacing w:before="120" w:after="120"/>
              <w:rPr>
                <w:rFonts w:ascii="Calibri" w:hAnsi="Calibri" w:cs="Calibri"/>
                <w:sz w:val="22"/>
                <w:szCs w:val="22"/>
              </w:rPr>
            </w:pPr>
            <w:r>
              <w:rPr>
                <w:rFonts w:cs="Calibri" w:ascii="Calibri" w:hAnsi="Calibri"/>
                <w:sz w:val="22"/>
                <w:szCs w:val="22"/>
              </w:rPr>
              <w:t>Representatives of Client Departments</w:t>
            </w:r>
          </w:p>
          <w:p>
            <w:pPr>
              <w:pStyle w:val="ListParagraph"/>
              <w:numPr>
                <w:ilvl w:val="0"/>
                <w:numId w:val="10"/>
              </w:numPr>
              <w:tabs>
                <w:tab w:val="clear" w:pos="720"/>
                <w:tab w:val="left" w:pos="4320" w:leader="none"/>
              </w:tabs>
              <w:spacing w:before="120" w:after="120"/>
              <w:rPr>
                <w:rFonts w:ascii="Calibri" w:hAnsi="Calibri" w:cs="Calibri"/>
                <w:sz w:val="22"/>
                <w:szCs w:val="22"/>
              </w:rPr>
            </w:pPr>
            <w:r>
              <w:rPr>
                <w:rFonts w:cs="Calibri" w:ascii="Calibri" w:hAnsi="Calibri"/>
                <w:sz w:val="22"/>
                <w:szCs w:val="22"/>
              </w:rPr>
              <w:t>Councillors and MPs</w:t>
            </w:r>
          </w:p>
          <w:p>
            <w:pPr>
              <w:pStyle w:val="Normal"/>
              <w:tabs>
                <w:tab w:val="clear" w:pos="720"/>
                <w:tab w:val="left" w:pos="4320" w:leader="none"/>
              </w:tabs>
              <w:spacing w:before="120" w:after="120"/>
              <w:rPr>
                <w:rFonts w:ascii="Calibri" w:hAnsi="Calibri" w:cs="Calibri"/>
                <w:b/>
                <w:b/>
                <w:sz w:val="22"/>
                <w:szCs w:val="22"/>
              </w:rPr>
            </w:pPr>
            <w:r>
              <w:rPr>
                <w:rFonts w:cs="Calibri" w:ascii="Calibri" w:hAnsi="Calibri"/>
                <w:b/>
                <w:sz w:val="22"/>
                <w:szCs w:val="22"/>
              </w:rPr>
              <w:t>External:</w:t>
            </w:r>
          </w:p>
          <w:p>
            <w:pPr>
              <w:pStyle w:val="ListParagraph"/>
              <w:numPr>
                <w:ilvl w:val="0"/>
                <w:numId w:val="11"/>
              </w:numPr>
              <w:tabs>
                <w:tab w:val="clear" w:pos="720"/>
                <w:tab w:val="left" w:pos="4320" w:leader="none"/>
              </w:tabs>
              <w:spacing w:before="120" w:after="120"/>
              <w:rPr>
                <w:rFonts w:ascii="Calibri" w:hAnsi="Calibri" w:cs="Calibri"/>
                <w:bCs/>
                <w:sz w:val="22"/>
                <w:szCs w:val="22"/>
              </w:rPr>
            </w:pPr>
            <w:r>
              <w:rPr>
                <w:rFonts w:cs="Calibri" w:ascii="Calibri" w:hAnsi="Calibri"/>
                <w:bCs/>
                <w:sz w:val="22"/>
                <w:szCs w:val="22"/>
              </w:rPr>
              <w:t>Representatives of contractors and suppliers</w:t>
            </w:r>
          </w:p>
          <w:p>
            <w:pPr>
              <w:pStyle w:val="ListParagraph"/>
              <w:numPr>
                <w:ilvl w:val="0"/>
                <w:numId w:val="11"/>
              </w:numPr>
              <w:tabs>
                <w:tab w:val="clear" w:pos="720"/>
                <w:tab w:val="left" w:pos="4320" w:leader="none"/>
              </w:tabs>
              <w:spacing w:before="120" w:after="120"/>
              <w:rPr>
                <w:rFonts w:ascii="Calibri" w:hAnsi="Calibri" w:cs="Calibri"/>
                <w:bCs/>
                <w:sz w:val="22"/>
                <w:szCs w:val="22"/>
              </w:rPr>
            </w:pPr>
            <w:r>
              <w:rPr>
                <w:rFonts w:cs="Calibri" w:ascii="Calibri" w:hAnsi="Calibri"/>
                <w:bCs/>
                <w:sz w:val="22"/>
                <w:szCs w:val="22"/>
              </w:rPr>
              <w:t>Statutory Organisations</w:t>
            </w:r>
          </w:p>
          <w:p>
            <w:pPr>
              <w:pStyle w:val="ListParagraph"/>
              <w:numPr>
                <w:ilvl w:val="0"/>
                <w:numId w:val="11"/>
              </w:numPr>
              <w:tabs>
                <w:tab w:val="clear" w:pos="720"/>
                <w:tab w:val="left" w:pos="4320" w:leader="none"/>
              </w:tabs>
              <w:spacing w:before="120" w:after="120"/>
              <w:rPr>
                <w:rFonts w:ascii="Calibri" w:hAnsi="Calibri" w:cs="Calibri"/>
                <w:bCs/>
                <w:sz w:val="22"/>
                <w:szCs w:val="22"/>
              </w:rPr>
            </w:pPr>
            <w:r>
              <w:rPr>
                <w:rFonts w:cs="Calibri" w:ascii="Calibri" w:hAnsi="Calibri"/>
                <w:bCs/>
                <w:sz w:val="22"/>
                <w:szCs w:val="22"/>
              </w:rPr>
              <w:t>Health &amp; Safety Executive</w:t>
            </w:r>
          </w:p>
          <w:p>
            <w:pPr>
              <w:pStyle w:val="ListParagraph"/>
              <w:numPr>
                <w:ilvl w:val="0"/>
                <w:numId w:val="11"/>
              </w:numPr>
              <w:tabs>
                <w:tab w:val="clear" w:pos="720"/>
                <w:tab w:val="left" w:pos="4320" w:leader="none"/>
              </w:tabs>
              <w:spacing w:before="120" w:after="120"/>
              <w:rPr>
                <w:rFonts w:ascii="Calibri" w:hAnsi="Calibri" w:cs="Calibri"/>
                <w:bCs/>
                <w:sz w:val="22"/>
                <w:szCs w:val="22"/>
              </w:rPr>
            </w:pPr>
            <w:r>
              <w:rPr>
                <w:rFonts w:cs="Calibri" w:ascii="Calibri" w:hAnsi="Calibri"/>
                <w:bCs/>
                <w:sz w:val="22"/>
                <w:szCs w:val="22"/>
              </w:rPr>
              <w:t>Members of the Public</w:t>
            </w:r>
          </w:p>
          <w:p>
            <w:pPr>
              <w:pStyle w:val="ListParagraph"/>
              <w:numPr>
                <w:ilvl w:val="0"/>
                <w:numId w:val="11"/>
              </w:numPr>
              <w:tabs>
                <w:tab w:val="clear" w:pos="720"/>
                <w:tab w:val="left" w:pos="4320" w:leader="none"/>
              </w:tabs>
              <w:spacing w:before="120" w:after="120"/>
              <w:rPr>
                <w:rFonts w:ascii="Calibri" w:hAnsi="Calibri" w:cs="Calibri"/>
                <w:sz w:val="22"/>
                <w:szCs w:val="22"/>
              </w:rPr>
            </w:pPr>
            <w:r>
              <w:rPr>
                <w:rFonts w:cs="Calibri" w:ascii="Calibri" w:hAnsi="Calibri"/>
                <w:sz w:val="22"/>
                <w:szCs w:val="22"/>
              </w:rPr>
              <w:t>Head teachers/Governors</w:t>
            </w:r>
          </w:p>
          <w:p>
            <w:pPr>
              <w:pStyle w:val="ListParagraph"/>
              <w:numPr>
                <w:ilvl w:val="0"/>
                <w:numId w:val="11"/>
              </w:numPr>
              <w:tabs>
                <w:tab w:val="clear" w:pos="720"/>
                <w:tab w:val="left" w:pos="4320" w:leader="none"/>
              </w:tabs>
              <w:spacing w:before="120" w:after="120"/>
              <w:rPr>
                <w:rFonts w:ascii="Calibri" w:hAnsi="Calibri" w:cs="Calibri"/>
                <w:sz w:val="22"/>
                <w:szCs w:val="22"/>
              </w:rPr>
            </w:pPr>
            <w:r>
              <w:rPr>
                <w:rFonts w:cs="Calibri" w:ascii="Calibri" w:hAnsi="Calibri"/>
                <w:sz w:val="22"/>
                <w:szCs w:val="22"/>
              </w:rPr>
              <w:t>Heads of Establishments</w:t>
            </w:r>
          </w:p>
          <w:p>
            <w:pPr>
              <w:pStyle w:val="ListParagraph"/>
              <w:numPr>
                <w:ilvl w:val="0"/>
                <w:numId w:val="11"/>
              </w:numPr>
              <w:tabs>
                <w:tab w:val="clear" w:pos="720"/>
                <w:tab w:val="left" w:pos="4320" w:leader="none"/>
              </w:tabs>
              <w:spacing w:before="120" w:after="120"/>
              <w:rPr>
                <w:rFonts w:ascii="Calibri" w:hAnsi="Calibri" w:cs="Calibri"/>
                <w:sz w:val="22"/>
                <w:szCs w:val="22"/>
              </w:rPr>
            </w:pPr>
            <w:r>
              <w:rPr>
                <w:rFonts w:cs="Calibri" w:ascii="Calibri" w:hAnsi="Calibri"/>
                <w:sz w:val="22"/>
                <w:szCs w:val="22"/>
              </w:rPr>
              <w:t>Auditors</w:t>
            </w:r>
          </w:p>
        </w:tc>
        <w:tc>
          <w:tcPr>
            <w:tcW w:w="23" w:type="dxa"/>
            <w:tcBorders>
              <w:left w:val="single" w:sz="6" w:space="0" w:color="000000"/>
            </w:tcBorders>
            <w:shd w:fill="auto" w:val="clear"/>
          </w:tcPr>
          <w:p>
            <w:pPr>
              <w:pStyle w:val="Normal"/>
              <w:snapToGrid w:val="false"/>
              <w:rPr/>
            </w:pPr>
            <w:r>
              <w:rPr/>
            </w:r>
          </w:p>
        </w:tc>
      </w:tr>
      <w:tr>
        <w:trPr>
          <w:trHeight w:val="2150" w:hRule="atLeast"/>
        </w:trPr>
        <w:tc>
          <w:tcPr>
            <w:tcW w:w="10030" w:type="dxa"/>
            <w:gridSpan w:val="4"/>
            <w:tcBorders>
              <w:top w:val="double" w:sz="4" w:space="0" w:color="000000"/>
              <w:left w:val="single" w:sz="6" w:space="0" w:color="000000"/>
              <w:bottom w:val="double" w:sz="4" w:space="0" w:color="000000"/>
            </w:tcBorders>
            <w:shd w:fill="auto" w:val="clear"/>
            <w:vAlign w:val="center"/>
          </w:tcPr>
          <w:p>
            <w:pPr>
              <w:pStyle w:val="Normal"/>
              <w:tabs>
                <w:tab w:val="clear" w:pos="720"/>
                <w:tab w:val="left" w:pos="1440" w:leader="none"/>
                <w:tab w:val="left" w:pos="1980" w:leader="none"/>
              </w:tabs>
              <w:spacing w:before="120" w:after="120"/>
              <w:rPr/>
            </w:pPr>
            <w:r>
              <w:rPr>
                <w:rFonts w:cs="Calibri" w:ascii="Calibri" w:hAnsi="Calibri"/>
                <w:b/>
                <w:sz w:val="22"/>
                <w:szCs w:val="22"/>
              </w:rPr>
              <w:t>Control of Resources</w:t>
            </w:r>
            <w:r>
              <w:rPr>
                <w:rFonts w:cs="Calibri" w:ascii="Calibri" w:hAnsi="Calibri"/>
                <w:sz w:val="22"/>
                <w:szCs w:val="22"/>
              </w:rPr>
              <w:t xml:space="preserve">: </w:t>
            </w:r>
          </w:p>
          <w:p>
            <w:pPr>
              <w:pStyle w:val="Normal"/>
              <w:tabs>
                <w:tab w:val="clear" w:pos="720"/>
                <w:tab w:val="left" w:pos="1440" w:leader="none"/>
                <w:tab w:val="left" w:pos="1980" w:leader="none"/>
              </w:tabs>
              <w:spacing w:before="120" w:after="120"/>
              <w:rPr>
                <w:rFonts w:ascii="Calibri" w:hAnsi="Calibri" w:cs="Calibri"/>
                <w:sz w:val="22"/>
                <w:szCs w:val="22"/>
              </w:rPr>
            </w:pPr>
            <w:r>
              <w:rPr>
                <w:rFonts w:cs="Calibri" w:ascii="Calibri" w:hAnsi="Calibri"/>
                <w:sz w:val="22"/>
                <w:szCs w:val="22"/>
              </w:rPr>
              <w:t>Premises: Responsibility for customer relationships, supplier management.</w:t>
            </w:r>
          </w:p>
          <w:p>
            <w:pPr>
              <w:pStyle w:val="Normal"/>
              <w:tabs>
                <w:tab w:val="clear" w:pos="720"/>
                <w:tab w:val="left" w:pos="1440" w:leader="none"/>
                <w:tab w:val="left" w:pos="1980" w:leader="none"/>
              </w:tabs>
              <w:spacing w:before="120" w:after="120"/>
              <w:rPr/>
            </w:pPr>
            <w:r>
              <w:rPr>
                <w:rFonts w:cs="Calibri" w:ascii="Calibri" w:hAnsi="Calibri"/>
                <w:b/>
                <w:bCs/>
                <w:sz w:val="22"/>
                <w:szCs w:val="22"/>
              </w:rPr>
              <w:t xml:space="preserve">Financial: </w:t>
            </w:r>
            <w:r>
              <w:rPr>
                <w:rFonts w:cs="Calibri" w:ascii="Calibri" w:hAnsi="Calibri"/>
                <w:sz w:val="22"/>
                <w:szCs w:val="22"/>
              </w:rPr>
              <w:t>Responsible for expenditure/income and viability for all allocated Architectural &amp; Building Surveying projects, in accordance with the Council’s standing orders and financial regulations.</w:t>
            </w:r>
          </w:p>
          <w:p>
            <w:pPr>
              <w:pStyle w:val="Normal"/>
              <w:tabs>
                <w:tab w:val="clear" w:pos="720"/>
                <w:tab w:val="left" w:pos="1440" w:leader="none"/>
                <w:tab w:val="left" w:pos="1980" w:leader="none"/>
              </w:tabs>
              <w:spacing w:before="120" w:after="120"/>
              <w:rPr/>
            </w:pPr>
            <w:r>
              <w:rPr>
                <w:rFonts w:cs="Calibri" w:ascii="Calibri" w:hAnsi="Calibri"/>
                <w:b/>
                <w:bCs/>
                <w:sz w:val="22"/>
                <w:szCs w:val="22"/>
              </w:rPr>
              <w:t xml:space="preserve">Personnel: </w:t>
            </w:r>
            <w:r>
              <w:rPr>
                <w:rFonts w:cs="Calibri" w:ascii="Calibri" w:hAnsi="Calibri"/>
                <w:sz w:val="22"/>
                <w:szCs w:val="22"/>
              </w:rPr>
              <w:t>Responsible for the control of staff where allocated to post holder</w:t>
            </w:r>
          </w:p>
          <w:p>
            <w:pPr>
              <w:pStyle w:val="Normal"/>
              <w:tabs>
                <w:tab w:val="clear" w:pos="720"/>
                <w:tab w:val="left" w:pos="1440" w:leader="none"/>
                <w:tab w:val="left" w:pos="1980" w:leader="none"/>
              </w:tabs>
              <w:spacing w:before="120" w:after="120"/>
              <w:rPr/>
            </w:pPr>
            <w:r>
              <w:rPr>
                <w:rFonts w:cs="Calibri" w:ascii="Calibri" w:hAnsi="Calibri"/>
                <w:b/>
                <w:bCs/>
                <w:sz w:val="22"/>
                <w:szCs w:val="22"/>
              </w:rPr>
              <w:t xml:space="preserve">Equipment: </w:t>
            </w:r>
            <w:r>
              <w:rPr>
                <w:rFonts w:cs="Calibri" w:ascii="Calibri" w:hAnsi="Calibri"/>
                <w:sz w:val="22"/>
                <w:szCs w:val="22"/>
              </w:rPr>
              <w:t>Normal Office Equipment and any IT equipment allocated to the postholder.</w:t>
            </w:r>
          </w:p>
          <w:p>
            <w:pPr>
              <w:pStyle w:val="Normal"/>
              <w:tabs>
                <w:tab w:val="clear" w:pos="720"/>
                <w:tab w:val="left" w:pos="1440" w:leader="none"/>
                <w:tab w:val="left" w:pos="1980" w:leader="none"/>
              </w:tabs>
              <w:spacing w:before="120" w:after="120"/>
              <w:rPr/>
            </w:pPr>
            <w:r>
              <w:rPr>
                <w:rFonts w:cs="Calibri" w:ascii="Calibri" w:hAnsi="Calibri"/>
                <w:b/>
                <w:bCs/>
                <w:sz w:val="22"/>
                <w:szCs w:val="22"/>
              </w:rPr>
              <w:t xml:space="preserve">Health &amp; Safety: </w:t>
            </w:r>
            <w:r>
              <w:rPr>
                <w:rFonts w:cs="Calibri" w:ascii="Calibri" w:hAnsi="Calibri"/>
                <w:sz w:val="22"/>
                <w:szCs w:val="22"/>
              </w:rPr>
              <w:t>Health, safety and welfare of building users/on-site contractors/members of the public/employees.</w:t>
            </w:r>
          </w:p>
        </w:tc>
        <w:tc>
          <w:tcPr>
            <w:tcW w:w="23" w:type="dxa"/>
            <w:tcBorders>
              <w:left w:val="single" w:sz="6" w:space="0" w:color="000000"/>
            </w:tcBorders>
            <w:shd w:fill="auto" w:val="clear"/>
          </w:tcPr>
          <w:p>
            <w:pPr>
              <w:pStyle w:val="Normal"/>
              <w:snapToGrid w:val="false"/>
              <w:rPr/>
            </w:pPr>
            <w:r>
              <w:rPr/>
            </w:r>
          </w:p>
        </w:tc>
      </w:tr>
      <w:tr>
        <w:trPr/>
        <w:tc>
          <w:tcPr>
            <w:tcW w:w="10030" w:type="dxa"/>
            <w:gridSpan w:val="4"/>
            <w:tcBorders>
              <w:top w:val="double" w:sz="4" w:space="0" w:color="000000"/>
              <w:left w:val="single" w:sz="6" w:space="0" w:color="000000"/>
              <w:bottom w:val="single" w:sz="4" w:space="0" w:color="000000"/>
            </w:tcBorders>
            <w:shd w:fill="auto" w:val="clear"/>
            <w:vAlign w:val="center"/>
          </w:tcPr>
          <w:p>
            <w:pPr>
              <w:pStyle w:val="Normal"/>
              <w:tabs>
                <w:tab w:val="clear" w:pos="720"/>
                <w:tab w:val="left" w:pos="1440" w:leader="none"/>
                <w:tab w:val="left" w:pos="1980" w:leader="none"/>
              </w:tabs>
              <w:spacing w:before="120" w:after="120"/>
              <w:jc w:val="both"/>
              <w:rPr>
                <w:rFonts w:ascii="Calibri" w:hAnsi="Calibri" w:cs="Calibri"/>
                <w:b/>
                <w:b/>
                <w:sz w:val="22"/>
                <w:szCs w:val="22"/>
              </w:rPr>
            </w:pPr>
            <w:r>
              <w:rPr>
                <w:rFonts w:cs="Calibri" w:ascii="Calibri" w:hAnsi="Calibri"/>
                <w:b/>
                <w:sz w:val="22"/>
                <w:szCs w:val="22"/>
              </w:rPr>
              <w:t>Duties/Responsibilities:</w:t>
            </w:r>
          </w:p>
          <w:p>
            <w:pPr>
              <w:pStyle w:val="Normal"/>
              <w:spacing w:before="120" w:after="120"/>
              <w:jc w:val="both"/>
              <w:rPr>
                <w:rFonts w:ascii="Calibri" w:hAnsi="Calibri" w:cs="Calibri"/>
                <w:b/>
                <w:b/>
                <w:bCs/>
                <w:sz w:val="22"/>
                <w:szCs w:val="22"/>
              </w:rPr>
            </w:pPr>
            <w:r>
              <w:rPr>
                <w:rFonts w:cs="Calibri" w:ascii="Calibri" w:hAnsi="Calibri"/>
                <w:b/>
                <w:bCs/>
                <w:sz w:val="22"/>
                <w:szCs w:val="22"/>
              </w:rPr>
              <w:t>Managing Services:</w:t>
            </w:r>
          </w:p>
          <w:p>
            <w:pPr>
              <w:pStyle w:val="Normal"/>
              <w:numPr>
                <w:ilvl w:val="0"/>
                <w:numId w:val="3"/>
              </w:numPr>
              <w:spacing w:before="60" w:after="60"/>
              <w:jc w:val="both"/>
              <w:rPr>
                <w:rFonts w:ascii="Calibri" w:hAnsi="Calibri" w:cs="Calibri"/>
                <w:sz w:val="22"/>
                <w:szCs w:val="22"/>
              </w:rPr>
            </w:pPr>
            <w:r>
              <w:rPr>
                <w:rFonts w:cs="Calibri" w:ascii="Calibri" w:hAnsi="Calibri"/>
                <w:sz w:val="22"/>
                <w:szCs w:val="22"/>
              </w:rPr>
              <w:t>To be accountable for the successful delivery of client programmes:</w:t>
            </w:r>
          </w:p>
          <w:p>
            <w:pPr>
              <w:pStyle w:val="ListParagraph"/>
              <w:numPr>
                <w:ilvl w:val="0"/>
                <w:numId w:val="12"/>
              </w:numPr>
              <w:spacing w:before="60" w:after="60"/>
              <w:jc w:val="both"/>
              <w:rPr>
                <w:rFonts w:ascii="Calibri" w:hAnsi="Calibri" w:cs="Calibri"/>
                <w:sz w:val="22"/>
                <w:szCs w:val="22"/>
              </w:rPr>
            </w:pPr>
            <w:r>
              <w:rPr>
                <w:rFonts w:cs="Calibri" w:ascii="Calibri" w:hAnsi="Calibri"/>
                <w:sz w:val="22"/>
                <w:szCs w:val="22"/>
              </w:rPr>
              <w:t>Devise, agree and monitor programme targets, measure performance.</w:t>
            </w:r>
          </w:p>
          <w:p>
            <w:pPr>
              <w:pStyle w:val="ListParagraph"/>
              <w:numPr>
                <w:ilvl w:val="0"/>
                <w:numId w:val="12"/>
              </w:numPr>
              <w:spacing w:before="60" w:after="60"/>
              <w:jc w:val="both"/>
              <w:rPr>
                <w:rFonts w:ascii="Calibri" w:hAnsi="Calibri" w:cs="Calibri"/>
                <w:sz w:val="22"/>
                <w:szCs w:val="22"/>
              </w:rPr>
            </w:pPr>
            <w:r>
              <w:rPr>
                <w:rFonts w:cs="Calibri" w:ascii="Calibri" w:hAnsi="Calibri"/>
                <w:sz w:val="22"/>
                <w:szCs w:val="22"/>
              </w:rPr>
              <w:t>Develop clear, precise objectives for programme delivery.</w:t>
            </w:r>
          </w:p>
          <w:p>
            <w:pPr>
              <w:pStyle w:val="ListParagraph"/>
              <w:numPr>
                <w:ilvl w:val="0"/>
                <w:numId w:val="12"/>
              </w:numPr>
              <w:spacing w:before="60" w:after="60"/>
              <w:jc w:val="both"/>
              <w:rPr>
                <w:rFonts w:ascii="Calibri" w:hAnsi="Calibri" w:cs="Calibri"/>
                <w:sz w:val="22"/>
                <w:szCs w:val="22"/>
              </w:rPr>
            </w:pPr>
            <w:r>
              <w:rPr>
                <w:rFonts w:cs="Calibri" w:ascii="Calibri" w:hAnsi="Calibri"/>
                <w:sz w:val="22"/>
                <w:szCs w:val="22"/>
              </w:rPr>
              <w:t>Identify resource requirements and develop, manage and lead multi-disciplinary teams to deliver programmes of work.</w:t>
            </w:r>
          </w:p>
          <w:p>
            <w:pPr>
              <w:pStyle w:val="ListParagraph"/>
              <w:numPr>
                <w:ilvl w:val="0"/>
                <w:numId w:val="12"/>
              </w:numPr>
              <w:spacing w:before="60" w:after="60"/>
              <w:jc w:val="both"/>
              <w:rPr>
                <w:rFonts w:ascii="Calibri" w:hAnsi="Calibri" w:cs="Calibri"/>
                <w:sz w:val="22"/>
                <w:szCs w:val="22"/>
              </w:rPr>
            </w:pPr>
            <w:r>
              <w:rPr>
                <w:rFonts w:cs="Calibri" w:ascii="Calibri" w:hAnsi="Calibri"/>
                <w:sz w:val="22"/>
                <w:szCs w:val="22"/>
              </w:rPr>
              <w:t>To be accountable for the provision of a programme risk management framework.</w:t>
            </w:r>
          </w:p>
          <w:p>
            <w:pPr>
              <w:pStyle w:val="ListParagraph"/>
              <w:numPr>
                <w:ilvl w:val="0"/>
                <w:numId w:val="12"/>
              </w:numPr>
              <w:spacing w:before="60" w:after="60"/>
              <w:jc w:val="both"/>
              <w:rPr>
                <w:rFonts w:ascii="Calibri" w:hAnsi="Calibri" w:cs="Calibri"/>
                <w:sz w:val="22"/>
                <w:szCs w:val="22"/>
              </w:rPr>
            </w:pPr>
            <w:r>
              <w:rPr>
                <w:rFonts w:cs="Calibri" w:ascii="Calibri" w:hAnsi="Calibri"/>
                <w:sz w:val="22"/>
                <w:szCs w:val="22"/>
              </w:rPr>
              <w:t>To produce comprehensive, integrated Project Plans and other project documentation to enable programmes to be managed against a clear set of defined deliverables and milestones.</w:t>
            </w:r>
          </w:p>
          <w:p>
            <w:pPr>
              <w:pStyle w:val="ListParagraph"/>
              <w:numPr>
                <w:ilvl w:val="0"/>
                <w:numId w:val="12"/>
              </w:numPr>
              <w:spacing w:before="60" w:after="60"/>
              <w:jc w:val="both"/>
              <w:rPr>
                <w:rFonts w:ascii="Calibri" w:hAnsi="Calibri" w:cs="Calibri"/>
                <w:sz w:val="22"/>
                <w:szCs w:val="22"/>
              </w:rPr>
            </w:pPr>
            <w:r>
              <w:rPr>
                <w:rFonts w:cs="Calibri" w:ascii="Calibri" w:hAnsi="Calibri"/>
                <w:sz w:val="22"/>
                <w:szCs w:val="22"/>
              </w:rPr>
              <w:t>To produce communication plans to ensure stakeholders are appraised at a level consistent with their relationship to the project.</w:t>
            </w:r>
          </w:p>
          <w:p>
            <w:pPr>
              <w:pStyle w:val="ListParagraph"/>
              <w:numPr>
                <w:ilvl w:val="0"/>
                <w:numId w:val="12"/>
              </w:numPr>
              <w:spacing w:before="60" w:after="60"/>
              <w:jc w:val="both"/>
              <w:rPr>
                <w:rFonts w:ascii="Calibri" w:hAnsi="Calibri" w:cs="Calibri"/>
                <w:sz w:val="22"/>
                <w:szCs w:val="22"/>
              </w:rPr>
            </w:pPr>
            <w:r>
              <w:rPr>
                <w:rFonts w:cs="Calibri" w:ascii="Calibri" w:hAnsi="Calibri"/>
                <w:sz w:val="22"/>
                <w:szCs w:val="22"/>
              </w:rPr>
              <w:t>To lead programme/project teams, comprising a number of professional project staff assigned to the programme/project.  Manage team performance through the setting of clear objectives and targets.</w:t>
            </w:r>
          </w:p>
          <w:p>
            <w:pPr>
              <w:pStyle w:val="ListParagraph"/>
              <w:numPr>
                <w:ilvl w:val="0"/>
                <w:numId w:val="12"/>
              </w:numPr>
              <w:spacing w:before="60" w:after="60"/>
              <w:jc w:val="both"/>
              <w:rPr>
                <w:rFonts w:ascii="Calibri" w:hAnsi="Calibri" w:cs="Calibri"/>
                <w:sz w:val="22"/>
                <w:szCs w:val="22"/>
              </w:rPr>
            </w:pPr>
            <w:r>
              <w:rPr>
                <w:rFonts w:cs="Calibri" w:ascii="Calibri" w:hAnsi="Calibri"/>
                <w:sz w:val="22"/>
                <w:szCs w:val="22"/>
              </w:rPr>
              <w:t>To develop and implement a comprehensive programme commercial strategy, utilising framework arrangements, service level agreements and contractor relationships, as appropriate.  Developing a procurement plan ensuring that the most appropriate procurement method and form of contract are utilised.</w:t>
            </w:r>
          </w:p>
          <w:p>
            <w:pPr>
              <w:pStyle w:val="Normal"/>
              <w:numPr>
                <w:ilvl w:val="0"/>
                <w:numId w:val="3"/>
              </w:numPr>
              <w:spacing w:before="60" w:after="60"/>
              <w:jc w:val="both"/>
              <w:rPr>
                <w:rFonts w:ascii="Calibri" w:hAnsi="Calibri" w:cs="Calibri"/>
                <w:sz w:val="22"/>
                <w:szCs w:val="22"/>
              </w:rPr>
            </w:pPr>
            <w:r>
              <w:rPr>
                <w:rFonts w:cs="Calibri" w:ascii="Calibri" w:hAnsi="Calibri"/>
                <w:sz w:val="22"/>
                <w:szCs w:val="22"/>
              </w:rPr>
              <w:t>To be accountable to the Head of Construction for the achievement of the strategic objectives for the service area.  In doing so the post holder will:</w:t>
            </w:r>
          </w:p>
          <w:p>
            <w:pPr>
              <w:pStyle w:val="ListParagraph"/>
              <w:numPr>
                <w:ilvl w:val="0"/>
                <w:numId w:val="13"/>
              </w:numPr>
              <w:spacing w:before="60" w:after="60"/>
              <w:jc w:val="both"/>
              <w:rPr>
                <w:rFonts w:ascii="Calibri" w:hAnsi="Calibri" w:cs="Calibri"/>
                <w:sz w:val="22"/>
                <w:szCs w:val="22"/>
              </w:rPr>
            </w:pPr>
            <w:r>
              <w:rPr>
                <w:rFonts w:cs="Calibri" w:ascii="Calibri" w:hAnsi="Calibri"/>
                <w:sz w:val="22"/>
                <w:szCs w:val="22"/>
              </w:rPr>
              <w:t>Devise, agree, monitor and achieve operational targets for service delivery and management of performance.</w:t>
            </w:r>
          </w:p>
          <w:p>
            <w:pPr>
              <w:pStyle w:val="ListParagraph"/>
              <w:numPr>
                <w:ilvl w:val="0"/>
                <w:numId w:val="13"/>
              </w:numPr>
              <w:spacing w:before="60" w:after="60"/>
              <w:jc w:val="both"/>
              <w:rPr>
                <w:rFonts w:ascii="Calibri" w:hAnsi="Calibri" w:cs="Calibri"/>
                <w:sz w:val="22"/>
                <w:szCs w:val="22"/>
              </w:rPr>
            </w:pPr>
            <w:r>
              <w:rPr>
                <w:rFonts w:cs="Calibri" w:ascii="Calibri" w:hAnsi="Calibri"/>
                <w:sz w:val="22"/>
                <w:szCs w:val="22"/>
              </w:rPr>
              <w:t>Identify clear, precise objectives that will enable the achievement of service aims, agree realistic targets as performance criteria and identify service efficiency/effectiveness standards.</w:t>
            </w:r>
          </w:p>
          <w:p>
            <w:pPr>
              <w:pStyle w:val="ListParagraph"/>
              <w:numPr>
                <w:ilvl w:val="0"/>
                <w:numId w:val="13"/>
              </w:numPr>
              <w:spacing w:before="60" w:after="60"/>
              <w:jc w:val="both"/>
              <w:rPr>
                <w:rFonts w:ascii="Calibri" w:hAnsi="Calibri" w:cs="Calibri"/>
                <w:sz w:val="22"/>
                <w:szCs w:val="22"/>
              </w:rPr>
            </w:pPr>
            <w:r>
              <w:rPr>
                <w:rFonts w:cs="Calibri" w:ascii="Calibri" w:hAnsi="Calibri"/>
                <w:sz w:val="22"/>
                <w:szCs w:val="22"/>
              </w:rPr>
              <w:t>Prepare service plans, monitor and review, managing changes required within the scope of the plans, specifying any required changes.</w:t>
            </w:r>
          </w:p>
          <w:p>
            <w:pPr>
              <w:pStyle w:val="ListParagraph"/>
              <w:numPr>
                <w:ilvl w:val="0"/>
                <w:numId w:val="13"/>
              </w:numPr>
              <w:spacing w:before="60" w:after="60"/>
              <w:jc w:val="both"/>
              <w:rPr>
                <w:rFonts w:ascii="Calibri" w:hAnsi="Calibri" w:cs="Calibri"/>
                <w:sz w:val="22"/>
                <w:szCs w:val="22"/>
              </w:rPr>
            </w:pPr>
            <w:r>
              <w:rPr>
                <w:rFonts w:cs="Calibri" w:ascii="Calibri" w:hAnsi="Calibri"/>
                <w:sz w:val="22"/>
                <w:szCs w:val="22"/>
              </w:rPr>
              <w:t>Participate actively in service specific working groups bringing individual expertise and a commitment to work with other services and colleagues to achieve targets set within Performance Plans.</w:t>
            </w:r>
          </w:p>
          <w:p>
            <w:pPr>
              <w:pStyle w:val="ListParagraph"/>
              <w:numPr>
                <w:ilvl w:val="0"/>
                <w:numId w:val="13"/>
              </w:numPr>
              <w:spacing w:before="60" w:after="60"/>
              <w:jc w:val="both"/>
              <w:rPr>
                <w:rFonts w:ascii="Calibri" w:hAnsi="Calibri" w:cs="Calibri"/>
                <w:sz w:val="22"/>
                <w:szCs w:val="22"/>
              </w:rPr>
            </w:pPr>
            <w:r>
              <w:rPr>
                <w:rFonts w:cs="Calibri" w:ascii="Calibri" w:hAnsi="Calibri"/>
                <w:sz w:val="22"/>
                <w:szCs w:val="22"/>
              </w:rPr>
              <w:t>Maintain a process of dynamic planning for the management and development of the areas of service.</w:t>
            </w:r>
          </w:p>
          <w:p>
            <w:pPr>
              <w:pStyle w:val="ListParagraph"/>
              <w:numPr>
                <w:ilvl w:val="0"/>
                <w:numId w:val="13"/>
              </w:numPr>
              <w:spacing w:before="60" w:after="60"/>
              <w:jc w:val="both"/>
              <w:rPr>
                <w:rFonts w:ascii="Calibri" w:hAnsi="Calibri" w:cs="Calibri"/>
                <w:sz w:val="22"/>
                <w:szCs w:val="22"/>
              </w:rPr>
            </w:pPr>
            <w:r>
              <w:rPr>
                <w:rFonts w:cs="Calibri" w:ascii="Calibri" w:hAnsi="Calibri"/>
                <w:sz w:val="22"/>
                <w:szCs w:val="22"/>
              </w:rPr>
              <w:t>Encourage participation of service users in assessment, planning, decision making and review of services provided to them so that they are able to make informed choices.</w:t>
            </w:r>
          </w:p>
          <w:p>
            <w:pPr>
              <w:pStyle w:val="ListParagraph"/>
              <w:numPr>
                <w:ilvl w:val="0"/>
                <w:numId w:val="13"/>
              </w:numPr>
              <w:spacing w:before="60" w:after="60"/>
              <w:jc w:val="both"/>
              <w:rPr>
                <w:rFonts w:ascii="Calibri" w:hAnsi="Calibri" w:cs="Calibri"/>
                <w:sz w:val="22"/>
                <w:szCs w:val="22"/>
              </w:rPr>
            </w:pPr>
            <w:r>
              <w:rPr>
                <w:rFonts w:cs="Calibri" w:ascii="Calibri" w:hAnsi="Calibri"/>
                <w:sz w:val="22"/>
                <w:szCs w:val="22"/>
              </w:rPr>
              <w:t>Participate in both in-service and cross-service communication and to develop positive networks in order to enhance co-ordination of services and to exchange ideas and best practice.</w:t>
            </w:r>
          </w:p>
          <w:p>
            <w:pPr>
              <w:pStyle w:val="ListParagraph"/>
              <w:numPr>
                <w:ilvl w:val="0"/>
                <w:numId w:val="13"/>
              </w:numPr>
              <w:spacing w:before="60" w:after="60"/>
              <w:jc w:val="both"/>
              <w:rPr>
                <w:rFonts w:ascii="Calibri" w:hAnsi="Calibri" w:cs="Calibri"/>
                <w:sz w:val="22"/>
                <w:szCs w:val="22"/>
              </w:rPr>
            </w:pPr>
            <w:r>
              <w:rPr>
                <w:rFonts w:cs="Calibri" w:ascii="Calibri" w:hAnsi="Calibri"/>
                <w:sz w:val="22"/>
                <w:szCs w:val="22"/>
              </w:rPr>
              <w:t>Accountable to the Head of Construction for the performance of the service area, including financial viability.</w:t>
            </w:r>
          </w:p>
          <w:p>
            <w:pPr>
              <w:pStyle w:val="ListParagraph"/>
              <w:numPr>
                <w:ilvl w:val="0"/>
                <w:numId w:val="13"/>
              </w:numPr>
              <w:spacing w:before="60" w:after="60"/>
              <w:jc w:val="both"/>
              <w:rPr>
                <w:rFonts w:ascii="Calibri" w:hAnsi="Calibri" w:cs="Calibri"/>
                <w:sz w:val="22"/>
                <w:szCs w:val="22"/>
              </w:rPr>
            </w:pPr>
            <w:r>
              <w:rPr>
                <w:rFonts w:cs="Calibri" w:ascii="Calibri" w:hAnsi="Calibri"/>
                <w:sz w:val="22"/>
                <w:szCs w:val="22"/>
              </w:rPr>
              <w:t>To provide and deliver reports to any of the Council’s Committees.</w:t>
            </w:r>
          </w:p>
          <w:p>
            <w:pPr>
              <w:pStyle w:val="Normal"/>
              <w:numPr>
                <w:ilvl w:val="0"/>
                <w:numId w:val="3"/>
              </w:numPr>
              <w:spacing w:before="60" w:after="60"/>
              <w:jc w:val="both"/>
              <w:rPr>
                <w:rFonts w:ascii="Calibri" w:hAnsi="Calibri" w:cs="Calibri"/>
                <w:sz w:val="22"/>
                <w:szCs w:val="22"/>
              </w:rPr>
            </w:pPr>
            <w:r>
              <w:rPr>
                <w:rFonts w:cs="Calibri" w:ascii="Calibri" w:hAnsi="Calibri"/>
                <w:sz w:val="22"/>
                <w:szCs w:val="22"/>
              </w:rPr>
              <w:t>To be responsible for the design, supervision and finance of all architectural and building surveying work undertaken by the Architectural and Building Surveying Section in accordance with:</w:t>
            </w:r>
          </w:p>
          <w:p>
            <w:pPr>
              <w:pStyle w:val="ListParagraph"/>
              <w:numPr>
                <w:ilvl w:val="0"/>
                <w:numId w:val="14"/>
              </w:numPr>
              <w:spacing w:before="60" w:after="60"/>
              <w:jc w:val="both"/>
              <w:rPr>
                <w:rFonts w:ascii="Calibri" w:hAnsi="Calibri" w:cs="Calibri"/>
                <w:sz w:val="22"/>
                <w:szCs w:val="22"/>
              </w:rPr>
            </w:pPr>
            <w:r>
              <w:rPr>
                <w:rFonts w:cs="Calibri" w:ascii="Calibri" w:hAnsi="Calibri"/>
                <w:sz w:val="22"/>
                <w:szCs w:val="22"/>
              </w:rPr>
              <w:t>Best practice and continuous improvement</w:t>
            </w:r>
          </w:p>
          <w:p>
            <w:pPr>
              <w:pStyle w:val="ListParagraph"/>
              <w:numPr>
                <w:ilvl w:val="0"/>
                <w:numId w:val="14"/>
              </w:numPr>
              <w:spacing w:before="60" w:after="60"/>
              <w:jc w:val="both"/>
              <w:rPr>
                <w:rFonts w:ascii="Calibri" w:hAnsi="Calibri" w:cs="Calibri"/>
                <w:sz w:val="22"/>
                <w:szCs w:val="22"/>
              </w:rPr>
            </w:pPr>
            <w:r>
              <w:rPr>
                <w:rFonts w:cs="Calibri" w:ascii="Calibri" w:hAnsi="Calibri"/>
                <w:sz w:val="22"/>
                <w:szCs w:val="22"/>
              </w:rPr>
              <w:t>Council policies, standing orders and financial regulations</w:t>
            </w:r>
          </w:p>
          <w:p>
            <w:pPr>
              <w:pStyle w:val="ListParagraph"/>
              <w:numPr>
                <w:ilvl w:val="0"/>
                <w:numId w:val="14"/>
              </w:numPr>
              <w:spacing w:before="60" w:after="60"/>
              <w:jc w:val="both"/>
              <w:rPr>
                <w:rFonts w:ascii="Calibri" w:hAnsi="Calibri" w:cs="Calibri"/>
                <w:sz w:val="22"/>
                <w:szCs w:val="22"/>
              </w:rPr>
            </w:pPr>
            <w:r>
              <w:rPr>
                <w:rFonts w:cs="Calibri" w:ascii="Calibri" w:hAnsi="Calibri"/>
                <w:sz w:val="22"/>
                <w:szCs w:val="22"/>
              </w:rPr>
              <w:t>Client requirements</w:t>
            </w:r>
          </w:p>
          <w:p>
            <w:pPr>
              <w:pStyle w:val="ListParagraph"/>
              <w:numPr>
                <w:ilvl w:val="0"/>
                <w:numId w:val="14"/>
              </w:numPr>
              <w:spacing w:before="60" w:after="60"/>
              <w:jc w:val="both"/>
              <w:rPr>
                <w:rFonts w:ascii="Calibri" w:hAnsi="Calibri" w:cs="Calibri"/>
                <w:sz w:val="22"/>
                <w:szCs w:val="22"/>
              </w:rPr>
            </w:pPr>
            <w:r>
              <w:rPr>
                <w:rFonts w:cs="Calibri" w:ascii="Calibri" w:hAnsi="Calibri"/>
                <w:sz w:val="22"/>
                <w:szCs w:val="22"/>
              </w:rPr>
              <w:t>Relevant legislation, policies and standards</w:t>
            </w:r>
          </w:p>
          <w:p>
            <w:pPr>
              <w:pStyle w:val="ListParagraph"/>
              <w:numPr>
                <w:ilvl w:val="0"/>
                <w:numId w:val="14"/>
              </w:numPr>
              <w:spacing w:before="60" w:after="60"/>
              <w:jc w:val="both"/>
              <w:rPr>
                <w:rFonts w:ascii="Calibri" w:hAnsi="Calibri" w:cs="Calibri"/>
                <w:sz w:val="22"/>
                <w:szCs w:val="22"/>
              </w:rPr>
            </w:pPr>
            <w:r>
              <w:rPr>
                <w:rFonts w:cs="Calibri" w:ascii="Calibri" w:hAnsi="Calibri"/>
                <w:sz w:val="22"/>
                <w:szCs w:val="22"/>
              </w:rPr>
              <w:t>Council and corporate initiatives</w:t>
            </w:r>
          </w:p>
          <w:p>
            <w:pPr>
              <w:pStyle w:val="Normal"/>
              <w:numPr>
                <w:ilvl w:val="0"/>
                <w:numId w:val="3"/>
              </w:numPr>
              <w:spacing w:before="60" w:after="60"/>
              <w:jc w:val="both"/>
              <w:rPr>
                <w:rFonts w:ascii="Calibri" w:hAnsi="Calibri" w:cs="Calibri"/>
                <w:sz w:val="22"/>
                <w:szCs w:val="22"/>
              </w:rPr>
            </w:pPr>
            <w:r>
              <w:rPr>
                <w:rFonts w:cs="Calibri" w:ascii="Calibri" w:hAnsi="Calibri"/>
                <w:sz w:val="22"/>
                <w:szCs w:val="22"/>
              </w:rPr>
              <w:t>To provide professional advice and expertise on all architectural/Building Surveying and related matters to all other Services, the Council generally and all designated clients.</w:t>
            </w:r>
          </w:p>
          <w:p>
            <w:pPr>
              <w:pStyle w:val="Normal"/>
              <w:numPr>
                <w:ilvl w:val="0"/>
                <w:numId w:val="3"/>
              </w:numPr>
              <w:spacing w:before="60" w:after="60"/>
              <w:jc w:val="both"/>
              <w:rPr>
                <w:rFonts w:ascii="Calibri" w:hAnsi="Calibri" w:cs="Calibri"/>
                <w:sz w:val="22"/>
                <w:szCs w:val="22"/>
              </w:rPr>
            </w:pPr>
            <w:r>
              <w:rPr>
                <w:rFonts w:cs="Calibri" w:ascii="Calibri" w:hAnsi="Calibri"/>
                <w:sz w:val="22"/>
                <w:szCs w:val="22"/>
              </w:rPr>
              <w:t>To be responsible for the work of the Construction &amp; Maintenance team and in conjunction with the Management Team ensure that all programme, performance and quality targets are met and exceeded wherever possible.</w:t>
            </w:r>
          </w:p>
          <w:p>
            <w:pPr>
              <w:pStyle w:val="Normal"/>
              <w:numPr>
                <w:ilvl w:val="0"/>
                <w:numId w:val="3"/>
              </w:numPr>
              <w:spacing w:before="60" w:after="60"/>
              <w:jc w:val="both"/>
              <w:rPr>
                <w:rFonts w:ascii="Calibri" w:hAnsi="Calibri" w:cs="Calibri"/>
                <w:sz w:val="22"/>
                <w:szCs w:val="22"/>
              </w:rPr>
            </w:pPr>
            <w:r>
              <w:rPr>
                <w:rFonts w:cs="Calibri" w:ascii="Calibri" w:hAnsi="Calibri"/>
                <w:sz w:val="22"/>
                <w:szCs w:val="22"/>
              </w:rPr>
              <w:t>To be responsible for the procurement, appointment, managing and monitoring of all external consultants/partners relating to the service area.</w:t>
            </w:r>
          </w:p>
          <w:p>
            <w:pPr>
              <w:pStyle w:val="Normal"/>
              <w:numPr>
                <w:ilvl w:val="0"/>
                <w:numId w:val="3"/>
              </w:numPr>
              <w:spacing w:before="60" w:after="60"/>
              <w:jc w:val="both"/>
              <w:rPr>
                <w:rFonts w:ascii="Calibri" w:hAnsi="Calibri" w:cs="Calibri"/>
                <w:sz w:val="22"/>
                <w:szCs w:val="22"/>
              </w:rPr>
            </w:pPr>
            <w:r>
              <w:rPr>
                <w:rFonts w:cs="Calibri" w:ascii="Calibri" w:hAnsi="Calibri"/>
                <w:sz w:val="22"/>
                <w:szCs w:val="22"/>
              </w:rPr>
              <w:t>To be responsible for the selection of contractors/sub-contractors for select tender lists in conjunction with the other Programme Managers.</w:t>
            </w:r>
          </w:p>
          <w:p>
            <w:pPr>
              <w:pStyle w:val="Normal"/>
              <w:numPr>
                <w:ilvl w:val="0"/>
                <w:numId w:val="3"/>
              </w:numPr>
              <w:spacing w:before="60" w:after="60"/>
              <w:jc w:val="both"/>
              <w:rPr>
                <w:rFonts w:ascii="Calibri" w:hAnsi="Calibri" w:cs="Calibri"/>
                <w:sz w:val="22"/>
                <w:szCs w:val="22"/>
              </w:rPr>
            </w:pPr>
            <w:r>
              <w:rPr>
                <w:rFonts w:cs="Calibri" w:ascii="Calibri" w:hAnsi="Calibri"/>
                <w:sz w:val="22"/>
                <w:szCs w:val="22"/>
              </w:rPr>
              <w:t>To prepare and ensure that all necessary information on programmes and performance criteria is recorded and available at all times.</w:t>
            </w:r>
          </w:p>
          <w:p>
            <w:pPr>
              <w:pStyle w:val="Normal"/>
              <w:numPr>
                <w:ilvl w:val="0"/>
                <w:numId w:val="3"/>
              </w:numPr>
              <w:spacing w:before="60" w:after="60"/>
              <w:jc w:val="both"/>
              <w:rPr>
                <w:rFonts w:ascii="Calibri" w:hAnsi="Calibri" w:cs="Calibri"/>
                <w:sz w:val="22"/>
                <w:szCs w:val="22"/>
              </w:rPr>
            </w:pPr>
            <w:r>
              <w:rPr>
                <w:rFonts w:cs="Calibri" w:ascii="Calibri" w:hAnsi="Calibri"/>
                <w:sz w:val="22"/>
                <w:szCs w:val="22"/>
              </w:rPr>
              <w:t>To be responsible for communications relating to projects in the Corporate Assets &amp; Facilities Management section.</w:t>
            </w:r>
          </w:p>
          <w:p>
            <w:pPr>
              <w:pStyle w:val="Normal"/>
              <w:numPr>
                <w:ilvl w:val="0"/>
                <w:numId w:val="3"/>
              </w:numPr>
              <w:spacing w:before="60" w:after="60"/>
              <w:jc w:val="both"/>
              <w:rPr>
                <w:rFonts w:ascii="Calibri" w:hAnsi="Calibri" w:cs="Calibri"/>
                <w:sz w:val="22"/>
                <w:szCs w:val="22"/>
              </w:rPr>
            </w:pPr>
            <w:r>
              <w:rPr>
                <w:rFonts w:cs="Calibri" w:ascii="Calibri" w:hAnsi="Calibri"/>
                <w:sz w:val="22"/>
                <w:szCs w:val="22"/>
              </w:rPr>
              <w:t>To liaise with appropriate information technology personnel to ensure the efficient and continuous operation of computerised systems, including computer aided design, including their review and development.</w:t>
            </w:r>
          </w:p>
          <w:p>
            <w:pPr>
              <w:pStyle w:val="Normal"/>
              <w:numPr>
                <w:ilvl w:val="0"/>
                <w:numId w:val="3"/>
              </w:numPr>
              <w:spacing w:before="60" w:after="60"/>
              <w:jc w:val="both"/>
              <w:rPr>
                <w:rFonts w:ascii="Calibri" w:hAnsi="Calibri" w:cs="Calibri"/>
                <w:sz w:val="22"/>
                <w:szCs w:val="22"/>
              </w:rPr>
            </w:pPr>
            <w:r>
              <w:rPr>
                <w:rFonts w:cs="Calibri" w:ascii="Calibri" w:hAnsi="Calibri"/>
                <w:sz w:val="22"/>
                <w:szCs w:val="22"/>
              </w:rPr>
              <w:t>To ensure that the Construction &amp; Maintenance Section is financially viable.</w:t>
            </w:r>
          </w:p>
          <w:p>
            <w:pPr>
              <w:pStyle w:val="Normal"/>
              <w:numPr>
                <w:ilvl w:val="0"/>
                <w:numId w:val="3"/>
              </w:numPr>
              <w:spacing w:before="60" w:after="60"/>
              <w:jc w:val="both"/>
              <w:rPr>
                <w:rFonts w:ascii="Calibri" w:hAnsi="Calibri" w:cs="Calibri"/>
                <w:sz w:val="22"/>
                <w:szCs w:val="22"/>
              </w:rPr>
            </w:pPr>
            <w:r>
              <w:rPr>
                <w:rFonts w:cs="Calibri" w:ascii="Calibri" w:hAnsi="Calibri"/>
                <w:sz w:val="22"/>
                <w:szCs w:val="22"/>
              </w:rPr>
              <w:t>To deputise for the Head of Construction as appropriate.</w:t>
            </w:r>
          </w:p>
          <w:p>
            <w:pPr>
              <w:pStyle w:val="Normal"/>
              <w:numPr>
                <w:ilvl w:val="0"/>
                <w:numId w:val="3"/>
              </w:numPr>
              <w:spacing w:before="60" w:after="60"/>
              <w:jc w:val="both"/>
              <w:rPr>
                <w:rFonts w:ascii="Calibri" w:hAnsi="Calibri" w:cs="Calibri"/>
                <w:sz w:val="22"/>
                <w:szCs w:val="22"/>
              </w:rPr>
            </w:pPr>
            <w:r>
              <w:rPr>
                <w:rFonts w:cs="Calibri" w:ascii="Calibri" w:hAnsi="Calibri"/>
                <w:sz w:val="22"/>
                <w:szCs w:val="22"/>
              </w:rPr>
              <w:t>To maintain knowledge and implement all relevant building legislation.</w:t>
            </w:r>
          </w:p>
          <w:p>
            <w:pPr>
              <w:pStyle w:val="Normal"/>
              <w:numPr>
                <w:ilvl w:val="0"/>
                <w:numId w:val="3"/>
              </w:numPr>
              <w:spacing w:before="60" w:after="60"/>
              <w:jc w:val="both"/>
              <w:rPr>
                <w:rFonts w:ascii="Calibri" w:hAnsi="Calibri" w:cs="Calibri"/>
                <w:sz w:val="22"/>
                <w:szCs w:val="22"/>
              </w:rPr>
            </w:pPr>
            <w:r>
              <w:rPr>
                <w:rFonts w:cs="Calibri" w:ascii="Calibri" w:hAnsi="Calibri"/>
                <w:sz w:val="22"/>
                <w:szCs w:val="22"/>
              </w:rPr>
              <w:t>To innovate and implement new products and methods of working.</w:t>
            </w:r>
          </w:p>
          <w:p>
            <w:pPr>
              <w:pStyle w:val="Normal"/>
              <w:numPr>
                <w:ilvl w:val="0"/>
                <w:numId w:val="3"/>
              </w:numPr>
              <w:spacing w:before="60" w:after="60"/>
              <w:jc w:val="both"/>
              <w:rPr>
                <w:rFonts w:ascii="Calibri" w:hAnsi="Calibri" w:cs="Calibri"/>
                <w:sz w:val="22"/>
                <w:szCs w:val="22"/>
              </w:rPr>
            </w:pPr>
            <w:r>
              <w:rPr>
                <w:rFonts w:cs="Calibri" w:ascii="Calibri" w:hAnsi="Calibri"/>
                <w:sz w:val="22"/>
                <w:szCs w:val="22"/>
              </w:rPr>
              <w:t>The postholder is responsible for their own CPD.</w:t>
            </w:r>
          </w:p>
          <w:p>
            <w:pPr>
              <w:pStyle w:val="Normal"/>
              <w:numPr>
                <w:ilvl w:val="0"/>
                <w:numId w:val="3"/>
              </w:numPr>
              <w:spacing w:before="60" w:after="60"/>
              <w:jc w:val="both"/>
              <w:rPr>
                <w:rFonts w:ascii="Calibri" w:hAnsi="Calibri" w:cs="Calibri"/>
                <w:sz w:val="22"/>
                <w:szCs w:val="22"/>
              </w:rPr>
            </w:pPr>
            <w:r>
              <w:rPr>
                <w:rFonts w:cs="Calibri" w:ascii="Calibri" w:hAnsi="Calibri"/>
                <w:sz w:val="22"/>
                <w:szCs w:val="22"/>
              </w:rPr>
              <w:t>To have the lead responsibility for the efficient and effective implementation and continuing compliance with the Construction (Design and Management) Regulations.</w:t>
            </w:r>
          </w:p>
          <w:p>
            <w:pPr>
              <w:pStyle w:val="Normal"/>
              <w:numPr>
                <w:ilvl w:val="0"/>
                <w:numId w:val="3"/>
              </w:numPr>
              <w:spacing w:before="60" w:after="60"/>
              <w:jc w:val="both"/>
              <w:rPr>
                <w:rFonts w:ascii="Calibri" w:hAnsi="Calibri" w:cs="Calibri"/>
                <w:sz w:val="22"/>
                <w:szCs w:val="22"/>
              </w:rPr>
            </w:pPr>
            <w:r>
              <w:rPr>
                <w:rFonts w:cs="Calibri" w:ascii="Calibri" w:hAnsi="Calibri"/>
                <w:sz w:val="22"/>
                <w:szCs w:val="22"/>
              </w:rPr>
              <w:t>Provision of such information to establish the Capital Programme, monitoring of same and liaison with other Departments/Officers and Groups regarding Capital Programme.</w:t>
            </w:r>
          </w:p>
          <w:p>
            <w:pPr>
              <w:pStyle w:val="Normal"/>
              <w:numPr>
                <w:ilvl w:val="0"/>
                <w:numId w:val="3"/>
              </w:numPr>
              <w:spacing w:before="60" w:after="60"/>
              <w:jc w:val="both"/>
              <w:rPr>
                <w:rFonts w:ascii="Calibri" w:hAnsi="Calibri" w:cs="Calibri"/>
                <w:sz w:val="22"/>
                <w:szCs w:val="22"/>
              </w:rPr>
            </w:pPr>
            <w:r>
              <w:rPr>
                <w:rFonts w:cs="Calibri" w:ascii="Calibri" w:hAnsi="Calibri"/>
                <w:sz w:val="22"/>
                <w:szCs w:val="22"/>
              </w:rPr>
              <w:t>Provision of fee proposals including the calculation of the fee income for both individual schemes and overall workload of the Section including the management of income against pre-determined targets.</w:t>
            </w:r>
          </w:p>
          <w:p>
            <w:pPr>
              <w:pStyle w:val="Normal"/>
              <w:numPr>
                <w:ilvl w:val="0"/>
                <w:numId w:val="3"/>
              </w:numPr>
              <w:spacing w:before="60" w:after="60"/>
              <w:jc w:val="both"/>
              <w:rPr>
                <w:rFonts w:ascii="Calibri" w:hAnsi="Calibri" w:cs="Calibri"/>
                <w:sz w:val="22"/>
                <w:szCs w:val="22"/>
              </w:rPr>
            </w:pPr>
            <w:r>
              <w:rPr>
                <w:rFonts w:cs="Calibri" w:ascii="Calibri" w:hAnsi="Calibri"/>
                <w:sz w:val="22"/>
                <w:szCs w:val="22"/>
              </w:rPr>
              <w:t>Responsible for the development and marketing of Architectural and Building Surveying Services and pursuing opportunities for additional income.</w:t>
            </w:r>
          </w:p>
          <w:p>
            <w:pPr>
              <w:pStyle w:val="Normal"/>
              <w:numPr>
                <w:ilvl w:val="0"/>
                <w:numId w:val="3"/>
              </w:numPr>
              <w:spacing w:before="60" w:after="60"/>
              <w:jc w:val="both"/>
              <w:rPr>
                <w:rFonts w:ascii="Calibri" w:hAnsi="Calibri" w:cs="Calibri"/>
                <w:sz w:val="22"/>
                <w:szCs w:val="22"/>
              </w:rPr>
            </w:pPr>
            <w:r>
              <w:rPr>
                <w:rFonts w:cs="Calibri" w:ascii="Calibri" w:hAnsi="Calibri"/>
                <w:sz w:val="22"/>
                <w:szCs w:val="22"/>
              </w:rPr>
              <w:t>Identification of problems associated with resource levels and making the necessary recommendations to the Head of Construction for resolution.</w:t>
            </w:r>
          </w:p>
          <w:p>
            <w:pPr>
              <w:pStyle w:val="Normal"/>
              <w:numPr>
                <w:ilvl w:val="0"/>
                <w:numId w:val="3"/>
              </w:numPr>
              <w:spacing w:before="60" w:after="60"/>
              <w:jc w:val="both"/>
              <w:rPr>
                <w:rFonts w:ascii="Calibri" w:hAnsi="Calibri" w:cs="Calibri"/>
                <w:sz w:val="22"/>
                <w:szCs w:val="22"/>
              </w:rPr>
            </w:pPr>
            <w:r>
              <w:rPr>
                <w:rFonts w:cs="Calibri" w:ascii="Calibri" w:hAnsi="Calibri"/>
                <w:sz w:val="22"/>
                <w:szCs w:val="22"/>
              </w:rPr>
              <w:t>Monitoring and updating of procedures relating to business systems.</w:t>
            </w:r>
          </w:p>
          <w:p>
            <w:pPr>
              <w:pStyle w:val="Normal"/>
              <w:numPr>
                <w:ilvl w:val="0"/>
                <w:numId w:val="3"/>
              </w:numPr>
              <w:spacing w:before="60" w:after="60"/>
              <w:jc w:val="both"/>
              <w:rPr>
                <w:rFonts w:ascii="Calibri" w:hAnsi="Calibri" w:cs="Calibri"/>
                <w:sz w:val="22"/>
                <w:szCs w:val="22"/>
              </w:rPr>
            </w:pPr>
            <w:r>
              <w:rPr>
                <w:rFonts w:cs="Calibri" w:ascii="Calibri" w:hAnsi="Calibri"/>
                <w:sz w:val="22"/>
                <w:szCs w:val="22"/>
              </w:rPr>
              <w:t>Representing the Authority at arbitration hearings and court proceedings along with other construction professionals and legal advisers.</w:t>
            </w:r>
          </w:p>
          <w:p>
            <w:pPr>
              <w:pStyle w:val="Normal"/>
              <w:numPr>
                <w:ilvl w:val="0"/>
                <w:numId w:val="3"/>
              </w:numPr>
              <w:spacing w:before="60" w:after="60"/>
              <w:jc w:val="both"/>
              <w:rPr>
                <w:rFonts w:ascii="Calibri" w:hAnsi="Calibri" w:cs="Calibri"/>
                <w:sz w:val="22"/>
                <w:szCs w:val="22"/>
              </w:rPr>
            </w:pPr>
            <w:r>
              <w:rPr>
                <w:rFonts w:cs="Calibri" w:ascii="Calibri" w:hAnsi="Calibri"/>
                <w:sz w:val="22"/>
                <w:szCs w:val="22"/>
              </w:rPr>
              <w:t xml:space="preserve">To participate in and lead the development of agreed business initiatives across Facilities Management. </w:t>
            </w:r>
          </w:p>
          <w:p>
            <w:pPr>
              <w:pStyle w:val="Normal"/>
              <w:numPr>
                <w:ilvl w:val="0"/>
                <w:numId w:val="3"/>
              </w:numPr>
              <w:spacing w:before="60" w:after="60"/>
              <w:jc w:val="both"/>
              <w:rPr>
                <w:rFonts w:ascii="Calibri" w:hAnsi="Calibri" w:cs="Calibri"/>
                <w:sz w:val="22"/>
                <w:szCs w:val="22"/>
              </w:rPr>
            </w:pPr>
            <w:r>
              <w:rPr>
                <w:rFonts w:cs="Calibri" w:ascii="Calibri" w:hAnsi="Calibri"/>
                <w:sz w:val="22"/>
                <w:szCs w:val="22"/>
              </w:rPr>
              <w:t>To deputise for the Head of Construction when required.</w:t>
            </w:r>
          </w:p>
        </w:tc>
        <w:tc>
          <w:tcPr>
            <w:tcW w:w="23" w:type="dxa"/>
            <w:tcBorders>
              <w:left w:val="single" w:sz="6" w:space="0" w:color="000000"/>
            </w:tcBorders>
            <w:shd w:fill="auto" w:val="clear"/>
          </w:tcPr>
          <w:p>
            <w:pPr>
              <w:pStyle w:val="Normal"/>
              <w:snapToGrid w:val="false"/>
              <w:rPr/>
            </w:pPr>
            <w:r>
              <w:rPr/>
            </w:r>
          </w:p>
        </w:tc>
      </w:tr>
      <w:tr>
        <w:trPr/>
        <w:tc>
          <w:tcPr>
            <w:tcW w:w="10030" w:type="dxa"/>
            <w:gridSpan w:val="4"/>
            <w:tcBorders>
              <w:top w:val="single" w:sz="4" w:space="0" w:color="000000"/>
              <w:left w:val="single" w:sz="6" w:space="0" w:color="000000"/>
              <w:bottom w:val="single" w:sz="4" w:space="0" w:color="000000"/>
            </w:tcBorders>
            <w:shd w:fill="auto" w:val="clear"/>
            <w:vAlign w:val="center"/>
          </w:tcPr>
          <w:p>
            <w:pPr>
              <w:pStyle w:val="Normal"/>
              <w:tabs>
                <w:tab w:val="clear" w:pos="720"/>
                <w:tab w:val="left" w:pos="1440" w:leader="none"/>
                <w:tab w:val="left" w:pos="1980" w:leader="none"/>
              </w:tabs>
              <w:spacing w:before="120" w:after="120"/>
              <w:jc w:val="both"/>
              <w:rPr>
                <w:rFonts w:ascii="Calibri" w:hAnsi="Calibri" w:cs="Calibri"/>
                <w:b/>
                <w:b/>
                <w:bCs/>
                <w:sz w:val="22"/>
                <w:szCs w:val="22"/>
              </w:rPr>
            </w:pPr>
            <w:r>
              <w:rPr>
                <w:rFonts w:cs="Calibri" w:ascii="Calibri" w:hAnsi="Calibri"/>
                <w:b/>
                <w:bCs/>
                <w:sz w:val="22"/>
                <w:szCs w:val="22"/>
              </w:rPr>
              <w:t>Managing Finances and Resources:</w:t>
            </w:r>
          </w:p>
          <w:p>
            <w:pPr>
              <w:pStyle w:val="ListParagraph"/>
              <w:numPr>
                <w:ilvl w:val="0"/>
                <w:numId w:val="9"/>
              </w:numPr>
              <w:spacing w:before="120" w:after="120"/>
              <w:rPr/>
            </w:pPr>
            <w:r>
              <w:rPr>
                <w:rStyle w:val="Normaltextrun"/>
                <w:rFonts w:cs="Calibri" w:ascii="Calibri" w:hAnsi="Calibri"/>
                <w:sz w:val="22"/>
                <w:szCs w:val="22"/>
              </w:rPr>
              <w:t xml:space="preserve">Provide budget cost projections for </w:t>
            </w:r>
            <w:r>
              <w:rPr>
                <w:rFonts w:cs="Calibri" w:ascii="Calibri" w:hAnsi="Calibri"/>
                <w:sz w:val="22"/>
                <w:szCs w:val="22"/>
              </w:rPr>
              <w:t xml:space="preserve">capital building projects eg large value £12million+ </w:t>
            </w:r>
            <w:r>
              <w:rPr>
                <w:rStyle w:val="Normaltextrun"/>
                <w:rFonts w:cs="Calibri" w:ascii="Calibri" w:hAnsi="Calibri"/>
                <w:sz w:val="22"/>
                <w:szCs w:val="22"/>
              </w:rPr>
              <w:t>in accordance with the brief.</w:t>
            </w:r>
            <w:r>
              <w:rPr>
                <w:rStyle w:val="Eop"/>
                <w:rFonts w:eastAsia="" w:cs="Calibri" w:ascii="Calibri" w:hAnsi="Calibri"/>
                <w:sz w:val="22"/>
                <w:szCs w:val="22"/>
              </w:rPr>
              <w:t> </w:t>
            </w:r>
          </w:p>
          <w:p>
            <w:pPr>
              <w:pStyle w:val="ListParagraph"/>
              <w:numPr>
                <w:ilvl w:val="0"/>
                <w:numId w:val="9"/>
              </w:numPr>
              <w:spacing w:before="120" w:after="120"/>
              <w:rPr/>
            </w:pPr>
            <w:r>
              <w:rPr>
                <w:rStyle w:val="Normaltextrun"/>
                <w:rFonts w:cs="Calibri" w:ascii="Calibri" w:hAnsi="Calibri"/>
                <w:sz w:val="22"/>
                <w:szCs w:val="22"/>
              </w:rPr>
              <w:t xml:space="preserve">Accountable for validating and authorising all payment for works </w:t>
            </w:r>
            <w:r>
              <w:rPr>
                <w:rFonts w:cs="Calibri" w:ascii="Calibri" w:hAnsi="Calibri"/>
                <w:sz w:val="22"/>
                <w:szCs w:val="22"/>
              </w:rPr>
              <w:t xml:space="preserve">for allocated capital building projects eg large value £12million+ </w:t>
            </w:r>
            <w:r>
              <w:rPr>
                <w:rStyle w:val="Normaltextrun"/>
                <w:rFonts w:cs="Calibri" w:ascii="Calibri" w:hAnsi="Calibri"/>
                <w:sz w:val="22"/>
                <w:szCs w:val="22"/>
              </w:rPr>
              <w:t>by completing monthly financial valuations, certifications and invoices during construction projects with external contractors as contractual conditions.</w:t>
            </w:r>
          </w:p>
          <w:p>
            <w:pPr>
              <w:pStyle w:val="ListParagraph"/>
              <w:numPr>
                <w:ilvl w:val="0"/>
                <w:numId w:val="9"/>
              </w:numPr>
              <w:spacing w:before="120" w:after="120"/>
              <w:rPr>
                <w:rFonts w:ascii="Calibri" w:hAnsi="Calibri" w:cs="Calibri"/>
                <w:sz w:val="22"/>
                <w:szCs w:val="22"/>
              </w:rPr>
            </w:pPr>
            <w:r>
              <w:rPr>
                <w:rFonts w:cs="Calibri" w:ascii="Calibri" w:hAnsi="Calibri"/>
                <w:sz w:val="22"/>
                <w:szCs w:val="22"/>
              </w:rPr>
              <w:t xml:space="preserve">To lead and manage the Architectural and Building Surveying teams working on building &amp; FM projects totalling £30million+ annually and generating an annual income in fees for the service. To plan and control capital expenditure projects and budgets.  </w:t>
            </w:r>
          </w:p>
          <w:p>
            <w:pPr>
              <w:pStyle w:val="ListParagraph"/>
              <w:numPr>
                <w:ilvl w:val="0"/>
                <w:numId w:val="9"/>
              </w:numPr>
              <w:spacing w:before="120" w:after="120"/>
              <w:rPr/>
            </w:pPr>
            <w:r>
              <w:rPr>
                <w:rStyle w:val="Normaltextrun"/>
                <w:rFonts w:cs="Calibri" w:ascii="Calibri" w:hAnsi="Calibri"/>
                <w:sz w:val="22"/>
                <w:szCs w:val="22"/>
              </w:rPr>
              <w:t>Provide clients with cost effective design counselling and value engineering options to reduce future maintenance costs in terms of life cycle expense of materials, products and building systems along with energy efficiency measures.</w:t>
            </w:r>
            <w:r>
              <w:rPr>
                <w:rStyle w:val="Eop"/>
                <w:rFonts w:eastAsia="" w:cs="Calibri" w:ascii="Calibri" w:hAnsi="Calibri"/>
                <w:sz w:val="22"/>
                <w:szCs w:val="22"/>
              </w:rPr>
              <w:t> </w:t>
            </w:r>
          </w:p>
          <w:p>
            <w:pPr>
              <w:pStyle w:val="ListParagraph"/>
              <w:numPr>
                <w:ilvl w:val="0"/>
                <w:numId w:val="9"/>
              </w:numPr>
              <w:spacing w:before="120" w:after="120"/>
              <w:rPr/>
            </w:pPr>
            <w:r>
              <w:rPr>
                <w:rStyle w:val="Normaltextrun"/>
                <w:rFonts w:cs="Calibri" w:ascii="Calibri" w:hAnsi="Calibri"/>
                <w:sz w:val="22"/>
                <w:szCs w:val="22"/>
              </w:rPr>
              <w:t>Provide clients with all aspects of financial management, including accountability for expenditure related to the project budget. Tender evaluation along with project cost monitoring and the provision of advice on feasible cost reduction measures to complement the available budget.</w:t>
            </w:r>
            <w:r>
              <w:rPr>
                <w:rStyle w:val="Eop"/>
                <w:rFonts w:eastAsia="" w:cs="Calibri" w:ascii="Calibri" w:hAnsi="Calibri"/>
                <w:sz w:val="22"/>
                <w:szCs w:val="22"/>
              </w:rPr>
              <w:t> </w:t>
            </w:r>
          </w:p>
          <w:p>
            <w:pPr>
              <w:pStyle w:val="ListParagraph"/>
              <w:numPr>
                <w:ilvl w:val="0"/>
                <w:numId w:val="9"/>
              </w:numPr>
              <w:spacing w:before="120" w:after="120"/>
              <w:rPr/>
            </w:pPr>
            <w:r>
              <w:rPr>
                <w:rStyle w:val="Normaltextrun"/>
                <w:rFonts w:cs="Calibri" w:ascii="Calibri" w:hAnsi="Calibri"/>
                <w:sz w:val="22"/>
                <w:szCs w:val="22"/>
              </w:rPr>
              <w:t>Provide all necessary contract documentation to enable the legal execution of client side and Supplier side contracts. </w:t>
            </w:r>
            <w:r>
              <w:rPr>
                <w:rStyle w:val="Eop"/>
                <w:rFonts w:eastAsia="" w:cs="Calibri" w:ascii="Calibri" w:hAnsi="Calibri"/>
                <w:sz w:val="22"/>
                <w:szCs w:val="22"/>
              </w:rPr>
              <w:t> </w:t>
            </w:r>
          </w:p>
          <w:p>
            <w:pPr>
              <w:pStyle w:val="ListParagraph"/>
              <w:numPr>
                <w:ilvl w:val="0"/>
                <w:numId w:val="9"/>
              </w:numPr>
              <w:spacing w:before="120" w:after="120"/>
              <w:rPr/>
            </w:pPr>
            <w:r>
              <w:rPr>
                <w:rStyle w:val="Normaltextrun"/>
                <w:rFonts w:cs="Calibri" w:ascii="Calibri" w:hAnsi="Calibri"/>
                <w:sz w:val="22"/>
                <w:szCs w:val="22"/>
              </w:rPr>
              <w:t>Review, validate and authorise all payment for works carried out by valuations, certifications or through invoices for Building Surveyor and other project managers.</w:t>
            </w:r>
            <w:r>
              <w:rPr>
                <w:rStyle w:val="Eop"/>
                <w:rFonts w:eastAsia="" w:cs="Calibri" w:ascii="Calibri" w:hAnsi="Calibri"/>
                <w:sz w:val="22"/>
                <w:szCs w:val="22"/>
              </w:rPr>
              <w:t> </w:t>
            </w:r>
          </w:p>
          <w:p>
            <w:pPr>
              <w:pStyle w:val="ListParagraph"/>
              <w:numPr>
                <w:ilvl w:val="0"/>
                <w:numId w:val="9"/>
              </w:numPr>
              <w:spacing w:before="120" w:after="120"/>
              <w:rPr/>
            </w:pPr>
            <w:r>
              <w:rPr>
                <w:rStyle w:val="Normaltextrun"/>
                <w:rFonts w:cs="Calibri" w:ascii="Calibri" w:hAnsi="Calibri"/>
                <w:sz w:val="22"/>
                <w:szCs w:val="22"/>
              </w:rPr>
              <w:t>Co-ordinate main and separate funding streams on projects from external sources such as grant applications etc.</w:t>
            </w:r>
            <w:r>
              <w:rPr>
                <w:rStyle w:val="Eop"/>
                <w:rFonts w:eastAsia="" w:cs="Calibri" w:ascii="Calibri" w:hAnsi="Calibri"/>
                <w:sz w:val="22"/>
                <w:szCs w:val="22"/>
              </w:rPr>
              <w:t> </w:t>
            </w:r>
          </w:p>
          <w:p>
            <w:pPr>
              <w:pStyle w:val="ListParagraph"/>
              <w:numPr>
                <w:ilvl w:val="0"/>
                <w:numId w:val="9"/>
              </w:numPr>
              <w:spacing w:before="120" w:after="120"/>
              <w:rPr>
                <w:rFonts w:ascii="Calibri" w:hAnsi="Calibri" w:cs="Calibri"/>
                <w:sz w:val="22"/>
                <w:szCs w:val="22"/>
              </w:rPr>
            </w:pPr>
            <w:r>
              <w:rPr>
                <w:rFonts w:cs="Calibri" w:ascii="Calibri" w:hAnsi="Calibri"/>
                <w:sz w:val="22"/>
                <w:szCs w:val="22"/>
              </w:rPr>
              <w:t>In conjunction with the Head of Construction, manage and develop financial charging policies for works schemes including obtaining client agreement/approvals, develop all on-cost percentages for works and ensure all works are completed within budget and timescales.  </w:t>
            </w:r>
          </w:p>
          <w:p>
            <w:pPr>
              <w:pStyle w:val="Normal"/>
              <w:numPr>
                <w:ilvl w:val="0"/>
                <w:numId w:val="9"/>
              </w:numPr>
              <w:spacing w:before="120" w:after="120"/>
              <w:jc w:val="both"/>
              <w:rPr>
                <w:rFonts w:ascii="Calibri" w:hAnsi="Calibri" w:cs="Calibri"/>
                <w:sz w:val="22"/>
                <w:szCs w:val="22"/>
              </w:rPr>
            </w:pPr>
            <w:r>
              <w:rPr>
                <w:rFonts w:cs="Calibri" w:ascii="Calibri" w:hAnsi="Calibri"/>
                <w:sz w:val="22"/>
                <w:szCs w:val="22"/>
              </w:rPr>
              <w:t xml:space="preserve">To lead, motivate and develop the performance of staff within the Construction &amp; Maintenance team. </w:t>
            </w:r>
          </w:p>
          <w:p>
            <w:pPr>
              <w:pStyle w:val="Normal"/>
              <w:numPr>
                <w:ilvl w:val="0"/>
                <w:numId w:val="9"/>
              </w:numPr>
              <w:spacing w:before="120" w:after="120"/>
              <w:jc w:val="both"/>
              <w:rPr>
                <w:rFonts w:ascii="Calibri" w:hAnsi="Calibri" w:cs="Calibri"/>
                <w:sz w:val="22"/>
                <w:szCs w:val="22"/>
              </w:rPr>
            </w:pPr>
            <w:r>
              <w:rPr>
                <w:rFonts w:cs="Calibri" w:ascii="Calibri" w:hAnsi="Calibri"/>
                <w:sz w:val="22"/>
                <w:szCs w:val="22"/>
              </w:rPr>
              <w:t xml:space="preserve">To ensure that the Service works as a highly professional organisation where the potential of staff is fully appreciated and utilised. </w:t>
            </w:r>
          </w:p>
        </w:tc>
        <w:tc>
          <w:tcPr>
            <w:tcW w:w="23" w:type="dxa"/>
            <w:tcBorders>
              <w:left w:val="single" w:sz="6" w:space="0" w:color="000000"/>
            </w:tcBorders>
            <w:shd w:fill="auto" w:val="clear"/>
          </w:tcPr>
          <w:p>
            <w:pPr>
              <w:pStyle w:val="Normal"/>
              <w:snapToGrid w:val="false"/>
              <w:rPr/>
            </w:pPr>
            <w:r>
              <w:rPr/>
            </w:r>
          </w:p>
        </w:tc>
      </w:tr>
      <w:tr>
        <w:trPr>
          <w:trHeight w:val="799" w:hRule="atLeast"/>
        </w:trPr>
        <w:tc>
          <w:tcPr>
            <w:tcW w:w="10030" w:type="dxa"/>
            <w:gridSpan w:val="4"/>
            <w:tcBorders>
              <w:top w:val="single" w:sz="4" w:space="0" w:color="000000"/>
              <w:left w:val="single" w:sz="6" w:space="0" w:color="000000"/>
              <w:bottom w:val="single" w:sz="4" w:space="0" w:color="000000"/>
            </w:tcBorders>
            <w:shd w:fill="auto" w:val="clear"/>
            <w:vAlign w:val="center"/>
          </w:tcPr>
          <w:p>
            <w:pPr>
              <w:pStyle w:val="Normal"/>
              <w:tabs>
                <w:tab w:val="clear" w:pos="720"/>
                <w:tab w:val="left" w:pos="1440" w:leader="none"/>
                <w:tab w:val="left" w:pos="1980" w:leader="none"/>
              </w:tabs>
              <w:spacing w:before="120" w:after="120"/>
              <w:jc w:val="both"/>
              <w:rPr/>
            </w:pPr>
            <w:r>
              <w:rPr>
                <w:rFonts w:cs="Calibri" w:ascii="Calibri" w:hAnsi="Calibri"/>
                <w:b/>
                <w:sz w:val="22"/>
                <w:szCs w:val="22"/>
              </w:rPr>
              <w:t xml:space="preserve">Managing Communications and Information: </w:t>
            </w:r>
            <w:r>
              <w:rPr>
                <w:rFonts w:cs="Calibri" w:ascii="Calibri" w:hAnsi="Calibri"/>
                <w:bCs/>
                <w:sz w:val="22"/>
                <w:szCs w:val="22"/>
              </w:rPr>
              <w:t xml:space="preserve"> </w:t>
            </w:r>
          </w:p>
          <w:p>
            <w:pPr>
              <w:pStyle w:val="ListParagraph"/>
              <w:numPr>
                <w:ilvl w:val="0"/>
                <w:numId w:val="6"/>
              </w:numPr>
              <w:spacing w:before="120" w:after="120"/>
              <w:jc w:val="both"/>
              <w:rPr>
                <w:rFonts w:ascii="Calibri" w:hAnsi="Calibri" w:cs="Calibri"/>
                <w:sz w:val="22"/>
                <w:szCs w:val="22"/>
              </w:rPr>
            </w:pPr>
            <w:r>
              <w:rPr>
                <w:rFonts w:cs="Calibri" w:ascii="Calibri" w:hAnsi="Calibri"/>
                <w:sz w:val="22"/>
                <w:szCs w:val="22"/>
              </w:rPr>
              <w:t>Extrapolating and preparing client briefing documents, undertaking critical analysis of competing requirements.</w:t>
            </w:r>
          </w:p>
          <w:p>
            <w:pPr>
              <w:pStyle w:val="ListParagraph"/>
              <w:numPr>
                <w:ilvl w:val="0"/>
                <w:numId w:val="6"/>
              </w:numPr>
              <w:spacing w:before="120" w:after="120"/>
              <w:jc w:val="both"/>
              <w:rPr/>
            </w:pPr>
            <w:r>
              <w:rPr>
                <w:rStyle w:val="Normaltextrun"/>
                <w:rFonts w:cs="Calibri" w:ascii="Calibri" w:hAnsi="Calibri"/>
                <w:sz w:val="22"/>
                <w:szCs w:val="22"/>
                <w:shd w:fill="FFFFFF" w:val="clear"/>
              </w:rPr>
              <w:t>Maintain a good working relationship with all stakeholders internally/externally across all service areas as listed above providing detailed information/policies and advice or course of action as and when required.</w:t>
            </w:r>
          </w:p>
          <w:p>
            <w:pPr>
              <w:pStyle w:val="ListParagraph"/>
              <w:numPr>
                <w:ilvl w:val="0"/>
                <w:numId w:val="6"/>
              </w:numPr>
              <w:spacing w:before="120" w:after="120"/>
              <w:jc w:val="both"/>
              <w:rPr>
                <w:rFonts w:ascii="Calibri" w:hAnsi="Calibri" w:cs="Calibri"/>
                <w:sz w:val="22"/>
                <w:szCs w:val="22"/>
              </w:rPr>
            </w:pPr>
            <w:r>
              <w:rPr>
                <w:rFonts w:cs="Calibri" w:ascii="Calibri" w:hAnsi="Calibri"/>
                <w:sz w:val="22"/>
                <w:szCs w:val="22"/>
              </w:rPr>
              <w:t>Ability to challenge external partners to provide best value for the Council and negotiating contracts.</w:t>
            </w:r>
          </w:p>
          <w:p>
            <w:pPr>
              <w:pStyle w:val="ListParagraph"/>
              <w:numPr>
                <w:ilvl w:val="0"/>
                <w:numId w:val="6"/>
              </w:numPr>
              <w:spacing w:before="120" w:after="120"/>
              <w:jc w:val="both"/>
              <w:rPr>
                <w:rFonts w:ascii="Calibri" w:hAnsi="Calibri" w:cs="Calibri"/>
                <w:sz w:val="22"/>
                <w:szCs w:val="22"/>
              </w:rPr>
            </w:pPr>
            <w:r>
              <w:rPr>
                <w:rFonts w:cs="Calibri" w:ascii="Calibri" w:hAnsi="Calibri"/>
                <w:sz w:val="22"/>
                <w:szCs w:val="22"/>
              </w:rPr>
              <w:t>Provide specialist advice and guidance in relation to the delivery of the Council’s Capital Planned Maintenance Programmes, and work with colleagues to develop a strategic forward maintenance plan.</w:t>
            </w:r>
          </w:p>
          <w:p>
            <w:pPr>
              <w:pStyle w:val="ListParagraph"/>
              <w:spacing w:before="60" w:after="60"/>
              <w:ind w:left="360" w:right="0" w:hanging="0"/>
              <w:jc w:val="both"/>
              <w:rPr>
                <w:rFonts w:ascii="Calibri" w:hAnsi="Calibri" w:cs="Calibri"/>
                <w:sz w:val="22"/>
                <w:szCs w:val="22"/>
              </w:rPr>
            </w:pPr>
            <w:r>
              <w:rPr>
                <w:rFonts w:cs="Calibri" w:ascii="Calibri" w:hAnsi="Calibri"/>
                <w:sz w:val="22"/>
                <w:szCs w:val="22"/>
              </w:rPr>
            </w:r>
          </w:p>
        </w:tc>
        <w:tc>
          <w:tcPr>
            <w:tcW w:w="23" w:type="dxa"/>
            <w:tcBorders>
              <w:left w:val="single" w:sz="6"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r>
      <w:tr>
        <w:trPr>
          <w:trHeight w:val="799" w:hRule="atLeast"/>
        </w:trPr>
        <w:tc>
          <w:tcPr>
            <w:tcW w:w="10030" w:type="dxa"/>
            <w:gridSpan w:val="4"/>
            <w:tcBorders>
              <w:top w:val="single" w:sz="4" w:space="0" w:color="000000"/>
              <w:left w:val="single" w:sz="6" w:space="0" w:color="000000"/>
              <w:bottom w:val="single" w:sz="4" w:space="0" w:color="000000"/>
            </w:tcBorders>
            <w:shd w:fill="auto" w:val="clear"/>
            <w:vAlign w:val="center"/>
          </w:tcPr>
          <w:p>
            <w:pPr>
              <w:pStyle w:val="Normal"/>
              <w:tabs>
                <w:tab w:val="clear" w:pos="720"/>
                <w:tab w:val="left" w:pos="1440" w:leader="none"/>
                <w:tab w:val="left" w:pos="1980" w:leader="none"/>
              </w:tabs>
              <w:spacing w:before="120" w:after="120"/>
              <w:jc w:val="both"/>
              <w:rPr>
                <w:rFonts w:ascii="Calibri" w:hAnsi="Calibri" w:cs="Calibri"/>
                <w:b/>
                <w:b/>
                <w:sz w:val="22"/>
                <w:szCs w:val="22"/>
              </w:rPr>
            </w:pPr>
            <w:r>
              <w:rPr>
                <w:rFonts w:cs="Calibri" w:ascii="Calibri" w:hAnsi="Calibri"/>
                <w:b/>
                <w:sz w:val="22"/>
                <w:szCs w:val="22"/>
              </w:rPr>
              <w:t>Corporate Responsibilities:</w:t>
            </w:r>
          </w:p>
          <w:p>
            <w:pPr>
              <w:pStyle w:val="ListParagraph"/>
              <w:numPr>
                <w:ilvl w:val="0"/>
                <w:numId w:val="5"/>
              </w:numPr>
              <w:spacing w:before="120" w:after="120"/>
              <w:jc w:val="both"/>
              <w:rPr/>
            </w:pPr>
            <w:r>
              <w:rPr>
                <w:rStyle w:val="Normaltextrun"/>
                <w:rFonts w:cs="Calibri" w:ascii="Calibri" w:hAnsi="Calibri"/>
                <w:sz w:val="22"/>
                <w:szCs w:val="22"/>
                <w:shd w:fill="FFFFFF" w:val="clear"/>
              </w:rPr>
              <w:t>Market and promote the services of Facilities Management with existing and new clients as opportunities arise and act as point of contact for work referrals.</w:t>
            </w:r>
            <w:r>
              <w:rPr>
                <w:rStyle w:val="Eop"/>
                <w:rFonts w:cs="Calibri" w:ascii="Calibri" w:hAnsi="Calibri"/>
                <w:sz w:val="22"/>
                <w:szCs w:val="22"/>
                <w:shd w:fill="FFFFFF" w:val="clear"/>
              </w:rPr>
              <w:t> </w:t>
            </w:r>
          </w:p>
        </w:tc>
        <w:tc>
          <w:tcPr>
            <w:tcW w:w="23" w:type="dxa"/>
            <w:tcBorders>
              <w:left w:val="single" w:sz="6" w:space="0" w:color="000000"/>
            </w:tcBorders>
            <w:shd w:fill="auto" w:val="clear"/>
          </w:tcPr>
          <w:p>
            <w:pPr>
              <w:pStyle w:val="Normal"/>
              <w:snapToGrid w:val="false"/>
              <w:rPr/>
            </w:pPr>
            <w:r>
              <w:rPr/>
            </w:r>
          </w:p>
        </w:tc>
      </w:tr>
      <w:tr>
        <w:trPr>
          <w:trHeight w:val="799" w:hRule="atLeast"/>
        </w:trPr>
        <w:tc>
          <w:tcPr>
            <w:tcW w:w="10030" w:type="dxa"/>
            <w:gridSpan w:val="4"/>
            <w:tcBorders>
              <w:top w:val="single" w:sz="4" w:space="0" w:color="000000"/>
              <w:left w:val="single" w:sz="6" w:space="0" w:color="000000"/>
              <w:bottom w:val="single" w:sz="4" w:space="0" w:color="000000"/>
            </w:tcBorders>
            <w:shd w:fill="auto" w:val="clear"/>
            <w:vAlign w:val="center"/>
          </w:tcPr>
          <w:p>
            <w:pPr>
              <w:pStyle w:val="Normal"/>
              <w:tabs>
                <w:tab w:val="clear" w:pos="720"/>
                <w:tab w:val="left" w:pos="1440" w:leader="none"/>
                <w:tab w:val="left" w:pos="1980" w:leader="none"/>
              </w:tabs>
              <w:spacing w:before="120" w:after="120"/>
              <w:jc w:val="both"/>
              <w:rPr>
                <w:rFonts w:ascii="Calibri" w:hAnsi="Calibri" w:cs="Calibri"/>
                <w:b/>
                <w:b/>
                <w:sz w:val="22"/>
                <w:szCs w:val="22"/>
              </w:rPr>
            </w:pPr>
            <w:r>
              <w:rPr>
                <w:rFonts w:cs="Calibri" w:ascii="Calibri" w:hAnsi="Calibri"/>
                <w:b/>
                <w:sz w:val="22"/>
                <w:szCs w:val="22"/>
              </w:rPr>
              <w:t>Limits of Authority:</w:t>
            </w:r>
          </w:p>
          <w:p>
            <w:pPr>
              <w:pStyle w:val="Normal"/>
              <w:tabs>
                <w:tab w:val="clear" w:pos="720"/>
                <w:tab w:val="left" w:pos="1440" w:leader="none"/>
                <w:tab w:val="left" w:pos="1980" w:leader="none"/>
              </w:tabs>
              <w:spacing w:before="120" w:after="120"/>
              <w:jc w:val="both"/>
              <w:rPr>
                <w:rFonts w:ascii="Calibri" w:hAnsi="Calibri" w:cs="Calibri"/>
                <w:bCs/>
                <w:sz w:val="22"/>
                <w:szCs w:val="22"/>
              </w:rPr>
            </w:pPr>
            <w:r>
              <w:rPr>
                <w:rFonts w:cs="Calibri" w:ascii="Calibri" w:hAnsi="Calibri"/>
                <w:bCs/>
                <w:sz w:val="22"/>
                <w:szCs w:val="22"/>
              </w:rPr>
              <w:t>In line with Council scheme of delegation and internal policies.</w:t>
            </w:r>
          </w:p>
        </w:tc>
        <w:tc>
          <w:tcPr>
            <w:tcW w:w="23" w:type="dxa"/>
            <w:tcBorders>
              <w:left w:val="single" w:sz="6" w:space="0" w:color="000000"/>
            </w:tcBorders>
            <w:shd w:fill="auto" w:val="clear"/>
          </w:tcPr>
          <w:p>
            <w:pPr>
              <w:pStyle w:val="Normal"/>
              <w:snapToGrid w:val="false"/>
              <w:rPr/>
            </w:pPr>
            <w:r>
              <w:rPr/>
            </w:r>
          </w:p>
        </w:tc>
      </w:tr>
      <w:tr>
        <w:trPr>
          <w:trHeight w:val="799" w:hRule="atLeast"/>
        </w:trPr>
        <w:tc>
          <w:tcPr>
            <w:tcW w:w="10030" w:type="dxa"/>
            <w:gridSpan w:val="4"/>
            <w:tcBorders>
              <w:top w:val="single" w:sz="4" w:space="0" w:color="000000"/>
              <w:left w:val="single" w:sz="6" w:space="0" w:color="000000"/>
              <w:bottom w:val="single" w:sz="4" w:space="0" w:color="000000"/>
            </w:tcBorders>
            <w:shd w:fill="auto" w:val="clear"/>
            <w:vAlign w:val="center"/>
          </w:tcPr>
          <w:p>
            <w:pPr>
              <w:pStyle w:val="Normal"/>
              <w:spacing w:before="120" w:after="120"/>
              <w:rPr>
                <w:rFonts w:ascii="Calibri" w:hAnsi="Calibri" w:cs="Calibri"/>
                <w:b/>
                <w:b/>
                <w:bCs/>
                <w:sz w:val="22"/>
                <w:szCs w:val="22"/>
              </w:rPr>
            </w:pPr>
            <w:r>
              <w:rPr>
                <w:rFonts w:cs="Calibri" w:ascii="Calibri" w:hAnsi="Calibri"/>
                <w:b/>
                <w:bCs/>
                <w:sz w:val="22"/>
                <w:szCs w:val="22"/>
              </w:rPr>
              <w:t>Health &amp; Safety Responsibility:</w:t>
            </w:r>
          </w:p>
          <w:p>
            <w:pPr>
              <w:pStyle w:val="ListParagraph"/>
              <w:numPr>
                <w:ilvl w:val="0"/>
                <w:numId w:val="4"/>
              </w:numPr>
              <w:spacing w:before="120" w:after="120"/>
              <w:rPr/>
            </w:pPr>
            <w:r>
              <w:rPr>
                <w:rStyle w:val="Normaltextrun"/>
                <w:rFonts w:cs="Calibri" w:ascii="Calibri" w:hAnsi="Calibri"/>
                <w:sz w:val="22"/>
                <w:szCs w:val="22"/>
              </w:rPr>
              <w:t>Carry out work in a manner that does not place the health and safety of yourself or others at unnecessary and/or inappropriate levels of risk.</w:t>
            </w:r>
            <w:r>
              <w:rPr>
                <w:rStyle w:val="Eop"/>
                <w:rFonts w:eastAsia="" w:cs="Calibri" w:ascii="Calibri" w:hAnsi="Calibri"/>
                <w:sz w:val="22"/>
                <w:szCs w:val="22"/>
              </w:rPr>
              <w:t> </w:t>
            </w:r>
          </w:p>
          <w:p>
            <w:pPr>
              <w:pStyle w:val="ListParagraph"/>
              <w:numPr>
                <w:ilvl w:val="0"/>
                <w:numId w:val="4"/>
              </w:numPr>
              <w:spacing w:before="120" w:after="120"/>
              <w:rPr/>
            </w:pPr>
            <w:r>
              <w:rPr>
                <w:rStyle w:val="Normaltextrun"/>
                <w:rFonts w:cs="Calibri" w:ascii="Calibri" w:hAnsi="Calibri"/>
                <w:sz w:val="22"/>
                <w:szCs w:val="22"/>
              </w:rPr>
              <w:t>To fully co-operate with the Department’s and the Council’s managers in all matters relating to occupational health and safety.</w:t>
            </w:r>
            <w:r>
              <w:rPr>
                <w:rStyle w:val="Eop"/>
                <w:rFonts w:eastAsia="" w:cs="Calibri" w:ascii="Calibri" w:hAnsi="Calibri"/>
                <w:sz w:val="22"/>
                <w:szCs w:val="22"/>
              </w:rPr>
              <w:t> </w:t>
            </w:r>
          </w:p>
          <w:p>
            <w:pPr>
              <w:pStyle w:val="ListParagraph"/>
              <w:numPr>
                <w:ilvl w:val="0"/>
                <w:numId w:val="4"/>
              </w:numPr>
              <w:spacing w:before="120" w:after="120"/>
              <w:rPr/>
            </w:pPr>
            <w:r>
              <w:rPr>
                <w:rStyle w:val="Normaltextrun"/>
                <w:rFonts w:cs="Calibri" w:ascii="Calibri" w:hAnsi="Calibri"/>
                <w:sz w:val="22"/>
                <w:szCs w:val="22"/>
              </w:rPr>
              <w:t>To ensure that the Department’s and the Council’s health and safety arrangements are applied.</w:t>
            </w:r>
            <w:r>
              <w:rPr>
                <w:rStyle w:val="Eop"/>
                <w:rFonts w:eastAsia="" w:cs="Calibri" w:ascii="Calibri" w:hAnsi="Calibri"/>
                <w:sz w:val="22"/>
                <w:szCs w:val="22"/>
              </w:rPr>
              <w:t> </w:t>
            </w:r>
          </w:p>
          <w:p>
            <w:pPr>
              <w:pStyle w:val="ListParagraph"/>
              <w:numPr>
                <w:ilvl w:val="0"/>
                <w:numId w:val="4"/>
              </w:numPr>
              <w:spacing w:before="120" w:after="120"/>
              <w:rPr/>
            </w:pPr>
            <w:r>
              <w:rPr>
                <w:rStyle w:val="Normaltextrun"/>
                <w:rFonts w:cs="Calibri" w:ascii="Calibri" w:hAnsi="Calibri"/>
                <w:sz w:val="22"/>
                <w:szCs w:val="22"/>
              </w:rPr>
              <w:t>To report any damage to equipment and shortcomings in local arrangements to a supervisor or line manager. </w:t>
            </w:r>
            <w:r>
              <w:rPr>
                <w:rStyle w:val="Eop"/>
                <w:rFonts w:eastAsia="" w:cs="Calibri" w:ascii="Calibri" w:hAnsi="Calibri"/>
                <w:sz w:val="22"/>
                <w:szCs w:val="22"/>
              </w:rPr>
              <w:t> </w:t>
            </w:r>
          </w:p>
          <w:p>
            <w:pPr>
              <w:pStyle w:val="ListParagraph"/>
              <w:numPr>
                <w:ilvl w:val="0"/>
                <w:numId w:val="4"/>
              </w:numPr>
              <w:spacing w:before="120" w:after="120"/>
              <w:rPr/>
            </w:pPr>
            <w:r>
              <w:rPr>
                <w:rStyle w:val="Normaltextrun"/>
                <w:rFonts w:cs="Calibri" w:ascii="Calibri" w:hAnsi="Calibri"/>
                <w:sz w:val="22"/>
                <w:szCs w:val="22"/>
              </w:rPr>
              <w:t>To ensure that appropriate management or organisational representatives are informed of any apparent cases of serious or imminent danger, any situations which present a significant risk to health or safety, and any shortcomings in departmental and/or organisational arrangements.</w:t>
            </w:r>
          </w:p>
          <w:p>
            <w:pPr>
              <w:pStyle w:val="ListParagraph"/>
              <w:numPr>
                <w:ilvl w:val="0"/>
                <w:numId w:val="4"/>
              </w:numPr>
              <w:spacing w:before="120" w:after="120"/>
              <w:rPr>
                <w:rFonts w:ascii="Calibri" w:hAnsi="Calibri" w:cs="Calibri"/>
                <w:sz w:val="22"/>
                <w:szCs w:val="22"/>
              </w:rPr>
            </w:pPr>
            <w:r>
              <w:rPr>
                <w:rFonts w:cs="Calibri" w:ascii="Calibri" w:hAnsi="Calibri"/>
                <w:sz w:val="22"/>
                <w:szCs w:val="22"/>
              </w:rPr>
              <w:t>Manage the Construction &amp; Maintenance section’s Construction (Design and Management) (CDM) responsibilities relating to all Architectural &amp; Building projects.  </w:t>
            </w:r>
          </w:p>
        </w:tc>
        <w:tc>
          <w:tcPr>
            <w:tcW w:w="23" w:type="dxa"/>
            <w:tcBorders>
              <w:left w:val="single" w:sz="6" w:space="0" w:color="000000"/>
            </w:tcBorders>
            <w:shd w:fill="auto" w:val="clear"/>
          </w:tcPr>
          <w:p>
            <w:pPr>
              <w:pStyle w:val="Normal"/>
              <w:snapToGrid w:val="false"/>
              <w:rPr/>
            </w:pPr>
            <w:r>
              <w:rPr/>
            </w:r>
          </w:p>
        </w:tc>
      </w:tr>
      <w:tr>
        <w:trPr>
          <w:trHeight w:val="799" w:hRule="atLeast"/>
        </w:trPr>
        <w:tc>
          <w:tcPr>
            <w:tcW w:w="10030" w:type="dxa"/>
            <w:gridSpan w:val="4"/>
            <w:tcBorders>
              <w:top w:val="single" w:sz="4" w:space="0" w:color="000000"/>
              <w:left w:val="single" w:sz="6" w:space="0" w:color="000000"/>
              <w:bottom w:val="double" w:sz="4" w:space="0" w:color="000000"/>
            </w:tcBorders>
            <w:shd w:fill="auto" w:val="clear"/>
            <w:vAlign w:val="center"/>
          </w:tcPr>
          <w:p>
            <w:pPr>
              <w:pStyle w:val="Normal"/>
              <w:tabs>
                <w:tab w:val="clear" w:pos="720"/>
                <w:tab w:val="left" w:pos="1440" w:leader="none"/>
                <w:tab w:val="left" w:pos="1980" w:leader="none"/>
              </w:tabs>
              <w:spacing w:before="120" w:after="120"/>
              <w:jc w:val="both"/>
              <w:rPr>
                <w:rFonts w:ascii="Calibri" w:hAnsi="Calibri" w:cs="Calibri"/>
                <w:sz w:val="22"/>
                <w:szCs w:val="22"/>
              </w:rPr>
            </w:pPr>
            <w:r>
              <w:rPr>
                <w:rFonts w:cs="Calibri" w:ascii="Calibri" w:hAnsi="Calibri"/>
                <w:sz w:val="22"/>
                <w:szCs w:val="22"/>
              </w:rPr>
              <w:t>Where an employee is asked to undertake duties other than those specified directly in his/her job description, such duties shall be discussed with the employee concerned who may have his/her Trade Union Representative present if so desired.  (See paragraph 203 of supplemental Conditions of Service.)</w:t>
            </w:r>
          </w:p>
        </w:tc>
        <w:tc>
          <w:tcPr>
            <w:tcW w:w="23" w:type="dxa"/>
            <w:tcBorders>
              <w:left w:val="single" w:sz="6" w:space="0" w:color="000000"/>
            </w:tcBorders>
            <w:shd w:fill="auto" w:val="clear"/>
          </w:tcPr>
          <w:p>
            <w:pPr>
              <w:pStyle w:val="Normal"/>
              <w:snapToGrid w:val="false"/>
              <w:rPr/>
            </w:pPr>
            <w:r>
              <w:rPr/>
            </w:r>
          </w:p>
        </w:tc>
      </w:tr>
      <w:tr>
        <w:trPr>
          <w:trHeight w:val="85" w:hRule="atLeast"/>
        </w:trPr>
        <w:tc>
          <w:tcPr>
            <w:tcW w:w="5210" w:type="dxa"/>
            <w:gridSpan w:val="2"/>
            <w:tcBorders>
              <w:top w:val="double" w:sz="4" w:space="0" w:color="000000"/>
              <w:left w:val="double" w:sz="4" w:space="0" w:color="000000"/>
              <w:bottom w:val="double" w:sz="4" w:space="0" w:color="000000"/>
            </w:tcBorders>
            <w:shd w:fill="auto" w:val="clear"/>
            <w:vAlign w:val="center"/>
          </w:tcPr>
          <w:p>
            <w:pPr>
              <w:pStyle w:val="Normal"/>
              <w:tabs>
                <w:tab w:val="clear" w:pos="720"/>
                <w:tab w:val="left" w:pos="1440" w:leader="none"/>
                <w:tab w:val="left" w:pos="1980" w:leader="none"/>
              </w:tabs>
              <w:spacing w:before="120" w:after="120"/>
              <w:rPr>
                <w:rFonts w:ascii="Calibri" w:hAnsi="Calibri" w:cs="Calibri"/>
                <w:b/>
                <w:b/>
                <w:bCs/>
                <w:sz w:val="22"/>
                <w:szCs w:val="22"/>
              </w:rPr>
            </w:pPr>
            <w:r>
              <w:rPr>
                <w:rFonts w:cs="Calibri" w:ascii="Calibri" w:hAnsi="Calibri"/>
                <w:b/>
                <w:bCs/>
                <w:sz w:val="22"/>
                <w:szCs w:val="22"/>
              </w:rPr>
              <w:t xml:space="preserve">Job Description Prepared By: </w:t>
            </w:r>
          </w:p>
        </w:tc>
        <w:tc>
          <w:tcPr>
            <w:tcW w:w="2694" w:type="dxa"/>
            <w:tcBorders>
              <w:top w:val="double" w:sz="4" w:space="0" w:color="000000"/>
              <w:left w:val="double" w:sz="4" w:space="0" w:color="000000"/>
              <w:bottom w:val="double" w:sz="4" w:space="0" w:color="000000"/>
            </w:tcBorders>
            <w:shd w:fill="auto" w:val="clear"/>
            <w:vAlign w:val="center"/>
          </w:tcPr>
          <w:p>
            <w:pPr>
              <w:pStyle w:val="Normal"/>
              <w:tabs>
                <w:tab w:val="clear" w:pos="720"/>
                <w:tab w:val="left" w:pos="1440" w:leader="none"/>
                <w:tab w:val="left" w:pos="1980" w:leader="none"/>
              </w:tabs>
              <w:spacing w:before="120" w:after="120"/>
              <w:jc w:val="both"/>
              <w:rPr/>
            </w:pPr>
            <w:r>
              <w:rPr>
                <w:rFonts w:cs="Calibri" w:ascii="Calibri" w:hAnsi="Calibri"/>
                <w:b/>
                <w:bCs/>
                <w:sz w:val="22"/>
                <w:szCs w:val="22"/>
              </w:rPr>
              <w:t xml:space="preserve">Signed: </w:t>
            </w:r>
            <w:r>
              <w:rPr>
                <w:rFonts w:cs="Calibri" w:ascii="Calibri" w:hAnsi="Calibri"/>
                <w:sz w:val="22"/>
                <w:szCs w:val="22"/>
              </w:rPr>
              <w:t>Jason Kelly</w:t>
            </w:r>
          </w:p>
        </w:tc>
        <w:tc>
          <w:tcPr>
            <w:tcW w:w="2126" w:type="dxa"/>
            <w:tcBorders>
              <w:top w:val="double" w:sz="4" w:space="0" w:color="000000"/>
              <w:left w:val="double" w:sz="4" w:space="0" w:color="000000"/>
              <w:bottom w:val="double" w:sz="4" w:space="0" w:color="000000"/>
            </w:tcBorders>
            <w:shd w:fill="auto" w:val="clear"/>
            <w:vAlign w:val="center"/>
          </w:tcPr>
          <w:p>
            <w:pPr>
              <w:pStyle w:val="Normal"/>
              <w:tabs>
                <w:tab w:val="clear" w:pos="720"/>
                <w:tab w:val="left" w:pos="1440" w:leader="none"/>
                <w:tab w:val="left" w:pos="1980" w:leader="none"/>
              </w:tabs>
              <w:spacing w:before="120" w:after="120"/>
              <w:jc w:val="both"/>
              <w:rPr/>
            </w:pPr>
            <w:r>
              <w:rPr>
                <w:rFonts w:cs="Calibri" w:ascii="Calibri" w:hAnsi="Calibri"/>
                <w:b/>
                <w:bCs/>
                <w:sz w:val="22"/>
                <w:szCs w:val="22"/>
              </w:rPr>
              <w:t>Date:</w:t>
            </w:r>
            <w:r>
              <w:rPr>
                <w:rFonts w:cs="Calibri" w:ascii="Calibri" w:hAnsi="Calibri"/>
                <w:sz w:val="22"/>
                <w:szCs w:val="22"/>
              </w:rPr>
              <w:t xml:space="preserve"> January 24</w:t>
            </w:r>
          </w:p>
        </w:tc>
        <w:tc>
          <w:tcPr>
            <w:tcW w:w="23" w:type="dxa"/>
            <w:tcBorders>
              <w:left w:val="double" w:sz="4" w:space="0" w:color="000000"/>
            </w:tcBorders>
            <w:shd w:fill="auto" w:val="clear"/>
          </w:tcPr>
          <w:p>
            <w:pPr>
              <w:pStyle w:val="Normal"/>
              <w:snapToGrid w:val="false"/>
              <w:rPr/>
            </w:pPr>
            <w:r>
              <w:rPr/>
            </w:r>
          </w:p>
        </w:tc>
      </w:tr>
      <w:tr>
        <w:trPr>
          <w:trHeight w:val="85" w:hRule="atLeast"/>
        </w:trPr>
        <w:tc>
          <w:tcPr>
            <w:tcW w:w="5210" w:type="dxa"/>
            <w:gridSpan w:val="2"/>
            <w:tcBorders>
              <w:top w:val="double" w:sz="4" w:space="0" w:color="000000"/>
              <w:left w:val="double" w:sz="4" w:space="0" w:color="000000"/>
              <w:bottom w:val="double" w:sz="4" w:space="0" w:color="000000"/>
            </w:tcBorders>
            <w:shd w:fill="auto" w:val="clear"/>
            <w:vAlign w:val="center"/>
          </w:tcPr>
          <w:p>
            <w:pPr>
              <w:pStyle w:val="Normal"/>
              <w:tabs>
                <w:tab w:val="clear" w:pos="720"/>
                <w:tab w:val="left" w:pos="1440" w:leader="none"/>
                <w:tab w:val="left" w:pos="1980" w:leader="none"/>
              </w:tabs>
              <w:spacing w:before="120" w:after="120"/>
              <w:rPr>
                <w:rFonts w:ascii="Calibri" w:hAnsi="Calibri" w:cs="Calibri"/>
                <w:b/>
                <w:b/>
                <w:bCs/>
                <w:sz w:val="22"/>
                <w:szCs w:val="22"/>
              </w:rPr>
            </w:pPr>
            <w:r>
              <w:rPr>
                <w:rFonts w:cs="Calibri" w:ascii="Calibri" w:hAnsi="Calibri"/>
                <w:b/>
                <w:bCs/>
                <w:sz w:val="22"/>
                <w:szCs w:val="22"/>
              </w:rPr>
              <w:t>Agreed Correct By Postholder:</w:t>
            </w:r>
          </w:p>
        </w:tc>
        <w:tc>
          <w:tcPr>
            <w:tcW w:w="2694" w:type="dxa"/>
            <w:tcBorders>
              <w:top w:val="double" w:sz="4" w:space="0" w:color="000000"/>
              <w:left w:val="double" w:sz="4" w:space="0" w:color="000000"/>
              <w:bottom w:val="double" w:sz="4" w:space="0" w:color="000000"/>
            </w:tcBorders>
            <w:shd w:fill="auto" w:val="clear"/>
            <w:vAlign w:val="center"/>
          </w:tcPr>
          <w:p>
            <w:pPr>
              <w:pStyle w:val="Normal"/>
              <w:tabs>
                <w:tab w:val="clear" w:pos="720"/>
                <w:tab w:val="left" w:pos="1440" w:leader="none"/>
                <w:tab w:val="left" w:pos="1980" w:leader="none"/>
              </w:tabs>
              <w:spacing w:before="120" w:after="120"/>
              <w:jc w:val="both"/>
              <w:rPr>
                <w:rFonts w:ascii="Calibri" w:hAnsi="Calibri" w:cs="Calibri"/>
                <w:b/>
                <w:b/>
                <w:bCs/>
                <w:sz w:val="22"/>
                <w:szCs w:val="22"/>
              </w:rPr>
            </w:pPr>
            <w:r>
              <w:rPr>
                <w:rFonts w:cs="Calibri" w:ascii="Calibri" w:hAnsi="Calibri"/>
                <w:b/>
                <w:bCs/>
                <w:sz w:val="22"/>
                <w:szCs w:val="22"/>
              </w:rPr>
              <w:t>Signed:</w:t>
            </w:r>
          </w:p>
        </w:tc>
        <w:tc>
          <w:tcPr>
            <w:tcW w:w="2126" w:type="dxa"/>
            <w:tcBorders>
              <w:top w:val="double" w:sz="4" w:space="0" w:color="000000"/>
              <w:left w:val="double" w:sz="4" w:space="0" w:color="000000"/>
              <w:bottom w:val="double" w:sz="4" w:space="0" w:color="000000"/>
            </w:tcBorders>
            <w:shd w:fill="auto" w:val="clear"/>
            <w:vAlign w:val="center"/>
          </w:tcPr>
          <w:p>
            <w:pPr>
              <w:pStyle w:val="Normal"/>
              <w:tabs>
                <w:tab w:val="clear" w:pos="720"/>
                <w:tab w:val="left" w:pos="1440" w:leader="none"/>
                <w:tab w:val="left" w:pos="1980" w:leader="none"/>
              </w:tabs>
              <w:spacing w:before="120" w:after="120"/>
              <w:jc w:val="both"/>
              <w:rPr>
                <w:rFonts w:ascii="Calibri" w:hAnsi="Calibri" w:cs="Calibri"/>
                <w:b/>
                <w:b/>
                <w:bCs/>
                <w:sz w:val="22"/>
                <w:szCs w:val="22"/>
              </w:rPr>
            </w:pPr>
            <w:r>
              <w:rPr>
                <w:rFonts w:cs="Calibri" w:ascii="Calibri" w:hAnsi="Calibri"/>
                <w:b/>
                <w:bCs/>
                <w:sz w:val="22"/>
                <w:szCs w:val="22"/>
              </w:rPr>
              <w:t>Date:</w:t>
            </w:r>
          </w:p>
        </w:tc>
        <w:tc>
          <w:tcPr>
            <w:tcW w:w="23" w:type="dxa"/>
            <w:tcBorders>
              <w:left w:val="double" w:sz="4" w:space="0" w:color="000000"/>
            </w:tcBorders>
            <w:shd w:fill="auto" w:val="clear"/>
          </w:tcPr>
          <w:p>
            <w:pPr>
              <w:pStyle w:val="Normal"/>
              <w:snapToGrid w:val="false"/>
              <w:rPr/>
            </w:pPr>
            <w:r>
              <w:rPr/>
            </w:r>
          </w:p>
        </w:tc>
      </w:tr>
      <w:tr>
        <w:trPr>
          <w:trHeight w:val="85" w:hRule="atLeast"/>
        </w:trPr>
        <w:tc>
          <w:tcPr>
            <w:tcW w:w="5210" w:type="dxa"/>
            <w:gridSpan w:val="2"/>
            <w:tcBorders>
              <w:top w:val="double" w:sz="4" w:space="0" w:color="000000"/>
              <w:left w:val="double" w:sz="4" w:space="0" w:color="000000"/>
              <w:bottom w:val="double" w:sz="4" w:space="0" w:color="000000"/>
            </w:tcBorders>
            <w:shd w:fill="auto" w:val="clear"/>
            <w:vAlign w:val="center"/>
          </w:tcPr>
          <w:p>
            <w:pPr>
              <w:pStyle w:val="Normal"/>
              <w:tabs>
                <w:tab w:val="clear" w:pos="720"/>
                <w:tab w:val="left" w:pos="1440" w:leader="none"/>
                <w:tab w:val="left" w:pos="1980" w:leader="none"/>
              </w:tabs>
              <w:spacing w:before="120" w:after="120"/>
              <w:rPr>
                <w:rFonts w:ascii="Calibri" w:hAnsi="Calibri" w:cs="Calibri"/>
                <w:b/>
                <w:b/>
                <w:bCs/>
                <w:sz w:val="22"/>
                <w:szCs w:val="22"/>
              </w:rPr>
            </w:pPr>
            <w:r>
              <w:rPr>
                <w:rFonts w:cs="Calibri" w:ascii="Calibri" w:hAnsi="Calibri"/>
                <w:b/>
                <w:bCs/>
                <w:sz w:val="22"/>
                <w:szCs w:val="22"/>
              </w:rPr>
              <w:t>Agreed Correct By Supervisor/Manager:</w:t>
            </w:r>
          </w:p>
        </w:tc>
        <w:tc>
          <w:tcPr>
            <w:tcW w:w="2694" w:type="dxa"/>
            <w:tcBorders>
              <w:top w:val="double" w:sz="4" w:space="0" w:color="000000"/>
              <w:left w:val="double" w:sz="4" w:space="0" w:color="000000"/>
              <w:bottom w:val="double" w:sz="4" w:space="0" w:color="000000"/>
            </w:tcBorders>
            <w:shd w:fill="auto" w:val="clear"/>
            <w:vAlign w:val="center"/>
          </w:tcPr>
          <w:p>
            <w:pPr>
              <w:pStyle w:val="Normal"/>
              <w:tabs>
                <w:tab w:val="clear" w:pos="720"/>
                <w:tab w:val="left" w:pos="1440" w:leader="none"/>
                <w:tab w:val="left" w:pos="1980" w:leader="none"/>
              </w:tabs>
              <w:spacing w:before="120" w:after="120"/>
              <w:jc w:val="both"/>
              <w:rPr/>
            </w:pPr>
            <w:r>
              <w:rPr>
                <w:rFonts w:cs="Calibri" w:ascii="Calibri" w:hAnsi="Calibri"/>
                <w:b/>
                <w:bCs/>
                <w:sz w:val="22"/>
                <w:szCs w:val="22"/>
              </w:rPr>
              <w:t>Signed:</w:t>
            </w:r>
            <w:r>
              <w:rPr>
                <w:rFonts w:cs="Calibri" w:ascii="Calibri" w:hAnsi="Calibri"/>
                <w:sz w:val="22"/>
                <w:szCs w:val="22"/>
              </w:rPr>
              <w:t>Robert Summerfield</w:t>
            </w:r>
          </w:p>
        </w:tc>
        <w:tc>
          <w:tcPr>
            <w:tcW w:w="2126" w:type="dxa"/>
            <w:tcBorders>
              <w:top w:val="double" w:sz="4" w:space="0" w:color="000000"/>
              <w:left w:val="double" w:sz="4" w:space="0" w:color="000000"/>
              <w:bottom w:val="double" w:sz="4" w:space="0" w:color="000000"/>
            </w:tcBorders>
            <w:shd w:fill="auto" w:val="clear"/>
            <w:vAlign w:val="center"/>
          </w:tcPr>
          <w:p>
            <w:pPr>
              <w:pStyle w:val="Normal"/>
              <w:tabs>
                <w:tab w:val="clear" w:pos="720"/>
                <w:tab w:val="left" w:pos="1440" w:leader="none"/>
                <w:tab w:val="left" w:pos="1980" w:leader="none"/>
              </w:tabs>
              <w:spacing w:before="120" w:after="120"/>
              <w:jc w:val="both"/>
              <w:rPr>
                <w:rFonts w:ascii="Calibri" w:hAnsi="Calibri" w:cs="Calibri"/>
                <w:b/>
                <w:b/>
                <w:bCs/>
                <w:sz w:val="22"/>
                <w:szCs w:val="22"/>
              </w:rPr>
            </w:pPr>
            <w:r>
              <w:rPr>
                <w:rFonts w:cs="Calibri" w:ascii="Calibri" w:hAnsi="Calibri"/>
                <w:b/>
                <w:bCs/>
                <w:sz w:val="22"/>
                <w:szCs w:val="22"/>
              </w:rPr>
              <w:t>Date: 28/08/2026</w:t>
            </w:r>
          </w:p>
        </w:tc>
        <w:tc>
          <w:tcPr>
            <w:tcW w:w="23" w:type="dxa"/>
            <w:tcBorders>
              <w:left w:val="double" w:sz="4" w:space="0" w:color="000000"/>
            </w:tcBorders>
            <w:shd w:fill="auto" w:val="clear"/>
          </w:tcPr>
          <w:p>
            <w:pPr>
              <w:pStyle w:val="Normal"/>
              <w:snapToGrid w:val="false"/>
              <w:rPr/>
            </w:pPr>
            <w:r>
              <w:rPr/>
            </w:r>
          </w:p>
        </w:tc>
      </w:tr>
    </w:tbl>
    <w:p>
      <w:pPr>
        <w:pStyle w:val="Normal"/>
        <w:spacing w:before="120" w:after="120"/>
        <w:rPr>
          <w:rFonts w:ascii="Calibri" w:hAnsi="Calibri" w:cs="Calibri"/>
          <w:sz w:val="22"/>
          <w:szCs w:val="22"/>
        </w:rPr>
      </w:pPr>
      <w:r>
        <w:rPr>
          <w:rFonts w:cs="Calibri" w:ascii="Calibri" w:hAnsi="Calibri"/>
          <w:sz w:val="22"/>
          <w:szCs w:val="22"/>
        </w:rPr>
      </w:r>
    </w:p>
    <w:p>
      <w:pPr>
        <w:pStyle w:val="Normal"/>
        <w:keepNext w:val="true"/>
        <w:widowControl w:val="false"/>
        <w:spacing w:before="120" w:after="120"/>
        <w:jc w:val="center"/>
        <w:rPr>
          <w:rFonts w:ascii="Calibri" w:hAnsi="Calibri" w:cs="Calibri"/>
          <w:b/>
          <w:b/>
          <w:bCs/>
          <w:sz w:val="22"/>
          <w:szCs w:val="22"/>
        </w:rPr>
      </w:pPr>
      <w:r>
        <w:rPr>
          <w:rFonts w:cs="Calibri" w:ascii="Calibri" w:hAnsi="Calibri"/>
          <w:b/>
          <w:bCs/>
          <w:sz w:val="22"/>
          <w:szCs w:val="22"/>
        </w:rPr>
        <w:t>DEPARTMENT FOR PLACE</w:t>
      </w:r>
    </w:p>
    <w:p>
      <w:pPr>
        <w:pStyle w:val="Normal"/>
        <w:keepNext w:val="true"/>
        <w:spacing w:before="120" w:after="120"/>
        <w:jc w:val="center"/>
        <w:rPr/>
      </w:pPr>
      <w:r>
        <w:rPr>
          <w:rFonts w:cs="Calibri" w:ascii="Calibri" w:hAnsi="Calibri"/>
          <w:bCs/>
          <w:sz w:val="22"/>
          <w:szCs w:val="22"/>
        </w:rPr>
        <w:t>Senior</w:t>
      </w:r>
      <w:r>
        <w:rPr>
          <w:rFonts w:cs="Calibri" w:ascii="Calibri" w:hAnsi="Calibri"/>
          <w:b/>
          <w:sz w:val="22"/>
          <w:szCs w:val="22"/>
        </w:rPr>
        <w:t xml:space="preserve"> </w:t>
      </w:r>
      <w:r>
        <w:rPr>
          <w:rFonts w:cs="Calibri" w:ascii="Calibri" w:hAnsi="Calibri"/>
          <w:sz w:val="22"/>
          <w:szCs w:val="22"/>
        </w:rPr>
        <w:t>Programme Manager (Construction)</w:t>
      </w:r>
    </w:p>
    <w:tbl>
      <w:tblPr>
        <w:tblW w:w="9745" w:type="dxa"/>
        <w:jc w:val="left"/>
        <w:tblInd w:w="0" w:type="dxa"/>
        <w:tblCellMar>
          <w:top w:w="0" w:type="dxa"/>
          <w:left w:w="108" w:type="dxa"/>
          <w:bottom w:w="0" w:type="dxa"/>
          <w:right w:w="108" w:type="dxa"/>
        </w:tblCellMar>
      </w:tblPr>
      <w:tblGrid>
        <w:gridCol w:w="4343"/>
        <w:gridCol w:w="541"/>
        <w:gridCol w:w="4310"/>
        <w:gridCol w:w="541"/>
        <w:gridCol w:w="10"/>
      </w:tblGrid>
      <w:tr>
        <w:trPr>
          <w:trHeight w:val="454" w:hRule="atLeast"/>
        </w:trPr>
        <w:tc>
          <w:tcPr>
            <w:tcW w:w="9745"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spacing w:before="120" w:after="120"/>
              <w:rPr>
                <w:rFonts w:ascii="Calibri" w:hAnsi="Calibri" w:cs="Calibri"/>
                <w:b/>
                <w:b/>
                <w:sz w:val="22"/>
                <w:szCs w:val="22"/>
              </w:rPr>
            </w:pPr>
            <w:r>
              <w:rPr>
                <w:rFonts w:cs="Calibri" w:ascii="Calibri" w:hAnsi="Calibri"/>
                <w:b/>
                <w:sz w:val="22"/>
                <w:szCs w:val="22"/>
              </w:rPr>
              <w:t>CORE BEHAVIOURS FOR THE POST (Please tick those relevant)</w:t>
            </w:r>
          </w:p>
        </w:tc>
      </w:tr>
      <w:tr>
        <w:trPr>
          <w:trHeight w:val="567" w:hRule="atLeast"/>
        </w:trPr>
        <w:tc>
          <w:tcPr>
            <w:tcW w:w="4343" w:type="dxa"/>
            <w:tcBorders>
              <w:top w:val="single" w:sz="4" w:space="0" w:color="000000"/>
              <w:left w:val="single" w:sz="4" w:space="0" w:color="000000"/>
              <w:bottom w:val="single" w:sz="4" w:space="0" w:color="000000"/>
            </w:tcBorders>
            <w:shd w:fill="auto" w:val="clear"/>
            <w:vAlign w:val="center"/>
          </w:tcPr>
          <w:p>
            <w:pPr>
              <w:pStyle w:val="Normal"/>
              <w:keepNext w:val="true"/>
              <w:spacing w:before="120" w:after="120"/>
              <w:jc w:val="right"/>
              <w:rPr>
                <w:rFonts w:ascii="Calibri" w:hAnsi="Calibri" w:cs="Calibri"/>
                <w:sz w:val="22"/>
                <w:szCs w:val="22"/>
              </w:rPr>
            </w:pPr>
            <w:r>
              <w:rPr>
                <w:rFonts w:cs="Calibri" w:ascii="Calibri" w:hAnsi="Calibri"/>
                <w:sz w:val="22"/>
                <w:szCs w:val="22"/>
              </w:rPr>
              <w:t>Commercial Thinking &amp; Analysis</w:t>
            </w:r>
          </w:p>
        </w:tc>
        <w:tc>
          <w:tcPr>
            <w:tcW w:w="541" w:type="dxa"/>
            <w:tcBorders>
              <w:top w:val="single" w:sz="4" w:space="0" w:color="000000"/>
              <w:left w:val="single" w:sz="4" w:space="0" w:color="000000"/>
              <w:bottom w:val="single" w:sz="4" w:space="0" w:color="000000"/>
            </w:tcBorders>
            <w:shd w:fill="auto" w:val="clear"/>
            <w:vAlign w:val="center"/>
          </w:tcPr>
          <w:p>
            <w:pPr>
              <w:pStyle w:val="Normal"/>
              <w:keepNext w:val="true"/>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4310" w:type="dxa"/>
            <w:tcBorders>
              <w:top w:val="single" w:sz="4" w:space="0" w:color="000000"/>
              <w:left w:val="single" w:sz="4" w:space="0" w:color="000000"/>
              <w:bottom w:val="single" w:sz="4" w:space="0" w:color="000000"/>
            </w:tcBorders>
            <w:shd w:fill="auto" w:val="clear"/>
            <w:vAlign w:val="center"/>
          </w:tcPr>
          <w:p>
            <w:pPr>
              <w:pStyle w:val="Normal"/>
              <w:keepNext w:val="true"/>
              <w:spacing w:before="120" w:after="120"/>
              <w:jc w:val="right"/>
              <w:rPr>
                <w:rFonts w:ascii="Calibri" w:hAnsi="Calibri" w:cs="Calibri"/>
                <w:sz w:val="22"/>
                <w:szCs w:val="22"/>
              </w:rPr>
            </w:pPr>
            <w:r>
              <w:rPr>
                <w:rFonts w:cs="Calibri" w:ascii="Calibri" w:hAnsi="Calibri"/>
                <w:sz w:val="22"/>
                <w:szCs w:val="22"/>
              </w:rPr>
              <w:t>Planning</w:t>
            </w:r>
          </w:p>
        </w:tc>
        <w:tc>
          <w:tcPr>
            <w:tcW w:w="55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r>
      <w:tr>
        <w:trPr>
          <w:trHeight w:val="567" w:hRule="atLeast"/>
        </w:trPr>
        <w:tc>
          <w:tcPr>
            <w:tcW w:w="4343" w:type="dxa"/>
            <w:tcBorders>
              <w:top w:val="single" w:sz="4" w:space="0" w:color="000000"/>
              <w:left w:val="single" w:sz="4" w:space="0" w:color="000000"/>
              <w:bottom w:val="single" w:sz="4" w:space="0" w:color="000000"/>
            </w:tcBorders>
            <w:shd w:fill="auto" w:val="clear"/>
            <w:vAlign w:val="center"/>
          </w:tcPr>
          <w:p>
            <w:pPr>
              <w:pStyle w:val="Normal"/>
              <w:keepNext w:val="true"/>
              <w:spacing w:before="120" w:after="120"/>
              <w:jc w:val="right"/>
              <w:rPr>
                <w:rFonts w:ascii="Calibri" w:hAnsi="Calibri" w:cs="Calibri"/>
                <w:sz w:val="22"/>
                <w:szCs w:val="22"/>
              </w:rPr>
            </w:pPr>
            <w:r>
              <w:rPr>
                <w:rFonts w:cs="Calibri" w:ascii="Calibri" w:hAnsi="Calibri"/>
                <w:sz w:val="22"/>
                <w:szCs w:val="22"/>
              </w:rPr>
              <w:t>Customer Service</w:t>
            </w:r>
          </w:p>
        </w:tc>
        <w:tc>
          <w:tcPr>
            <w:tcW w:w="541" w:type="dxa"/>
            <w:tcBorders>
              <w:top w:val="single" w:sz="4" w:space="0" w:color="000000"/>
              <w:left w:val="single" w:sz="4" w:space="0" w:color="000000"/>
              <w:bottom w:val="single" w:sz="4" w:space="0" w:color="000000"/>
            </w:tcBorders>
            <w:shd w:fill="auto" w:val="clear"/>
            <w:vAlign w:val="center"/>
          </w:tcPr>
          <w:p>
            <w:pPr>
              <w:pStyle w:val="Normal"/>
              <w:keepNext w:val="true"/>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4310" w:type="dxa"/>
            <w:tcBorders>
              <w:top w:val="single" w:sz="4" w:space="0" w:color="000000"/>
              <w:left w:val="single" w:sz="4" w:space="0" w:color="000000"/>
              <w:bottom w:val="single" w:sz="4" w:space="0" w:color="000000"/>
            </w:tcBorders>
            <w:shd w:fill="auto" w:val="clear"/>
            <w:vAlign w:val="center"/>
          </w:tcPr>
          <w:p>
            <w:pPr>
              <w:pStyle w:val="Normal"/>
              <w:keepNext w:val="true"/>
              <w:spacing w:before="120" w:after="120"/>
              <w:jc w:val="right"/>
              <w:rPr>
                <w:rFonts w:ascii="Calibri" w:hAnsi="Calibri" w:cs="Calibri"/>
                <w:sz w:val="22"/>
                <w:szCs w:val="22"/>
              </w:rPr>
            </w:pPr>
            <w:r>
              <w:rPr>
                <w:rFonts w:cs="Calibri" w:ascii="Calibri" w:hAnsi="Calibri"/>
                <w:sz w:val="22"/>
                <w:szCs w:val="22"/>
              </w:rPr>
              <w:t>Developing Self &amp; Others</w:t>
            </w:r>
          </w:p>
        </w:tc>
        <w:tc>
          <w:tcPr>
            <w:tcW w:w="55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r>
      <w:tr>
        <w:trPr>
          <w:trHeight w:val="567" w:hRule="atLeast"/>
        </w:trPr>
        <w:tc>
          <w:tcPr>
            <w:tcW w:w="4343" w:type="dxa"/>
            <w:tcBorders>
              <w:top w:val="single" w:sz="4" w:space="0" w:color="000000"/>
              <w:left w:val="single" w:sz="4" w:space="0" w:color="000000"/>
              <w:bottom w:val="single" w:sz="4" w:space="0" w:color="000000"/>
            </w:tcBorders>
            <w:shd w:fill="auto" w:val="clear"/>
            <w:vAlign w:val="center"/>
          </w:tcPr>
          <w:p>
            <w:pPr>
              <w:pStyle w:val="Normal"/>
              <w:keepNext w:val="true"/>
              <w:spacing w:before="120" w:after="120"/>
              <w:jc w:val="right"/>
              <w:rPr>
                <w:rFonts w:ascii="Calibri" w:hAnsi="Calibri" w:cs="Calibri"/>
                <w:sz w:val="22"/>
                <w:szCs w:val="22"/>
              </w:rPr>
            </w:pPr>
            <w:r>
              <w:rPr>
                <w:rFonts w:cs="Calibri" w:ascii="Calibri" w:hAnsi="Calibri"/>
                <w:sz w:val="22"/>
                <w:szCs w:val="22"/>
              </w:rPr>
              <w:t>Delivering Results</w:t>
            </w:r>
          </w:p>
        </w:tc>
        <w:tc>
          <w:tcPr>
            <w:tcW w:w="541" w:type="dxa"/>
            <w:tcBorders>
              <w:top w:val="single" w:sz="4" w:space="0" w:color="000000"/>
              <w:left w:val="single" w:sz="4" w:space="0" w:color="000000"/>
              <w:bottom w:val="single" w:sz="4" w:space="0" w:color="000000"/>
            </w:tcBorders>
            <w:shd w:fill="auto" w:val="clear"/>
            <w:vAlign w:val="center"/>
          </w:tcPr>
          <w:p>
            <w:pPr>
              <w:pStyle w:val="Normal"/>
              <w:keepNext w:val="true"/>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4310" w:type="dxa"/>
            <w:tcBorders>
              <w:top w:val="single" w:sz="4" w:space="0" w:color="000000"/>
              <w:left w:val="single" w:sz="4" w:space="0" w:color="000000"/>
              <w:bottom w:val="single" w:sz="4" w:space="0" w:color="000000"/>
            </w:tcBorders>
            <w:shd w:fill="auto" w:val="clear"/>
            <w:vAlign w:val="center"/>
          </w:tcPr>
          <w:p>
            <w:pPr>
              <w:pStyle w:val="Normal"/>
              <w:keepNext w:val="true"/>
              <w:spacing w:before="120" w:after="120"/>
              <w:jc w:val="right"/>
              <w:rPr>
                <w:rFonts w:ascii="Calibri" w:hAnsi="Calibri" w:cs="Calibri"/>
                <w:sz w:val="22"/>
                <w:szCs w:val="22"/>
              </w:rPr>
            </w:pPr>
            <w:r>
              <w:rPr>
                <w:rFonts w:cs="Calibri" w:ascii="Calibri" w:hAnsi="Calibri"/>
                <w:sz w:val="22"/>
                <w:szCs w:val="22"/>
              </w:rPr>
              <w:t>Teams, Networking &amp; Partnerships</w:t>
            </w:r>
          </w:p>
        </w:tc>
        <w:tc>
          <w:tcPr>
            <w:tcW w:w="55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r>
      <w:tr>
        <w:trPr>
          <w:trHeight w:val="567" w:hRule="atLeast"/>
        </w:trPr>
        <w:tc>
          <w:tcPr>
            <w:tcW w:w="4343" w:type="dxa"/>
            <w:tcBorders>
              <w:top w:val="single" w:sz="4" w:space="0" w:color="000000"/>
              <w:left w:val="single" w:sz="4" w:space="0" w:color="000000"/>
              <w:bottom w:val="single" w:sz="4" w:space="0" w:color="000000"/>
            </w:tcBorders>
            <w:shd w:fill="auto" w:val="clear"/>
            <w:vAlign w:val="center"/>
          </w:tcPr>
          <w:p>
            <w:pPr>
              <w:pStyle w:val="Normal"/>
              <w:keepNext w:val="true"/>
              <w:spacing w:before="120" w:after="120"/>
              <w:jc w:val="right"/>
              <w:rPr>
                <w:rFonts w:ascii="Calibri" w:hAnsi="Calibri" w:cs="Calibri"/>
                <w:sz w:val="22"/>
                <w:szCs w:val="22"/>
              </w:rPr>
            </w:pPr>
            <w:r>
              <w:rPr>
                <w:rFonts w:cs="Calibri" w:ascii="Calibri" w:hAnsi="Calibri"/>
                <w:sz w:val="22"/>
                <w:szCs w:val="22"/>
              </w:rPr>
              <w:t>Values, Ethics &amp; Diversity</w:t>
            </w:r>
          </w:p>
        </w:tc>
        <w:tc>
          <w:tcPr>
            <w:tcW w:w="541" w:type="dxa"/>
            <w:tcBorders>
              <w:top w:val="single" w:sz="4" w:space="0" w:color="000000"/>
              <w:left w:val="single" w:sz="4" w:space="0" w:color="000000"/>
              <w:bottom w:val="single" w:sz="4" w:space="0" w:color="000000"/>
            </w:tcBorders>
            <w:shd w:fill="auto" w:val="clear"/>
            <w:vAlign w:val="center"/>
          </w:tcPr>
          <w:p>
            <w:pPr>
              <w:pStyle w:val="Normal"/>
              <w:keepNext w:val="true"/>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4310" w:type="dxa"/>
            <w:tcBorders>
              <w:top w:val="single" w:sz="4" w:space="0" w:color="000000"/>
              <w:left w:val="single" w:sz="4" w:space="0" w:color="000000"/>
              <w:bottom w:val="single" w:sz="4" w:space="0" w:color="000000"/>
            </w:tcBorders>
            <w:shd w:fill="auto" w:val="clear"/>
            <w:vAlign w:val="center"/>
          </w:tcPr>
          <w:p>
            <w:pPr>
              <w:pStyle w:val="Normal"/>
              <w:keepNext w:val="true"/>
              <w:spacing w:before="120" w:after="120"/>
              <w:jc w:val="right"/>
              <w:rPr>
                <w:rFonts w:ascii="Calibri" w:hAnsi="Calibri" w:cs="Calibri"/>
                <w:sz w:val="22"/>
                <w:szCs w:val="22"/>
              </w:rPr>
            </w:pPr>
            <w:r>
              <w:rPr>
                <w:rFonts w:cs="Calibri" w:ascii="Calibri" w:hAnsi="Calibri"/>
                <w:sz w:val="22"/>
                <w:szCs w:val="22"/>
              </w:rPr>
              <w:t>Adapting to Change</w:t>
            </w:r>
          </w:p>
        </w:tc>
        <w:tc>
          <w:tcPr>
            <w:tcW w:w="55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r>
      <w:tr>
        <w:trPr>
          <w:trHeight w:val="567" w:hRule="atLeast"/>
        </w:trPr>
        <w:tc>
          <w:tcPr>
            <w:tcW w:w="4343" w:type="dxa"/>
            <w:tcBorders>
              <w:top w:val="single" w:sz="4" w:space="0" w:color="000000"/>
              <w:left w:val="single" w:sz="4" w:space="0" w:color="000000"/>
              <w:bottom w:val="single" w:sz="4" w:space="0" w:color="000000"/>
            </w:tcBorders>
            <w:shd w:fill="auto" w:val="clear"/>
            <w:vAlign w:val="center"/>
          </w:tcPr>
          <w:p>
            <w:pPr>
              <w:pStyle w:val="Normal"/>
              <w:keepNext w:val="true"/>
              <w:spacing w:before="120" w:after="120"/>
              <w:jc w:val="right"/>
              <w:rPr>
                <w:rFonts w:ascii="Calibri" w:hAnsi="Calibri" w:cs="Calibri"/>
                <w:sz w:val="22"/>
                <w:szCs w:val="22"/>
              </w:rPr>
            </w:pPr>
            <w:r>
              <w:rPr>
                <w:rFonts w:cs="Calibri" w:ascii="Calibri" w:hAnsi="Calibri"/>
                <w:sz w:val="22"/>
                <w:szCs w:val="22"/>
              </w:rPr>
              <w:t>Delivering a Quality Service (Continuous Improvement)</w:t>
            </w:r>
          </w:p>
        </w:tc>
        <w:tc>
          <w:tcPr>
            <w:tcW w:w="541" w:type="dxa"/>
            <w:tcBorders>
              <w:top w:val="single" w:sz="4" w:space="0" w:color="000000"/>
              <w:left w:val="single" w:sz="4" w:space="0" w:color="000000"/>
              <w:bottom w:val="single" w:sz="4" w:space="0" w:color="000000"/>
            </w:tcBorders>
            <w:shd w:fill="auto" w:val="clear"/>
            <w:vAlign w:val="center"/>
          </w:tcPr>
          <w:p>
            <w:pPr>
              <w:pStyle w:val="Normal"/>
              <w:keepNext w:val="true"/>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4310" w:type="dxa"/>
            <w:tcBorders>
              <w:top w:val="single" w:sz="4" w:space="0" w:color="000000"/>
              <w:left w:val="single" w:sz="4" w:space="0" w:color="000000"/>
            </w:tcBorders>
            <w:shd w:fill="auto" w:val="clear"/>
            <w:vAlign w:val="center"/>
          </w:tcPr>
          <w:p>
            <w:pPr>
              <w:pStyle w:val="Normal"/>
              <w:keepNext w:val="true"/>
              <w:snapToGrid w:val="false"/>
              <w:spacing w:before="120" w:after="120"/>
              <w:rPr>
                <w:rFonts w:ascii="Calibri" w:hAnsi="Calibri" w:cs="Calibri"/>
                <w:sz w:val="22"/>
                <w:szCs w:val="22"/>
              </w:rPr>
            </w:pPr>
            <w:r>
              <w:rPr>
                <w:rFonts w:cs="Calibri" w:ascii="Calibri" w:hAnsi="Calibri"/>
                <w:sz w:val="22"/>
                <w:szCs w:val="22"/>
              </w:rPr>
            </w:r>
          </w:p>
        </w:tc>
        <w:tc>
          <w:tcPr>
            <w:tcW w:w="541" w:type="dxa"/>
            <w:tcBorders>
              <w:top w:val="single" w:sz="4" w:space="0" w:color="000000"/>
            </w:tcBorders>
            <w:shd w:fill="auto" w:val="clear"/>
            <w:vAlign w:val="center"/>
          </w:tcPr>
          <w:p>
            <w:pPr>
              <w:pStyle w:val="Normal"/>
              <w:keepNext w:val="true"/>
              <w:snapToGrid w:val="false"/>
              <w:spacing w:before="120" w:after="120"/>
              <w:rPr>
                <w:rFonts w:ascii="Calibri" w:hAnsi="Calibri" w:cs="Calibri"/>
                <w:sz w:val="22"/>
                <w:szCs w:val="22"/>
              </w:rPr>
            </w:pPr>
            <w:r>
              <w:rPr>
                <w:rFonts w:cs="Calibri" w:ascii="Calibri" w:hAnsi="Calibri"/>
                <w:sz w:val="22"/>
                <w:szCs w:val="22"/>
              </w:rPr>
            </w:r>
          </w:p>
        </w:tc>
      </w:tr>
    </w:tbl>
    <w:p>
      <w:pPr>
        <w:pStyle w:val="Normal"/>
        <w:keepNext w:val="true"/>
        <w:spacing w:before="120" w:after="120"/>
        <w:rPr>
          <w:rFonts w:ascii="Calibri" w:hAnsi="Calibri" w:cs="Calibri"/>
          <w:sz w:val="22"/>
          <w:szCs w:val="22"/>
        </w:rPr>
      </w:pPr>
      <w:r>
        <w:rPr>
          <w:rFonts w:cs="Calibri" w:ascii="Calibri" w:hAnsi="Calibri"/>
          <w:sz w:val="22"/>
          <w:szCs w:val="22"/>
        </w:rPr>
      </w:r>
    </w:p>
    <w:tbl>
      <w:tblPr>
        <w:tblW w:w="5000" w:type="pct"/>
        <w:jc w:val="left"/>
        <w:tblInd w:w="0" w:type="dxa"/>
        <w:tblCellMar>
          <w:top w:w="0" w:type="dxa"/>
          <w:left w:w="108" w:type="dxa"/>
          <w:bottom w:w="0" w:type="dxa"/>
          <w:right w:w="108" w:type="dxa"/>
        </w:tblCellMar>
      </w:tblPr>
      <w:tblGrid>
        <w:gridCol w:w="6341"/>
        <w:gridCol w:w="1766"/>
        <w:gridCol w:w="1639"/>
      </w:tblGrid>
      <w:tr>
        <w:trPr/>
        <w:tc>
          <w:tcPr>
            <w:tcW w:w="6341" w:type="dxa"/>
            <w:tcBorders>
              <w:top w:val="single" w:sz="4" w:space="0" w:color="000000"/>
              <w:left w:val="single" w:sz="4" w:space="0" w:color="000000"/>
            </w:tcBorders>
            <w:shd w:fill="auto" w:val="clear"/>
            <w:vAlign w:val="center"/>
          </w:tcPr>
          <w:p>
            <w:pPr>
              <w:pStyle w:val="Normal"/>
              <w:keepNext w:val="true"/>
              <w:keepLines/>
              <w:spacing w:before="120" w:after="120"/>
              <w:rPr>
                <w:rFonts w:ascii="Calibri" w:hAnsi="Calibri" w:cs="Calibri"/>
                <w:b/>
                <w:b/>
                <w:sz w:val="22"/>
                <w:szCs w:val="22"/>
              </w:rPr>
            </w:pPr>
            <w:r>
              <w:rPr>
                <w:rFonts w:cs="Calibri" w:ascii="Calibri" w:hAnsi="Calibri"/>
                <w:b/>
                <w:sz w:val="22"/>
                <w:szCs w:val="22"/>
              </w:rPr>
              <w:t>SHORT LISTING CRITERIA</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jc w:val="center"/>
              <w:rPr>
                <w:rFonts w:ascii="Calibri" w:hAnsi="Calibri" w:cs="Calibri"/>
                <w:b/>
                <w:b/>
                <w:sz w:val="22"/>
                <w:szCs w:val="22"/>
              </w:rPr>
            </w:pPr>
            <w:r>
              <w:rPr>
                <w:rFonts w:cs="Calibri" w:ascii="Calibri" w:hAnsi="Calibri"/>
                <w:b/>
                <w:sz w:val="22"/>
                <w:szCs w:val="22"/>
              </w:rPr>
              <w:t>ESSENTIAL</w:t>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pacing w:before="120" w:after="120"/>
              <w:jc w:val="center"/>
              <w:rPr>
                <w:rFonts w:ascii="Calibri" w:hAnsi="Calibri" w:cs="Calibri"/>
                <w:b/>
                <w:b/>
                <w:sz w:val="22"/>
                <w:szCs w:val="22"/>
              </w:rPr>
            </w:pPr>
            <w:r>
              <w:rPr>
                <w:rFonts w:cs="Calibri" w:ascii="Calibri" w:hAnsi="Calibri"/>
                <w:b/>
                <w:sz w:val="22"/>
                <w:szCs w:val="22"/>
              </w:rPr>
              <w:t>DESIRABLE</w:t>
            </w:r>
          </w:p>
        </w:tc>
      </w:tr>
      <w:tr>
        <w:trPr>
          <w:trHeight w:val="611" w:hRule="atLeast"/>
        </w:trPr>
        <w:tc>
          <w:tcPr>
            <w:tcW w:w="9746"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pacing w:before="120" w:after="120"/>
              <w:rPr>
                <w:rFonts w:ascii="Calibri" w:hAnsi="Calibri" w:cs="Calibri"/>
                <w:b/>
                <w:b/>
                <w:i/>
                <w:i/>
                <w:sz w:val="22"/>
                <w:szCs w:val="22"/>
              </w:rPr>
            </w:pPr>
            <w:r>
              <w:rPr>
                <w:rFonts w:cs="Calibri" w:ascii="Calibri" w:hAnsi="Calibri"/>
                <w:b/>
                <w:i/>
                <w:sz w:val="22"/>
                <w:szCs w:val="22"/>
              </w:rPr>
              <w:t>Qualifications / Memberships</w:t>
            </w:r>
          </w:p>
        </w:tc>
      </w:tr>
      <w:tr>
        <w:trPr>
          <w:trHeight w:val="611" w:hRule="atLeast"/>
        </w:trPr>
        <w:tc>
          <w:tcPr>
            <w:tcW w:w="6341"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rPr>
                <w:rFonts w:ascii="Calibri" w:hAnsi="Calibri" w:cs="Calibri"/>
                <w:sz w:val="22"/>
                <w:szCs w:val="22"/>
              </w:rPr>
            </w:pPr>
            <w:r>
              <w:rPr>
                <w:rFonts w:cs="Calibri" w:ascii="Calibri" w:hAnsi="Calibri"/>
                <w:sz w:val="22"/>
                <w:szCs w:val="22"/>
              </w:rPr>
              <w:t>Professionally qualified with an appropriate institution; e.g. RICS, APM, ICE, CIOB, BIAT or degree educated.</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napToGrid w:val="false"/>
              <w:spacing w:before="120" w:after="120"/>
              <w:jc w:val="center"/>
              <w:rPr>
                <w:rFonts w:ascii="Wingdings" w:hAnsi="Wingdings" w:cs="Wingdings"/>
                <w:b/>
                <w:b/>
                <w:sz w:val="22"/>
                <w:szCs w:val="22"/>
              </w:rPr>
            </w:pPr>
            <w:r>
              <w:rPr>
                <w:rFonts w:cs="Wingdings" w:ascii="Wingdings" w:hAnsi="Wingdings"/>
                <w:b/>
                <w:sz w:val="22"/>
                <w:szCs w:val="22"/>
              </w:rPr>
            </w:r>
          </w:p>
        </w:tc>
      </w:tr>
      <w:tr>
        <w:trPr>
          <w:trHeight w:val="611" w:hRule="atLeast"/>
        </w:trPr>
        <w:tc>
          <w:tcPr>
            <w:tcW w:w="6341"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rPr>
                <w:rFonts w:ascii="Calibri" w:hAnsi="Calibri" w:cs="Calibri"/>
                <w:sz w:val="22"/>
                <w:szCs w:val="22"/>
              </w:rPr>
            </w:pPr>
            <w:r>
              <w:rPr>
                <w:rFonts w:cs="Calibri" w:ascii="Calibri" w:hAnsi="Calibri"/>
                <w:sz w:val="22"/>
                <w:szCs w:val="22"/>
              </w:rPr>
              <w:t>Membership with an appropriate institution; e.g. RICS, APM, ICE, CIOB, BIAT or degree educated</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napToGrid w:val="false"/>
              <w:spacing w:before="120" w:after="120"/>
              <w:jc w:val="center"/>
              <w:rPr>
                <w:rFonts w:ascii="Wingdings" w:hAnsi="Wingdings" w:eastAsia="Wingdings" w:cs="Wingdings"/>
                <w:b/>
                <w:b/>
                <w:sz w:val="22"/>
                <w:szCs w:val="22"/>
              </w:rPr>
            </w:pPr>
            <w:r>
              <w:rPr>
                <w:rFonts w:eastAsia="Wingdings" w:cs="Wingdings" w:ascii="Wingdings" w:hAnsi="Wingdings"/>
                <w:b/>
                <w:sz w:val="22"/>
                <w:szCs w:val="22"/>
              </w:rPr>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r>
      <w:tr>
        <w:trPr/>
        <w:tc>
          <w:tcPr>
            <w:tcW w:w="6341"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rPr>
                <w:rFonts w:ascii="Calibri" w:hAnsi="Calibri" w:cs="Calibri"/>
                <w:sz w:val="22"/>
                <w:szCs w:val="22"/>
              </w:rPr>
            </w:pPr>
            <w:r>
              <w:rPr>
                <w:rFonts w:cs="Calibri" w:ascii="Calibri" w:hAnsi="Calibri"/>
                <w:sz w:val="22"/>
                <w:szCs w:val="22"/>
              </w:rPr>
              <w:t>HNC/HND in construction and/or demonstrable experience in construction contract management</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napToGrid w:val="false"/>
              <w:spacing w:before="120" w:after="120"/>
              <w:jc w:val="center"/>
              <w:rPr>
                <w:rFonts w:ascii="Wingdings" w:hAnsi="Wingdings" w:cs="Wingdings"/>
                <w:b/>
                <w:b/>
                <w:sz w:val="22"/>
                <w:szCs w:val="22"/>
              </w:rPr>
            </w:pPr>
            <w:r>
              <w:rPr>
                <w:rFonts w:cs="Wingdings" w:ascii="Wingdings" w:hAnsi="Wingdings"/>
                <w:b/>
                <w:sz w:val="22"/>
                <w:szCs w:val="22"/>
              </w:rPr>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pPr>
            <w:r>
              <w:rPr>
                <w:rFonts w:eastAsia="Calibri" w:cs="Calibri" w:ascii="Calibri" w:hAnsi="Calibri"/>
                <w:color w:val="auto"/>
                <w:sz w:val="22"/>
                <w:szCs w:val="22"/>
              </w:rPr>
              <w:t xml:space="preserve"> </w:t>
            </w:r>
            <w:r>
              <w:rPr>
                <w:rFonts w:cs="Calibri" w:ascii="Calibri" w:hAnsi="Calibri"/>
                <w:color w:val="auto"/>
                <w:sz w:val="22"/>
                <w:szCs w:val="22"/>
              </w:rPr>
              <w:t xml:space="preserve">Project Management qualification   </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napToGrid w:val="false"/>
              <w:spacing w:before="120" w:after="120"/>
              <w:jc w:val="center"/>
              <w:rPr>
                <w:rFonts w:ascii="Wingdings" w:hAnsi="Wingdings" w:eastAsia="Wingdings" w:cs="Wingdings"/>
                <w:b/>
                <w:b/>
                <w:bCs/>
                <w:sz w:val="22"/>
                <w:szCs w:val="22"/>
              </w:rPr>
            </w:pPr>
            <w:r>
              <w:rPr>
                <w:rFonts w:eastAsia="Wingdings" w:cs="Wingdings" w:ascii="Wingdings" w:hAnsi="Wingdings"/>
                <w:b/>
                <w:bCs/>
                <w:sz w:val="22"/>
                <w:szCs w:val="22"/>
              </w:rPr>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rFonts w:ascii="Calibri" w:hAnsi="Calibri" w:cs="Calibri"/>
                <w:color w:val="auto"/>
                <w:sz w:val="22"/>
                <w:szCs w:val="22"/>
              </w:rPr>
            </w:pPr>
            <w:r>
              <w:rPr>
                <w:rFonts w:cs="Calibri" w:ascii="Calibri" w:hAnsi="Calibri"/>
                <w:color w:val="auto"/>
                <w:sz w:val="22"/>
                <w:szCs w:val="22"/>
              </w:rPr>
              <w:t>Committed to continuous professional development</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napToGrid w:val="false"/>
              <w:spacing w:before="120" w:after="120"/>
              <w:jc w:val="center"/>
              <w:rPr>
                <w:rFonts w:ascii="Wingdings" w:hAnsi="Wingdings" w:eastAsia="Wingdings 2" w:cs="Wingdings"/>
                <w:b/>
                <w:b/>
                <w:sz w:val="22"/>
                <w:szCs w:val="22"/>
              </w:rPr>
            </w:pPr>
            <w:r>
              <w:rPr>
                <w:rFonts w:eastAsia="Wingdings 2" w:cs="Wingdings" w:ascii="Wingdings" w:hAnsi="Wingdings"/>
                <w:b/>
                <w:sz w:val="22"/>
                <w:szCs w:val="22"/>
              </w:rPr>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bookmarkStart w:id="0" w:name="_Hlk188194822"/>
            <w:bookmarkEnd w:id="0"/>
          </w:p>
        </w:tc>
      </w:tr>
      <w:tr>
        <w:trPr/>
        <w:tc>
          <w:tcPr>
            <w:tcW w:w="9746"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pacing w:before="120" w:after="120"/>
              <w:rPr>
                <w:rFonts w:ascii="Wingdings" w:hAnsi="Wingdings" w:cs="Wingdings"/>
                <w:b/>
                <w:b/>
                <w:i/>
                <w:i/>
                <w:sz w:val="22"/>
                <w:szCs w:val="22"/>
              </w:rPr>
            </w:pPr>
            <w:r>
              <w:rPr>
                <w:rFonts w:cs="Wingdings" w:ascii="Wingdings" w:hAnsi="Wingdings"/>
                <w:b/>
                <w:i/>
                <w:sz w:val="22"/>
                <w:szCs w:val="22"/>
              </w:rPr>
              <w:t>Knowledge &amp; Experience</w:t>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rFonts w:ascii="Calibri" w:hAnsi="Calibri" w:cs="Calibri"/>
                <w:color w:val="auto"/>
                <w:sz w:val="22"/>
                <w:szCs w:val="22"/>
                <w:lang w:val="en-US"/>
              </w:rPr>
            </w:pPr>
            <w:r>
              <w:rPr>
                <w:rFonts w:cs="Calibri" w:ascii="Calibri" w:hAnsi="Calibri"/>
                <w:color w:val="auto"/>
                <w:sz w:val="22"/>
                <w:szCs w:val="22"/>
                <w:lang w:val="en-US"/>
              </w:rPr>
              <w:t>Proven extensive knowledge and experience of project leadership, technical design and contractual management to ensure the delivery of very varied large value and highly complex building projects in compliance with procedural and statutory policies.</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napToGrid w:val="false"/>
              <w:spacing w:before="120" w:after="120"/>
              <w:jc w:val="center"/>
              <w:rPr>
                <w:rFonts w:ascii="Wingdings" w:hAnsi="Wingdings" w:cs="Wingdings"/>
                <w:b/>
                <w:b/>
                <w:sz w:val="22"/>
                <w:szCs w:val="22"/>
              </w:rPr>
            </w:pPr>
            <w:r>
              <w:rPr>
                <w:rFonts w:cs="Wingdings" w:ascii="Wingdings" w:hAnsi="Wingdings"/>
                <w:b/>
                <w:sz w:val="22"/>
                <w:szCs w:val="22"/>
              </w:rPr>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rFonts w:ascii="Calibri" w:hAnsi="Calibri" w:cs="Calibri"/>
                <w:color w:val="auto"/>
                <w:sz w:val="22"/>
                <w:szCs w:val="22"/>
              </w:rPr>
            </w:pPr>
            <w:r>
              <w:rPr>
                <w:rFonts w:cs="Calibri" w:ascii="Calibri" w:hAnsi="Calibri"/>
                <w:color w:val="auto"/>
                <w:sz w:val="22"/>
                <w:szCs w:val="22"/>
              </w:rPr>
              <w:t>Advanced theoretical, technical, policy, practical and procedural knowledge across the whole design and contractual management specialist areas to ensure the delivery of very varied large value and highly complex building projects. Specialist areas to include:</w:t>
            </w:r>
          </w:p>
          <w:p>
            <w:pPr>
              <w:pStyle w:val="Heading3"/>
              <w:numPr>
                <w:ilvl w:val="0"/>
                <w:numId w:val="8"/>
              </w:numPr>
              <w:spacing w:before="120" w:after="120"/>
              <w:rPr>
                <w:rFonts w:ascii="Calibri" w:hAnsi="Calibri" w:cs="Calibri"/>
                <w:color w:val="auto"/>
                <w:sz w:val="22"/>
                <w:szCs w:val="22"/>
                <w:lang w:val="en-US"/>
              </w:rPr>
            </w:pPr>
            <w:r>
              <w:rPr>
                <w:rFonts w:cs="Calibri" w:ascii="Calibri" w:hAnsi="Calibri"/>
                <w:color w:val="auto"/>
                <w:sz w:val="22"/>
                <w:szCs w:val="22"/>
                <w:lang w:val="en-US"/>
              </w:rPr>
              <w:t>Architectural and Building Surveying Technical Design</w:t>
            </w:r>
          </w:p>
          <w:p>
            <w:pPr>
              <w:pStyle w:val="Heading3"/>
              <w:numPr>
                <w:ilvl w:val="0"/>
                <w:numId w:val="8"/>
              </w:numPr>
              <w:spacing w:before="120" w:after="120"/>
              <w:rPr>
                <w:rFonts w:ascii="Calibri" w:hAnsi="Calibri" w:cs="Calibri"/>
                <w:color w:val="auto"/>
                <w:sz w:val="22"/>
                <w:szCs w:val="22"/>
                <w:lang w:val="en-US"/>
              </w:rPr>
            </w:pPr>
            <w:r>
              <w:rPr>
                <w:rFonts w:cs="Calibri" w:ascii="Calibri" w:hAnsi="Calibri"/>
                <w:color w:val="auto"/>
                <w:sz w:val="22"/>
                <w:szCs w:val="22"/>
                <w:lang w:val="en-US"/>
              </w:rPr>
              <w:t xml:space="preserve">Construction Project Management (including RIBA stages, procurement, building contracts and Gantt programming) </w:t>
            </w:r>
          </w:p>
          <w:p>
            <w:pPr>
              <w:pStyle w:val="Heading3"/>
              <w:numPr>
                <w:ilvl w:val="0"/>
                <w:numId w:val="8"/>
              </w:numPr>
              <w:spacing w:before="120" w:after="120"/>
              <w:rPr>
                <w:rFonts w:ascii="Calibri" w:hAnsi="Calibri" w:cs="Calibri"/>
                <w:color w:val="auto"/>
                <w:sz w:val="22"/>
                <w:szCs w:val="22"/>
                <w:lang w:val="en-US"/>
              </w:rPr>
            </w:pPr>
            <w:r>
              <w:rPr>
                <w:rFonts w:cs="Calibri" w:ascii="Calibri" w:hAnsi="Calibri"/>
                <w:color w:val="auto"/>
                <w:sz w:val="22"/>
                <w:szCs w:val="22"/>
                <w:lang w:val="en-US"/>
              </w:rPr>
              <w:t>Contractual Management (including Contracts, Financial and Programme Management).</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napToGrid w:val="false"/>
              <w:spacing w:before="120" w:after="120"/>
              <w:jc w:val="center"/>
              <w:rPr>
                <w:rFonts w:ascii="Wingdings" w:hAnsi="Wingdings" w:cs="Wingdings"/>
                <w:b/>
                <w:b/>
                <w:sz w:val="22"/>
                <w:szCs w:val="22"/>
              </w:rPr>
            </w:pPr>
            <w:r>
              <w:rPr>
                <w:rFonts w:cs="Wingdings" w:ascii="Wingdings" w:hAnsi="Wingdings"/>
                <w:b/>
                <w:sz w:val="22"/>
                <w:szCs w:val="22"/>
              </w:rPr>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rFonts w:ascii="Calibri" w:hAnsi="Calibri" w:cs="Calibri"/>
                <w:color w:val="auto"/>
                <w:sz w:val="22"/>
                <w:szCs w:val="22"/>
              </w:rPr>
            </w:pPr>
            <w:r>
              <w:rPr>
                <w:rFonts w:cs="Calibri" w:ascii="Calibri" w:hAnsi="Calibri"/>
                <w:color w:val="auto"/>
                <w:sz w:val="22"/>
                <w:szCs w:val="22"/>
              </w:rPr>
              <w:t>Extensive detailed knowledge and experience of the theoretical, technical, policies, practical and procedural knowledge for other varied related specialist areas, e.g. construction health and safety legislation and HSE policies/procedures, planning and building regulations, asbestos and MEP.</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napToGrid w:val="false"/>
              <w:spacing w:before="120" w:after="120"/>
              <w:jc w:val="center"/>
              <w:rPr>
                <w:rFonts w:ascii="Wingdings" w:hAnsi="Wingdings" w:cs="Wingdings"/>
                <w:b/>
                <w:b/>
                <w:dstrike/>
                <w:sz w:val="22"/>
                <w:szCs w:val="22"/>
              </w:rPr>
            </w:pPr>
            <w:r>
              <w:rPr>
                <w:rFonts w:cs="Wingdings" w:ascii="Wingdings" w:hAnsi="Wingdings"/>
                <w:b/>
                <w:dstrike/>
                <w:sz w:val="22"/>
                <w:szCs w:val="22"/>
              </w:rPr>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pPr>
            <w:r>
              <w:rPr>
                <w:rFonts w:cs="Calibri" w:ascii="Calibri" w:hAnsi="Calibri"/>
                <w:color w:val="auto"/>
                <w:sz w:val="22"/>
                <w:szCs w:val="22"/>
                <w:lang w:val="en-US"/>
              </w:rPr>
              <w:t>Extensive</w:t>
            </w:r>
            <w:r>
              <w:rPr>
                <w:rFonts w:cs="Calibri" w:ascii="Calibri" w:hAnsi="Calibri"/>
                <w:color w:val="auto"/>
                <w:sz w:val="22"/>
                <w:szCs w:val="22"/>
              </w:rPr>
              <w:t xml:space="preserve"> experience in the procurement, appointment and management of contractors and multi-disciplinary consultants – delivering best value.</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napToGrid w:val="false"/>
              <w:spacing w:before="120" w:after="120"/>
              <w:jc w:val="center"/>
              <w:rPr>
                <w:rFonts w:ascii="Wingdings" w:hAnsi="Wingdings" w:cs="Wingdings"/>
                <w:b/>
                <w:b/>
                <w:sz w:val="22"/>
                <w:szCs w:val="22"/>
              </w:rPr>
            </w:pPr>
            <w:r>
              <w:rPr>
                <w:rFonts w:cs="Wingdings" w:ascii="Wingdings" w:hAnsi="Wingdings"/>
                <w:b/>
                <w:sz w:val="22"/>
                <w:szCs w:val="22"/>
              </w:rPr>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rFonts w:ascii="Calibri" w:hAnsi="Calibri" w:cs="Calibri"/>
                <w:color w:val="auto"/>
                <w:sz w:val="22"/>
                <w:szCs w:val="22"/>
              </w:rPr>
            </w:pPr>
            <w:r>
              <w:rPr>
                <w:rFonts w:cs="Calibri" w:ascii="Calibri" w:hAnsi="Calibri"/>
                <w:color w:val="auto"/>
                <w:sz w:val="22"/>
                <w:szCs w:val="22"/>
              </w:rPr>
              <w:t>Extensive project/programme management skills, proven in similar assignments.</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napToGrid w:val="false"/>
              <w:spacing w:before="120" w:after="120"/>
              <w:jc w:val="center"/>
              <w:rPr>
                <w:rFonts w:ascii="Wingdings" w:hAnsi="Wingdings" w:cs="Wingdings"/>
                <w:bCs/>
                <w:sz w:val="22"/>
                <w:szCs w:val="22"/>
              </w:rPr>
            </w:pPr>
            <w:r>
              <w:rPr>
                <w:rFonts w:cs="Wingdings" w:ascii="Wingdings" w:hAnsi="Wingdings"/>
                <w:bCs/>
                <w:sz w:val="22"/>
                <w:szCs w:val="22"/>
              </w:rPr>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pPr>
            <w:r>
              <w:rPr>
                <w:rFonts w:cs="Calibri" w:ascii="Calibri" w:hAnsi="Calibri"/>
                <w:color w:val="auto"/>
                <w:sz w:val="22"/>
                <w:szCs w:val="22"/>
                <w:lang w:val="en-US"/>
              </w:rPr>
              <w:t>Significant</w:t>
            </w:r>
            <w:r>
              <w:rPr>
                <w:rFonts w:cs="Calibri" w:ascii="Calibri" w:hAnsi="Calibri"/>
                <w:color w:val="auto"/>
                <w:sz w:val="22"/>
                <w:szCs w:val="22"/>
              </w:rPr>
              <w:t xml:space="preserve"> experience of extrapolating and preparing client briefing documents, undertaking critical analysis of competing requirements.</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napToGrid w:val="false"/>
              <w:spacing w:before="120" w:after="120"/>
              <w:jc w:val="center"/>
              <w:rPr>
                <w:rFonts w:ascii="Wingdings" w:hAnsi="Wingdings" w:cs="Wingdings"/>
                <w:b/>
                <w:b/>
                <w:sz w:val="22"/>
                <w:szCs w:val="22"/>
              </w:rPr>
            </w:pPr>
            <w:r>
              <w:rPr>
                <w:rFonts w:cs="Wingdings" w:ascii="Wingdings" w:hAnsi="Wingdings"/>
                <w:b/>
                <w:sz w:val="22"/>
                <w:szCs w:val="22"/>
              </w:rPr>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rFonts w:ascii="Calibri" w:hAnsi="Calibri" w:cs="Calibri"/>
                <w:color w:val="auto"/>
                <w:sz w:val="22"/>
                <w:szCs w:val="22"/>
              </w:rPr>
            </w:pPr>
            <w:r>
              <w:rPr>
                <w:rFonts w:cs="Calibri" w:ascii="Calibri" w:hAnsi="Calibri"/>
                <w:color w:val="auto"/>
                <w:sz w:val="22"/>
                <w:szCs w:val="22"/>
              </w:rPr>
              <w:t>Significant experience of budgetary control/financial management.</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napToGrid w:val="false"/>
              <w:spacing w:before="120" w:after="120"/>
              <w:jc w:val="center"/>
              <w:rPr>
                <w:rFonts w:ascii="Wingdings" w:hAnsi="Wingdings" w:cs="Wingdings"/>
                <w:b/>
                <w:b/>
                <w:sz w:val="22"/>
                <w:szCs w:val="22"/>
              </w:rPr>
            </w:pPr>
            <w:r>
              <w:rPr>
                <w:rFonts w:cs="Wingdings" w:ascii="Wingdings" w:hAnsi="Wingdings"/>
                <w:b/>
                <w:sz w:val="22"/>
                <w:szCs w:val="22"/>
              </w:rPr>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rFonts w:ascii="Calibri" w:hAnsi="Calibri" w:cs="Calibri"/>
                <w:color w:val="auto"/>
                <w:sz w:val="22"/>
                <w:szCs w:val="22"/>
              </w:rPr>
            </w:pPr>
            <w:r>
              <w:rPr>
                <w:rFonts w:cs="Calibri" w:ascii="Calibri" w:hAnsi="Calibri"/>
                <w:color w:val="auto"/>
                <w:sz w:val="22"/>
                <w:szCs w:val="22"/>
              </w:rPr>
              <w:t>Strong commercial awareness and experience of dealing with contract disputes, through both informal and formal processes.</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napToGrid w:val="false"/>
              <w:spacing w:before="120" w:after="120"/>
              <w:jc w:val="center"/>
              <w:rPr>
                <w:rFonts w:ascii="Wingdings" w:hAnsi="Wingdings" w:cs="Wingdings"/>
                <w:b/>
                <w:b/>
                <w:sz w:val="22"/>
                <w:szCs w:val="22"/>
              </w:rPr>
            </w:pPr>
            <w:r>
              <w:rPr>
                <w:rFonts w:cs="Wingdings" w:ascii="Wingdings" w:hAnsi="Wingdings"/>
                <w:b/>
                <w:sz w:val="22"/>
                <w:szCs w:val="22"/>
              </w:rPr>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rFonts w:ascii="Calibri" w:hAnsi="Calibri" w:cs="Calibri"/>
                <w:color w:val="auto"/>
                <w:sz w:val="22"/>
                <w:szCs w:val="22"/>
              </w:rPr>
            </w:pPr>
            <w:r>
              <w:rPr>
                <w:rFonts w:cs="Calibri" w:ascii="Calibri" w:hAnsi="Calibri"/>
                <w:color w:val="auto"/>
                <w:sz w:val="22"/>
                <w:szCs w:val="22"/>
              </w:rPr>
              <w:t>Experience of reporting progress on a major scheme to a supervisory board, working to targets and reporting progress against KPIs.</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napToGrid w:val="false"/>
              <w:spacing w:before="120" w:after="120"/>
              <w:jc w:val="center"/>
              <w:rPr>
                <w:rFonts w:ascii="Wingdings" w:hAnsi="Wingdings" w:cs="Wingdings"/>
                <w:b/>
                <w:b/>
                <w:sz w:val="22"/>
                <w:szCs w:val="22"/>
              </w:rPr>
            </w:pPr>
            <w:r>
              <w:rPr>
                <w:rFonts w:cs="Wingdings" w:ascii="Wingdings" w:hAnsi="Wingdings"/>
                <w:b/>
                <w:sz w:val="22"/>
                <w:szCs w:val="22"/>
              </w:rPr>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rFonts w:ascii="Calibri" w:hAnsi="Calibri" w:cs="Calibri"/>
                <w:color w:val="auto"/>
                <w:sz w:val="22"/>
                <w:szCs w:val="22"/>
              </w:rPr>
            </w:pPr>
            <w:r>
              <w:rPr>
                <w:rFonts w:cs="Calibri" w:ascii="Calibri" w:hAnsi="Calibri"/>
                <w:color w:val="auto"/>
                <w:sz w:val="22"/>
                <w:szCs w:val="22"/>
              </w:rPr>
              <w:t>Extensive knowledge &amp; experience of relevant legislation, including health and safety, asbestos and Legionella statutory regulations, compliance and commissioning reports of such.</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napToGrid w:val="false"/>
              <w:spacing w:before="120" w:after="120"/>
              <w:jc w:val="center"/>
              <w:rPr>
                <w:rFonts w:ascii="Wingdings" w:hAnsi="Wingdings" w:cs="Wingdings"/>
                <w:b/>
                <w:b/>
                <w:sz w:val="22"/>
                <w:szCs w:val="22"/>
              </w:rPr>
            </w:pPr>
            <w:r>
              <w:rPr>
                <w:rFonts w:cs="Wingdings" w:ascii="Wingdings" w:hAnsi="Wingdings"/>
                <w:b/>
                <w:sz w:val="22"/>
                <w:szCs w:val="22"/>
              </w:rPr>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rFonts w:ascii="Calibri" w:hAnsi="Calibri" w:cs="Calibri"/>
                <w:color w:val="auto"/>
                <w:sz w:val="22"/>
                <w:szCs w:val="22"/>
              </w:rPr>
            </w:pPr>
            <w:r>
              <w:rPr>
                <w:rFonts w:cs="Calibri" w:ascii="Calibri" w:hAnsi="Calibri"/>
                <w:color w:val="auto"/>
                <w:sz w:val="22"/>
                <w:szCs w:val="22"/>
              </w:rPr>
              <w:t>Experience of overseeing and providing project financial/contract management.</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napToGrid w:val="false"/>
              <w:spacing w:before="120" w:after="120"/>
              <w:jc w:val="center"/>
              <w:rPr>
                <w:rFonts w:ascii="Wingdings" w:hAnsi="Wingdings" w:cs="Wingdings"/>
                <w:b/>
                <w:b/>
                <w:sz w:val="22"/>
                <w:szCs w:val="22"/>
              </w:rPr>
            </w:pPr>
            <w:r>
              <w:rPr>
                <w:rFonts w:cs="Wingdings" w:ascii="Wingdings" w:hAnsi="Wingdings"/>
                <w:b/>
                <w:sz w:val="22"/>
                <w:szCs w:val="22"/>
              </w:rPr>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rFonts w:ascii="Calibri" w:hAnsi="Calibri" w:cs="Calibri"/>
                <w:color w:val="auto"/>
                <w:sz w:val="22"/>
                <w:szCs w:val="22"/>
              </w:rPr>
            </w:pPr>
            <w:r>
              <w:rPr>
                <w:rFonts w:cs="Calibri" w:ascii="Calibri" w:hAnsi="Calibri"/>
                <w:color w:val="auto"/>
                <w:sz w:val="22"/>
                <w:szCs w:val="22"/>
              </w:rPr>
              <w:t>Understanding and working knowledge of statutory legislation, especially in a construction environment.</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napToGrid w:val="false"/>
              <w:spacing w:before="120" w:after="120"/>
              <w:jc w:val="center"/>
              <w:rPr>
                <w:rFonts w:ascii="Wingdings" w:hAnsi="Wingdings" w:cs="Wingdings"/>
                <w:b/>
                <w:b/>
                <w:sz w:val="22"/>
                <w:szCs w:val="22"/>
              </w:rPr>
            </w:pPr>
            <w:r>
              <w:rPr>
                <w:rFonts w:cs="Wingdings" w:ascii="Wingdings" w:hAnsi="Wingdings"/>
                <w:b/>
                <w:sz w:val="22"/>
                <w:szCs w:val="22"/>
              </w:rPr>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rFonts w:ascii="Calibri" w:hAnsi="Calibri" w:cs="Calibri"/>
                <w:color w:val="auto"/>
                <w:sz w:val="22"/>
                <w:szCs w:val="22"/>
              </w:rPr>
            </w:pPr>
            <w:r>
              <w:rPr>
                <w:rFonts w:cs="Calibri" w:ascii="Calibri" w:hAnsi="Calibri"/>
                <w:color w:val="auto"/>
                <w:sz w:val="22"/>
                <w:szCs w:val="22"/>
              </w:rPr>
              <w:t>Experience of working for the public sector in a senior manager role, advising stakeholders and elected representatives.</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napToGrid w:val="false"/>
              <w:spacing w:before="120" w:after="120"/>
              <w:jc w:val="center"/>
              <w:rPr>
                <w:rFonts w:ascii="Wingdings" w:hAnsi="Wingdings" w:cs="Wingdings"/>
                <w:b/>
                <w:b/>
                <w:dstrike/>
                <w:sz w:val="22"/>
                <w:szCs w:val="22"/>
              </w:rPr>
            </w:pPr>
            <w:r>
              <w:rPr>
                <w:rFonts w:cs="Wingdings" w:ascii="Wingdings" w:hAnsi="Wingdings"/>
                <w:b/>
                <w:dstrike/>
                <w:sz w:val="22"/>
                <w:szCs w:val="22"/>
              </w:rPr>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rFonts w:ascii="Calibri" w:hAnsi="Calibri" w:cs="Calibri"/>
                <w:color w:val="auto"/>
                <w:sz w:val="22"/>
                <w:szCs w:val="22"/>
              </w:rPr>
            </w:pPr>
            <w:r>
              <w:rPr>
                <w:rFonts w:cs="Calibri" w:ascii="Calibri" w:hAnsi="Calibri"/>
                <w:color w:val="auto"/>
                <w:sz w:val="22"/>
                <w:szCs w:val="22"/>
              </w:rPr>
              <w:t>Experience of working in a multidisciplinary environment.</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napToGrid w:val="false"/>
              <w:spacing w:before="120" w:after="120"/>
              <w:jc w:val="center"/>
              <w:rPr>
                <w:rFonts w:ascii="Wingdings" w:hAnsi="Wingdings" w:eastAsia="Wingdings 2" w:cs="Wingdings"/>
                <w:b/>
                <w:b/>
                <w:sz w:val="22"/>
                <w:szCs w:val="22"/>
              </w:rPr>
            </w:pPr>
            <w:r>
              <w:rPr>
                <w:rFonts w:eastAsia="Wingdings 2" w:cs="Wingdings" w:ascii="Wingdings" w:hAnsi="Wingdings"/>
                <w:b/>
                <w:sz w:val="22"/>
                <w:szCs w:val="22"/>
              </w:rPr>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rFonts w:ascii="Calibri" w:hAnsi="Calibri" w:cs="Calibri"/>
                <w:b/>
                <w:b/>
                <w:bCs/>
                <w:color w:val="auto"/>
                <w:sz w:val="22"/>
                <w:szCs w:val="22"/>
              </w:rPr>
            </w:pPr>
            <w:r>
              <w:rPr>
                <w:rFonts w:cs="Calibri" w:ascii="Calibri" w:hAnsi="Calibri"/>
                <w:b/>
                <w:bCs/>
                <w:color w:val="auto"/>
                <w:sz w:val="22"/>
                <w:szCs w:val="22"/>
              </w:rPr>
              <w:t>Skills and Personal Qualities</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napToGrid w:val="false"/>
              <w:spacing w:before="120" w:after="120"/>
              <w:jc w:val="center"/>
              <w:rPr>
                <w:rFonts w:ascii="Wingdings" w:hAnsi="Wingdings" w:eastAsia="Wingdings 2" w:cs="Wingdings"/>
                <w:b/>
                <w:b/>
                <w:sz w:val="22"/>
                <w:szCs w:val="22"/>
              </w:rPr>
            </w:pPr>
            <w:r>
              <w:rPr>
                <w:rFonts w:eastAsia="Wingdings 2" w:cs="Wingdings" w:ascii="Wingdings" w:hAnsi="Wingdings"/>
                <w:b/>
                <w:sz w:val="22"/>
                <w:szCs w:val="22"/>
              </w:rPr>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napToGrid w:val="false"/>
              <w:spacing w:before="120" w:after="120"/>
              <w:jc w:val="center"/>
              <w:rPr>
                <w:rFonts w:ascii="Wingdings" w:hAnsi="Wingdings" w:eastAsia="Wingdings 2" w:cs="Wingdings"/>
                <w:b/>
                <w:b/>
                <w:sz w:val="22"/>
                <w:szCs w:val="22"/>
              </w:rPr>
            </w:pPr>
            <w:r>
              <w:rPr>
                <w:rFonts w:eastAsia="Wingdings 2" w:cs="Wingdings" w:ascii="Wingdings" w:hAnsi="Wingdings"/>
                <w:b/>
                <w:sz w:val="22"/>
                <w:szCs w:val="22"/>
              </w:rPr>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rFonts w:ascii="Calibri" w:hAnsi="Calibri" w:cs="Calibri"/>
                <w:color w:val="auto"/>
                <w:sz w:val="22"/>
                <w:szCs w:val="22"/>
              </w:rPr>
            </w:pPr>
            <w:r>
              <w:rPr>
                <w:rFonts w:cs="Calibri" w:ascii="Calibri" w:hAnsi="Calibri"/>
                <w:color w:val="auto"/>
                <w:sz w:val="22"/>
                <w:szCs w:val="22"/>
              </w:rPr>
              <w:t>Ability to independently analyse and interpret very varied and highly complex information to produce and manage feasibility solutions, design, procurement, construction and contracts.</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napToGrid w:val="false"/>
              <w:spacing w:before="120" w:after="120"/>
              <w:jc w:val="center"/>
              <w:rPr>
                <w:rFonts w:ascii="Wingdings" w:hAnsi="Wingdings" w:cs="Wingdings"/>
                <w:b/>
                <w:b/>
                <w:sz w:val="22"/>
                <w:szCs w:val="22"/>
              </w:rPr>
            </w:pPr>
            <w:r>
              <w:rPr>
                <w:rFonts w:cs="Wingdings" w:ascii="Wingdings" w:hAnsi="Wingdings"/>
                <w:b/>
                <w:sz w:val="22"/>
                <w:szCs w:val="22"/>
              </w:rPr>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rFonts w:ascii="Calibri" w:hAnsi="Calibri" w:cs="Calibri"/>
                <w:color w:val="auto"/>
                <w:sz w:val="22"/>
                <w:szCs w:val="22"/>
              </w:rPr>
            </w:pPr>
            <w:r>
              <w:rPr>
                <w:rFonts w:cs="Calibri" w:ascii="Calibri" w:hAnsi="Calibri"/>
                <w:color w:val="auto"/>
                <w:sz w:val="22"/>
                <w:szCs w:val="22"/>
              </w:rPr>
              <w:t>Ability to plan and develop long-term design and construction programmes of varying and complex issues covering a range of multi-disciplinary areas.</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napToGrid w:val="false"/>
              <w:spacing w:before="120" w:after="120"/>
              <w:jc w:val="center"/>
              <w:rPr>
                <w:rFonts w:ascii="Wingdings" w:hAnsi="Wingdings" w:cs="Wingdings"/>
                <w:b/>
                <w:b/>
                <w:sz w:val="22"/>
                <w:szCs w:val="22"/>
              </w:rPr>
            </w:pPr>
            <w:r>
              <w:rPr>
                <w:rFonts w:cs="Wingdings" w:ascii="Wingdings" w:hAnsi="Wingdings"/>
                <w:b/>
                <w:sz w:val="22"/>
                <w:szCs w:val="22"/>
              </w:rPr>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rFonts w:ascii="Calibri" w:hAnsi="Calibri" w:cs="Calibri"/>
                <w:color w:val="auto"/>
                <w:sz w:val="22"/>
                <w:szCs w:val="22"/>
              </w:rPr>
            </w:pPr>
            <w:r>
              <w:rPr>
                <w:rFonts w:cs="Calibri" w:ascii="Calibri" w:hAnsi="Calibri"/>
                <w:color w:val="auto"/>
                <w:sz w:val="22"/>
                <w:szCs w:val="22"/>
              </w:rPr>
              <w:t>Ability to show resilience and resourcefulness in the face of highly complex challenges. Flexible and organised approach to work.</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napToGrid w:val="false"/>
              <w:spacing w:before="120" w:after="120"/>
              <w:jc w:val="center"/>
              <w:rPr>
                <w:rFonts w:ascii="Wingdings" w:hAnsi="Wingdings" w:cs="Wingdings"/>
                <w:b/>
                <w:b/>
                <w:sz w:val="22"/>
                <w:szCs w:val="22"/>
              </w:rPr>
            </w:pPr>
            <w:r>
              <w:rPr>
                <w:rFonts w:cs="Wingdings" w:ascii="Wingdings" w:hAnsi="Wingdings"/>
                <w:b/>
                <w:sz w:val="22"/>
                <w:szCs w:val="22"/>
              </w:rPr>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rFonts w:ascii="Calibri" w:hAnsi="Calibri" w:cs="Calibri"/>
                <w:color w:val="auto"/>
                <w:sz w:val="22"/>
                <w:szCs w:val="22"/>
              </w:rPr>
            </w:pPr>
            <w:r>
              <w:rPr>
                <w:rFonts w:cs="Calibri" w:ascii="Calibri" w:hAnsi="Calibri"/>
                <w:color w:val="auto"/>
                <w:sz w:val="22"/>
                <w:szCs w:val="22"/>
              </w:rPr>
              <w:t xml:space="preserve">Strong leadership skills and demonstrable ability to lead, motivate and manage multi-disciplinary teams  </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napToGrid w:val="false"/>
              <w:spacing w:before="120" w:after="120"/>
              <w:jc w:val="center"/>
              <w:rPr>
                <w:rFonts w:ascii="Wingdings" w:hAnsi="Wingdings" w:cs="Wingdings"/>
                <w:b/>
                <w:b/>
                <w:sz w:val="22"/>
                <w:szCs w:val="22"/>
              </w:rPr>
            </w:pPr>
            <w:r>
              <w:rPr>
                <w:rFonts w:cs="Wingdings" w:ascii="Wingdings" w:hAnsi="Wingdings"/>
                <w:b/>
                <w:sz w:val="22"/>
                <w:szCs w:val="22"/>
              </w:rPr>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pPr>
            <w:r>
              <w:rPr>
                <w:rFonts w:cs="Calibri" w:ascii="Calibri" w:hAnsi="Calibri"/>
                <w:color w:val="auto"/>
                <w:sz w:val="22"/>
                <w:szCs w:val="22"/>
              </w:rPr>
              <w:t>Experienced in producing technical drawings using AutoCAD software,</w:t>
            </w:r>
            <w:r>
              <w:rPr>
                <w:rFonts w:eastAsia="Times New Roman" w:cs="Calibri" w:ascii="Calibri" w:hAnsi="Calibri"/>
                <w:color w:val="auto"/>
                <w:sz w:val="22"/>
                <w:szCs w:val="22"/>
              </w:rPr>
              <w:t xml:space="preserve"> </w:t>
            </w:r>
            <w:r>
              <w:rPr>
                <w:rFonts w:cs="Calibri" w:ascii="Calibri" w:hAnsi="Calibri"/>
                <w:color w:val="auto"/>
                <w:sz w:val="22"/>
                <w:szCs w:val="22"/>
              </w:rPr>
              <w:t>writing of building specifications using NBS software and producing capital programme Gantt charts. Assimilating and interpreting other specialist technical drawings for full co-ordination of construction project documentation.</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napToGrid w:val="false"/>
              <w:spacing w:before="120" w:after="120"/>
              <w:jc w:val="center"/>
              <w:rPr>
                <w:rFonts w:ascii="Wingdings" w:hAnsi="Wingdings" w:eastAsia="Wingdings" w:cs="Wingdings"/>
                <w:b/>
                <w:b/>
                <w:bCs/>
                <w:sz w:val="22"/>
                <w:szCs w:val="22"/>
              </w:rPr>
            </w:pPr>
            <w:r>
              <w:rPr>
                <w:rFonts w:eastAsia="Wingdings" w:cs="Wingdings" w:ascii="Wingdings" w:hAnsi="Wingdings"/>
                <w:b/>
                <w:bCs/>
                <w:sz w:val="22"/>
                <w:szCs w:val="22"/>
              </w:rPr>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rFonts w:ascii="Calibri" w:hAnsi="Calibri" w:cs="Calibri"/>
                <w:color w:val="auto"/>
                <w:sz w:val="22"/>
                <w:szCs w:val="22"/>
              </w:rPr>
            </w:pPr>
            <w:r>
              <w:rPr>
                <w:rFonts w:cs="Calibri" w:ascii="Calibri" w:hAnsi="Calibri"/>
                <w:color w:val="auto"/>
                <w:sz w:val="22"/>
                <w:szCs w:val="22"/>
              </w:rPr>
              <w:t>The ability to manage competing priorities and organise work under pressure and to deadlines.</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napToGrid w:val="false"/>
              <w:spacing w:before="120" w:after="120"/>
              <w:jc w:val="center"/>
              <w:rPr>
                <w:rFonts w:ascii="Wingdings" w:hAnsi="Wingdings" w:cs="Wingdings"/>
                <w:b/>
                <w:b/>
                <w:sz w:val="22"/>
                <w:szCs w:val="22"/>
              </w:rPr>
            </w:pPr>
            <w:r>
              <w:rPr>
                <w:rFonts w:cs="Wingdings" w:ascii="Wingdings" w:hAnsi="Wingdings"/>
                <w:b/>
                <w:sz w:val="22"/>
                <w:szCs w:val="22"/>
              </w:rPr>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rFonts w:ascii="Calibri" w:hAnsi="Calibri" w:cs="Calibri"/>
                <w:color w:val="auto"/>
                <w:sz w:val="22"/>
                <w:szCs w:val="22"/>
              </w:rPr>
            </w:pPr>
            <w:r>
              <w:rPr>
                <w:rFonts w:cs="Calibri" w:ascii="Calibri" w:hAnsi="Calibri"/>
                <w:color w:val="auto"/>
                <w:sz w:val="22"/>
                <w:szCs w:val="22"/>
              </w:rPr>
              <w:t>Excellent communication and interpersonal skills.</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napToGrid w:val="false"/>
              <w:spacing w:before="120" w:after="120"/>
              <w:jc w:val="center"/>
              <w:rPr>
                <w:rFonts w:ascii="Wingdings" w:hAnsi="Wingdings" w:cs="Wingdings"/>
                <w:b/>
                <w:b/>
                <w:sz w:val="22"/>
                <w:szCs w:val="22"/>
              </w:rPr>
            </w:pPr>
            <w:r>
              <w:rPr>
                <w:rFonts w:cs="Wingdings" w:ascii="Wingdings" w:hAnsi="Wingdings"/>
                <w:b/>
                <w:sz w:val="22"/>
                <w:szCs w:val="22"/>
              </w:rPr>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rFonts w:ascii="Calibri" w:hAnsi="Calibri" w:cs="Calibri"/>
                <w:color w:val="auto"/>
                <w:sz w:val="22"/>
                <w:szCs w:val="22"/>
              </w:rPr>
            </w:pPr>
            <w:r>
              <w:rPr>
                <w:rFonts w:cs="Calibri" w:ascii="Calibri" w:hAnsi="Calibri"/>
                <w:color w:val="auto"/>
                <w:sz w:val="22"/>
                <w:szCs w:val="22"/>
              </w:rPr>
              <w:t>High level of resilience, presenting a strong, confident approach in representing the Council’s interests.</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napToGrid w:val="false"/>
              <w:spacing w:before="120" w:after="120"/>
              <w:jc w:val="center"/>
              <w:rPr>
                <w:rFonts w:ascii="Wingdings" w:hAnsi="Wingdings" w:cs="Wingdings"/>
                <w:b/>
                <w:b/>
                <w:sz w:val="22"/>
                <w:szCs w:val="22"/>
              </w:rPr>
            </w:pPr>
            <w:r>
              <w:rPr>
                <w:rFonts w:cs="Wingdings" w:ascii="Wingdings" w:hAnsi="Wingdings"/>
                <w:b/>
                <w:sz w:val="22"/>
                <w:szCs w:val="22"/>
              </w:rPr>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rFonts w:ascii="Calibri" w:hAnsi="Calibri" w:cs="Calibri"/>
                <w:color w:val="auto"/>
                <w:sz w:val="22"/>
                <w:szCs w:val="22"/>
              </w:rPr>
            </w:pPr>
            <w:r>
              <w:rPr>
                <w:rFonts w:cs="Calibri" w:ascii="Calibri" w:hAnsi="Calibri"/>
                <w:color w:val="auto"/>
                <w:sz w:val="22"/>
                <w:szCs w:val="22"/>
              </w:rPr>
              <w:t>Ability to develop and manage positive relationships with contractors, consultants and staff.</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napToGrid w:val="false"/>
              <w:spacing w:before="120" w:after="120"/>
              <w:jc w:val="center"/>
              <w:rPr>
                <w:rFonts w:ascii="Wingdings" w:hAnsi="Wingdings" w:cs="Wingdings"/>
                <w:b/>
                <w:b/>
                <w:sz w:val="22"/>
                <w:szCs w:val="22"/>
              </w:rPr>
            </w:pPr>
            <w:r>
              <w:rPr>
                <w:rFonts w:cs="Wingdings" w:ascii="Wingdings" w:hAnsi="Wingdings"/>
                <w:b/>
                <w:sz w:val="22"/>
                <w:szCs w:val="22"/>
              </w:rPr>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rFonts w:ascii="Calibri" w:hAnsi="Calibri" w:cs="Calibri"/>
                <w:color w:val="auto"/>
                <w:sz w:val="22"/>
                <w:szCs w:val="22"/>
              </w:rPr>
            </w:pPr>
            <w:r>
              <w:rPr>
                <w:rFonts w:cs="Calibri" w:ascii="Calibri" w:hAnsi="Calibri"/>
                <w:color w:val="auto"/>
                <w:sz w:val="22"/>
                <w:szCs w:val="22"/>
              </w:rPr>
              <w:t>Excellent IT skills and high level of competence and proficient in the use of AutoCAD, to create precise and highly detailed technical drawings with a high level of precision, co-ordination/cross-referencing and speed, Microsoft packages and asset management systems.</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napToGrid w:val="false"/>
              <w:spacing w:before="120" w:after="120"/>
              <w:jc w:val="center"/>
              <w:rPr>
                <w:rFonts w:ascii="Wingdings" w:hAnsi="Wingdings" w:cs="Wingdings"/>
                <w:b/>
                <w:b/>
                <w:sz w:val="22"/>
                <w:szCs w:val="22"/>
              </w:rPr>
            </w:pPr>
            <w:r>
              <w:rPr>
                <w:rFonts w:cs="Wingdings" w:ascii="Wingdings" w:hAnsi="Wingdings"/>
                <w:b/>
                <w:sz w:val="22"/>
                <w:szCs w:val="22"/>
              </w:rPr>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rFonts w:ascii="Calibri" w:hAnsi="Calibri" w:cs="Calibri"/>
                <w:color w:val="auto"/>
                <w:sz w:val="22"/>
                <w:szCs w:val="22"/>
              </w:rPr>
            </w:pPr>
            <w:r>
              <w:rPr>
                <w:rFonts w:cs="Calibri" w:ascii="Calibri" w:hAnsi="Calibri"/>
                <w:color w:val="auto"/>
                <w:sz w:val="22"/>
                <w:szCs w:val="22"/>
              </w:rPr>
              <w:t>Able to demonstrate the achievement of customer satisfaction.</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napToGrid w:val="false"/>
              <w:spacing w:before="120" w:after="120"/>
              <w:jc w:val="center"/>
              <w:rPr>
                <w:rFonts w:ascii="Wingdings" w:hAnsi="Wingdings" w:eastAsia="Wingdings 2" w:cs="Wingdings"/>
                <w:b/>
                <w:b/>
                <w:sz w:val="22"/>
                <w:szCs w:val="22"/>
              </w:rPr>
            </w:pPr>
            <w:r>
              <w:rPr>
                <w:rFonts w:eastAsia="Wingdings 2" w:cs="Wingdings" w:ascii="Wingdings" w:hAnsi="Wingdings"/>
                <w:b/>
                <w:sz w:val="22"/>
                <w:szCs w:val="22"/>
              </w:rPr>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rFonts w:ascii="Calibri" w:hAnsi="Calibri" w:cs="Calibri"/>
                <w:color w:val="auto"/>
                <w:sz w:val="22"/>
                <w:szCs w:val="22"/>
              </w:rPr>
            </w:pPr>
            <w:r>
              <w:rPr>
                <w:rFonts w:cs="Calibri" w:ascii="Calibri" w:hAnsi="Calibri"/>
                <w:color w:val="auto"/>
                <w:sz w:val="22"/>
                <w:szCs w:val="22"/>
              </w:rPr>
              <w:t>Ability to challenge external partners to provide best value for the Council.</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napToGrid w:val="false"/>
              <w:spacing w:before="120" w:after="120"/>
              <w:jc w:val="center"/>
              <w:rPr>
                <w:rFonts w:ascii="Wingdings" w:hAnsi="Wingdings" w:eastAsia="Wingdings 2" w:cs="Wingdings"/>
                <w:b/>
                <w:b/>
                <w:sz w:val="22"/>
                <w:szCs w:val="22"/>
              </w:rPr>
            </w:pPr>
            <w:r>
              <w:rPr>
                <w:rFonts w:eastAsia="Wingdings 2" w:cs="Wingdings" w:ascii="Wingdings" w:hAnsi="Wingdings"/>
                <w:b/>
                <w:sz w:val="22"/>
                <w:szCs w:val="22"/>
              </w:rPr>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r>
      <w:tr>
        <w:trPr/>
        <w:tc>
          <w:tcPr>
            <w:tcW w:w="6341" w:type="dxa"/>
            <w:tcBorders>
              <w:top w:val="single" w:sz="4" w:space="0" w:color="000000"/>
              <w:left w:val="single" w:sz="4" w:space="0" w:color="000000"/>
              <w:bottom w:val="single" w:sz="4" w:space="0" w:color="000000"/>
            </w:tcBorders>
            <w:shd w:fill="auto" w:val="clear"/>
            <w:vAlign w:val="center"/>
          </w:tcPr>
          <w:p>
            <w:pPr>
              <w:pStyle w:val="Heading3"/>
              <w:spacing w:before="120" w:after="120"/>
              <w:rPr>
                <w:rFonts w:ascii="Calibri" w:hAnsi="Calibri" w:cs="Calibri"/>
                <w:color w:val="auto"/>
                <w:sz w:val="22"/>
                <w:szCs w:val="22"/>
              </w:rPr>
            </w:pPr>
            <w:r>
              <w:rPr>
                <w:rFonts w:cs="Calibri" w:ascii="Calibri" w:hAnsi="Calibri"/>
                <w:color w:val="auto"/>
                <w:sz w:val="22"/>
                <w:szCs w:val="22"/>
              </w:rPr>
              <w:t>Access to a motor vehicle and a full driving licence.</w:t>
            </w:r>
          </w:p>
        </w:tc>
        <w:tc>
          <w:tcPr>
            <w:tcW w:w="1766" w:type="dxa"/>
            <w:tcBorders>
              <w:top w:val="single" w:sz="4" w:space="0" w:color="000000"/>
              <w:left w:val="single" w:sz="4" w:space="0" w:color="000000"/>
              <w:bottom w:val="single" w:sz="4" w:space="0" w:color="000000"/>
            </w:tcBorders>
            <w:shd w:fill="auto" w:val="clear"/>
            <w:vAlign w:val="center"/>
          </w:tcPr>
          <w:p>
            <w:pPr>
              <w:pStyle w:val="Normal"/>
              <w:keepNext w:val="true"/>
              <w:keepLines/>
              <w:snapToGrid w:val="false"/>
              <w:spacing w:before="120" w:after="120"/>
              <w:jc w:val="center"/>
              <w:rPr>
                <w:rFonts w:ascii="Wingdings" w:hAnsi="Wingdings" w:eastAsia="Wingdings" w:cs="Wingdings"/>
                <w:b/>
                <w:b/>
                <w:bCs/>
                <w:sz w:val="22"/>
                <w:szCs w:val="22"/>
              </w:rPr>
            </w:pPr>
            <w:r>
              <w:rPr>
                <w:rFonts w:eastAsia="Wingdings" w:cs="Wingdings" w:ascii="Wingdings" w:hAnsi="Wingdings"/>
                <w:b/>
                <w:bCs/>
                <w:sz w:val="22"/>
                <w:szCs w:val="22"/>
              </w:rPr>
            </w:r>
          </w:p>
        </w:tc>
        <w:tc>
          <w:tcPr>
            <w:tcW w:w="16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keepNext w:val="true"/>
              <w:keepLines/>
              <w:spacing w:before="120" w:after="120"/>
              <w:jc w:val="center"/>
              <w:rPr>
                <w:rFonts w:ascii="Wingdings" w:hAnsi="Wingdings" w:eastAsia="Wingdings" w:cs="Wingdings"/>
                <w:b/>
                <w:b/>
                <w:sz w:val="22"/>
                <w:szCs w:val="22"/>
              </w:rPr>
            </w:pPr>
            <w:r>
              <w:rPr>
                <w:rFonts w:eastAsia="Wingdings" w:cs="Wingdings" w:ascii="Wingdings" w:hAnsi="Wingdings"/>
                <w:b/>
                <w:sz w:val="22"/>
                <w:szCs w:val="22"/>
              </w:rPr>
              <w:t>ü</w:t>
            </w:r>
          </w:p>
        </w:tc>
      </w:tr>
    </w:tbl>
    <w:p>
      <w:pPr>
        <w:pStyle w:val="Normal"/>
        <w:spacing w:before="120" w:after="120"/>
        <w:rPr>
          <w:rFonts w:ascii="Calibri" w:hAnsi="Calibri" w:cs="Calibri"/>
          <w:b/>
          <w:b/>
          <w:sz w:val="22"/>
          <w:szCs w:val="22"/>
        </w:rPr>
      </w:pPr>
      <w:r>
        <w:rPr>
          <w:rFonts w:cs="Calibri" w:ascii="Calibri" w:hAnsi="Calibri"/>
          <w:b/>
          <w:sz w:val="22"/>
          <w:szCs w:val="22"/>
        </w:rPr>
      </w:r>
      <w:r>
        <w:br w:type="page"/>
      </w:r>
    </w:p>
    <w:p>
      <w:pPr>
        <w:pStyle w:val="Normal"/>
        <w:spacing w:before="120" w:after="120"/>
        <w:jc w:val="center"/>
        <w:rPr>
          <w:rFonts w:ascii="Calibri" w:hAnsi="Calibri" w:cs="Calibri"/>
          <w:b/>
          <w:b/>
          <w:sz w:val="22"/>
          <w:szCs w:val="22"/>
        </w:rPr>
      </w:pPr>
      <w:r>
        <w:rPr>
          <w:rFonts w:cs="Calibri" w:ascii="Calibri" w:hAnsi="Calibri"/>
          <w:b/>
          <w:sz w:val="22"/>
          <w:szCs w:val="22"/>
        </w:rPr>
        <w:t>CRITERIA FOR INTERVIEW AND OTHER ASSESSMENT METHODS</w:t>
      </w:r>
    </w:p>
    <w:p>
      <w:pPr>
        <w:pStyle w:val="Normal"/>
        <w:spacing w:before="120" w:after="120"/>
        <w:jc w:val="center"/>
        <w:rPr>
          <w:rFonts w:ascii="Calibri" w:hAnsi="Calibri" w:cs="Calibri"/>
          <w:b/>
          <w:b/>
          <w:sz w:val="22"/>
          <w:szCs w:val="22"/>
        </w:rPr>
      </w:pPr>
      <w:r>
        <w:rPr>
          <w:rFonts w:cs="Calibri" w:ascii="Calibri" w:hAnsi="Calibri"/>
          <w:b/>
          <w:sz w:val="22"/>
          <w:szCs w:val="22"/>
        </w:rPr>
        <w:t>The short-listing criteria listed plus the following:</w:t>
      </w:r>
    </w:p>
    <w:tbl>
      <w:tblPr>
        <w:tblW w:w="5000" w:type="pct"/>
        <w:jc w:val="left"/>
        <w:tblInd w:w="0" w:type="dxa"/>
        <w:tblCellMar>
          <w:top w:w="0" w:type="dxa"/>
          <w:left w:w="108" w:type="dxa"/>
          <w:bottom w:w="0" w:type="dxa"/>
          <w:right w:w="108" w:type="dxa"/>
        </w:tblCellMar>
      </w:tblPr>
      <w:tblGrid>
        <w:gridCol w:w="2126"/>
        <w:gridCol w:w="7620"/>
      </w:tblGrid>
      <w:tr>
        <w:trPr>
          <w:trHeight w:val="345" w:hRule="atLeast"/>
        </w:trPr>
        <w:tc>
          <w:tcPr>
            <w:tcW w:w="2126" w:type="dxa"/>
            <w:tcBorders>
              <w:top w:val="single" w:sz="4" w:space="0" w:color="000000"/>
              <w:left w:val="single" w:sz="4" w:space="0" w:color="000000"/>
              <w:bottom w:val="single" w:sz="4" w:space="0" w:color="000000"/>
            </w:tcBorders>
            <w:shd w:fill="auto" w:val="clear"/>
            <w:vAlign w:val="center"/>
          </w:tcPr>
          <w:p>
            <w:pPr>
              <w:pStyle w:val="Normal"/>
              <w:spacing w:before="120" w:after="120"/>
              <w:jc w:val="center"/>
              <w:rPr>
                <w:rFonts w:ascii="Calibri" w:hAnsi="Calibri" w:cs="Calibri"/>
                <w:b/>
                <w:b/>
                <w:sz w:val="22"/>
                <w:szCs w:val="22"/>
              </w:rPr>
            </w:pPr>
            <w:r>
              <w:rPr>
                <w:rFonts w:cs="Calibri" w:ascii="Calibri" w:hAnsi="Calibri"/>
                <w:b/>
                <w:sz w:val="22"/>
                <w:szCs w:val="22"/>
              </w:rPr>
              <w:t>ASSESSMENT</w:t>
            </w:r>
          </w:p>
          <w:p>
            <w:pPr>
              <w:pStyle w:val="Normal"/>
              <w:spacing w:before="120" w:after="120"/>
              <w:jc w:val="center"/>
              <w:rPr>
                <w:rFonts w:ascii="Calibri" w:hAnsi="Calibri" w:cs="Calibri"/>
                <w:b/>
                <w:b/>
                <w:sz w:val="22"/>
                <w:szCs w:val="22"/>
              </w:rPr>
            </w:pPr>
            <w:r>
              <w:rPr>
                <w:rFonts w:cs="Calibri" w:ascii="Calibri" w:hAnsi="Calibri"/>
                <w:b/>
                <w:sz w:val="22"/>
                <w:szCs w:val="22"/>
              </w:rPr>
              <w:t>METHOD</w:t>
            </w:r>
          </w:p>
        </w:tc>
        <w:tc>
          <w:tcPr>
            <w:tcW w:w="762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120" w:after="120"/>
              <w:jc w:val="center"/>
              <w:rPr>
                <w:rFonts w:ascii="Calibri" w:hAnsi="Calibri" w:cs="Calibri"/>
                <w:b/>
                <w:b/>
                <w:sz w:val="22"/>
                <w:szCs w:val="22"/>
              </w:rPr>
            </w:pPr>
            <w:r>
              <w:rPr>
                <w:rFonts w:cs="Calibri" w:ascii="Calibri" w:hAnsi="Calibri"/>
                <w:b/>
                <w:sz w:val="22"/>
                <w:szCs w:val="22"/>
              </w:rPr>
              <w:t>CRITERIA</w:t>
            </w:r>
          </w:p>
        </w:tc>
      </w:tr>
      <w:tr>
        <w:trPr>
          <w:trHeight w:val="567" w:hRule="atLeast"/>
        </w:trPr>
        <w:tc>
          <w:tcPr>
            <w:tcW w:w="2126"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Calibri" w:hAnsi="Calibri" w:cs="Calibri"/>
                <w:b/>
                <w:b/>
                <w:sz w:val="22"/>
                <w:szCs w:val="22"/>
              </w:rPr>
            </w:pPr>
            <w:r>
              <w:rPr>
                <w:rFonts w:cs="Calibri" w:ascii="Calibri" w:hAnsi="Calibri"/>
                <w:b/>
                <w:sz w:val="22"/>
                <w:szCs w:val="22"/>
              </w:rPr>
              <w:t>Interview/ Assessment</w:t>
            </w:r>
          </w:p>
        </w:tc>
        <w:tc>
          <w:tcPr>
            <w:tcW w:w="762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120" w:after="120"/>
              <w:rPr>
                <w:rFonts w:ascii="Calibri" w:hAnsi="Calibri" w:cs="Calibri"/>
                <w:sz w:val="22"/>
                <w:szCs w:val="22"/>
              </w:rPr>
            </w:pPr>
            <w:r>
              <w:rPr>
                <w:rFonts w:cs="Calibri" w:ascii="Calibri" w:hAnsi="Calibri"/>
                <w:sz w:val="22"/>
                <w:szCs w:val="22"/>
              </w:rPr>
              <w:t>Ability to develop and deliver presentations/briefings/training appropriate to target audiences</w:t>
            </w:r>
          </w:p>
        </w:tc>
      </w:tr>
      <w:tr>
        <w:trPr>
          <w:trHeight w:val="567" w:hRule="atLeast"/>
        </w:trPr>
        <w:tc>
          <w:tcPr>
            <w:tcW w:w="2126"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Calibri" w:hAnsi="Calibri" w:cs="Calibri"/>
                <w:b/>
                <w:b/>
                <w:sz w:val="22"/>
                <w:szCs w:val="22"/>
              </w:rPr>
            </w:pPr>
            <w:r>
              <w:rPr>
                <w:rFonts w:cs="Calibri" w:ascii="Calibri" w:hAnsi="Calibri"/>
                <w:b/>
                <w:sz w:val="22"/>
                <w:szCs w:val="22"/>
              </w:rPr>
              <w:t>Interview/ Assessment</w:t>
            </w:r>
          </w:p>
        </w:tc>
        <w:tc>
          <w:tcPr>
            <w:tcW w:w="762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120" w:after="120"/>
              <w:rPr>
                <w:rFonts w:ascii="Calibri" w:hAnsi="Calibri" w:cs="Calibri"/>
                <w:sz w:val="22"/>
                <w:szCs w:val="22"/>
              </w:rPr>
            </w:pPr>
            <w:r>
              <w:rPr>
                <w:rFonts w:cs="Calibri" w:ascii="Calibri" w:hAnsi="Calibri"/>
                <w:sz w:val="22"/>
                <w:szCs w:val="22"/>
              </w:rPr>
              <w:t>Ability to use Microsoft Office applications and administer databases.</w:t>
            </w:r>
          </w:p>
        </w:tc>
      </w:tr>
      <w:tr>
        <w:trPr>
          <w:trHeight w:val="567" w:hRule="atLeast"/>
        </w:trPr>
        <w:tc>
          <w:tcPr>
            <w:tcW w:w="2126"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Calibri" w:hAnsi="Calibri" w:cs="Calibri"/>
                <w:b/>
                <w:b/>
                <w:sz w:val="22"/>
                <w:szCs w:val="22"/>
              </w:rPr>
            </w:pPr>
            <w:r>
              <w:rPr>
                <w:rFonts w:cs="Calibri" w:ascii="Calibri" w:hAnsi="Calibri"/>
                <w:b/>
                <w:sz w:val="22"/>
                <w:szCs w:val="22"/>
              </w:rPr>
              <w:t>Interview/ Assessment</w:t>
            </w:r>
          </w:p>
        </w:tc>
        <w:tc>
          <w:tcPr>
            <w:tcW w:w="762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120" w:after="120"/>
              <w:ind w:left="-17" w:right="0" w:hanging="0"/>
              <w:rPr>
                <w:rFonts w:ascii="Calibri" w:hAnsi="Calibri" w:cs="Calibri"/>
                <w:sz w:val="22"/>
                <w:szCs w:val="22"/>
              </w:rPr>
            </w:pPr>
            <w:r>
              <w:rPr>
                <w:rFonts w:cs="Calibri" w:ascii="Calibri" w:hAnsi="Calibri"/>
                <w:sz w:val="22"/>
                <w:szCs w:val="22"/>
              </w:rPr>
              <w:t>Ability to manage, process, report on and analyse data.</w:t>
            </w:r>
          </w:p>
        </w:tc>
      </w:tr>
      <w:tr>
        <w:trPr>
          <w:trHeight w:val="567" w:hRule="atLeast"/>
        </w:trPr>
        <w:tc>
          <w:tcPr>
            <w:tcW w:w="2126"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Calibri" w:hAnsi="Calibri" w:cs="Calibri"/>
                <w:b/>
                <w:b/>
                <w:sz w:val="22"/>
                <w:szCs w:val="22"/>
              </w:rPr>
            </w:pPr>
            <w:r>
              <w:rPr>
                <w:rFonts w:cs="Calibri" w:ascii="Calibri" w:hAnsi="Calibri"/>
                <w:b/>
                <w:sz w:val="22"/>
                <w:szCs w:val="22"/>
              </w:rPr>
              <w:t>Interview/ Assessment</w:t>
            </w:r>
          </w:p>
        </w:tc>
        <w:tc>
          <w:tcPr>
            <w:tcW w:w="762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120" w:after="120"/>
              <w:rPr>
                <w:rFonts w:ascii="Calibri" w:hAnsi="Calibri" w:cs="Calibri"/>
                <w:sz w:val="22"/>
                <w:szCs w:val="22"/>
              </w:rPr>
            </w:pPr>
            <w:r>
              <w:rPr>
                <w:rFonts w:cs="Calibri" w:ascii="Calibri" w:hAnsi="Calibri"/>
                <w:sz w:val="22"/>
                <w:szCs w:val="22"/>
              </w:rPr>
              <w:t>Ability to work effectively in a multi-disciplinary team and effectively manage shared support officers.</w:t>
            </w:r>
          </w:p>
        </w:tc>
      </w:tr>
      <w:tr>
        <w:trPr>
          <w:trHeight w:val="567" w:hRule="atLeast"/>
        </w:trPr>
        <w:tc>
          <w:tcPr>
            <w:tcW w:w="2126"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Calibri" w:hAnsi="Calibri" w:cs="Calibri"/>
                <w:b/>
                <w:b/>
                <w:sz w:val="22"/>
                <w:szCs w:val="22"/>
              </w:rPr>
            </w:pPr>
            <w:r>
              <w:rPr>
                <w:rFonts w:cs="Calibri" w:ascii="Calibri" w:hAnsi="Calibri"/>
                <w:b/>
                <w:sz w:val="22"/>
                <w:szCs w:val="22"/>
              </w:rPr>
              <w:t>Interview/ Assessment</w:t>
            </w:r>
          </w:p>
        </w:tc>
        <w:tc>
          <w:tcPr>
            <w:tcW w:w="762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120" w:after="120"/>
              <w:rPr>
                <w:rFonts w:ascii="Calibri" w:hAnsi="Calibri" w:cs="Calibri"/>
                <w:sz w:val="22"/>
                <w:szCs w:val="22"/>
              </w:rPr>
            </w:pPr>
            <w:r>
              <w:rPr>
                <w:rFonts w:cs="Calibri" w:ascii="Calibri" w:hAnsi="Calibri"/>
                <w:sz w:val="22"/>
                <w:szCs w:val="22"/>
              </w:rPr>
              <w:t>Ability to think strategically and develop achievable project plans.</w:t>
            </w:r>
          </w:p>
        </w:tc>
      </w:tr>
    </w:tbl>
    <w:p>
      <w:pPr>
        <w:pStyle w:val="Normal"/>
        <w:spacing w:before="120" w:after="120"/>
        <w:rPr>
          <w:rFonts w:ascii="Calibri" w:hAnsi="Calibri" w:cs="Calibri"/>
          <w:sz w:val="22"/>
          <w:szCs w:val="22"/>
        </w:rPr>
      </w:pPr>
      <w:r>
        <w:rPr>
          <w:rFonts w:cs="Calibri" w:ascii="Calibri" w:hAnsi="Calibri"/>
          <w:sz w:val="22"/>
          <w:szCs w:val="22"/>
        </w:rPr>
      </w:r>
    </w:p>
    <w:p>
      <w:pPr>
        <w:pStyle w:val="Normal"/>
        <w:spacing w:before="120" w:after="120"/>
        <w:rPr>
          <w:rFonts w:ascii="Calibri" w:hAnsi="Calibri" w:cs="Calibri"/>
          <w:sz w:val="22"/>
          <w:szCs w:val="22"/>
        </w:rPr>
      </w:pPr>
      <w:r>
        <w:rPr>
          <w:rFonts w:cs="Calibri" w:ascii="Calibri" w:hAnsi="Calibri"/>
          <w:sz w:val="22"/>
          <w:szCs w:val="22"/>
        </w:rPr>
      </w:r>
    </w:p>
    <w:p>
      <w:pPr>
        <w:pStyle w:val="Normal"/>
        <w:spacing w:before="120" w:after="120"/>
        <w:rPr>
          <w:rFonts w:ascii="Calibri" w:hAnsi="Calibri" w:cs="Calibri"/>
          <w:sz w:val="22"/>
          <w:szCs w:val="22"/>
        </w:rPr>
      </w:pPr>
      <w:r>
        <w:rPr>
          <w:rFonts w:cs="Calibri" w:ascii="Calibri" w:hAnsi="Calibri"/>
          <w:sz w:val="22"/>
          <w:szCs w:val="22"/>
        </w:rPr>
      </w:r>
    </w:p>
    <w:sectPr>
      <w:headerReference w:type="default" r:id="rId2"/>
      <w:headerReference w:type="first" r:id="rId3"/>
      <w:footerReference w:type="default" r:id="rId4"/>
      <w:footerReference w:type="first" r:id="rId5"/>
      <w:type w:val="nextPage"/>
      <w:pgSz w:w="11906" w:h="16838"/>
      <w:pgMar w:left="1080" w:right="1080" w:header="708" w:top="1440" w:footer="708"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roman g">
    <w:charset w:val="00"/>
    <w:family w:val="roman"/>
    <w:pitch w:val="variable"/>
  </w:font>
  <w:font w:name="Calibri Light">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alibri">
    <w:charset w:val="00"/>
    <w:family w:val="roman"/>
    <w:pitch w:val="variable"/>
  </w:font>
  <w:font w:name="Wingdings">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r>
      <mc:AlternateContent>
        <mc:Choice Requires="wps">
          <w:drawing>
            <wp:anchor behindDoc="0" distT="0" distB="0" distL="0" distR="0" simplePos="0" locked="0" layoutInCell="1" allowOverlap="1" relativeHeight="13">
              <wp:simplePos x="0" y="0"/>
              <wp:positionH relativeFrom="margin">
                <wp:align>center</wp:align>
              </wp:positionH>
              <wp:positionV relativeFrom="paragraph">
                <wp:posOffset>635</wp:posOffset>
              </wp:positionV>
              <wp:extent cx="127000" cy="151765"/>
              <wp:effectExtent l="0" t="0" r="0" b="0"/>
              <wp:wrapSquare wrapText="largest"/>
              <wp:docPr id="2" name="Frame1"/>
              <a:graphic xmlns:a="http://schemas.openxmlformats.org/drawingml/2006/main">
                <a:graphicData uri="http://schemas.microsoft.com/office/word/2010/wordprocessingShape">
                  <wps:wsp>
                    <wps:cNvSpPr txBox="1"/>
                    <wps:spPr>
                      <a:xfrm>
                        <a:off x="0" y="0"/>
                        <a:ext cx="127000" cy="151765"/>
                      </a:xfrm>
                      <a:prstGeom prst="rect"/>
                      <a:solidFill>
                        <a:srgbClr val="FFFFFF">
                          <a:alpha val="0"/>
                        </a:srgbClr>
                      </a:solidFill>
                    </wps:spPr>
                    <wps:txbx>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12</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10pt;height:11.95pt;mso-wrap-distance-left:0pt;mso-wrap-distance-right:0pt;mso-wrap-distance-top:0pt;mso-wrap-distance-bottom:0pt;margin-top:0.05pt;mso-position-vertical-relative:text;margin-left:238.65pt;mso-position-horizontal:center;mso-position-horizontal-relative:margin">
              <v:fill opacity="0f"/>
              <v:textbox inset="0.000694444444444444in,0.000694444444444444in,0.000694444444444444in,0.000694444444444444in">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12</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9735" w:type="dxa"/>
      <w:jc w:val="left"/>
      <w:tblInd w:w="0" w:type="dxa"/>
      <w:tblCellMar>
        <w:top w:w="0" w:type="dxa"/>
        <w:left w:w="108" w:type="dxa"/>
        <w:bottom w:w="0" w:type="dxa"/>
        <w:right w:w="108" w:type="dxa"/>
      </w:tblCellMar>
    </w:tblPr>
    <w:tblGrid>
      <w:gridCol w:w="3245"/>
      <w:gridCol w:w="3245"/>
      <w:gridCol w:w="3245"/>
    </w:tblGrid>
    <w:tr>
      <w:trPr>
        <w:trHeight w:val="300" w:hRule="atLeast"/>
      </w:trPr>
      <w:tc>
        <w:tcPr>
          <w:tcW w:w="3245" w:type="dxa"/>
          <w:tcBorders/>
          <w:shd w:fill="auto" w:val="clear"/>
        </w:tcPr>
        <w:p>
          <w:pPr>
            <w:pStyle w:val="Header"/>
            <w:snapToGrid w:val="false"/>
            <w:ind w:left="-115" w:right="0" w:hanging="0"/>
            <w:rPr/>
          </w:pPr>
          <w:r>
            <w:rPr/>
          </w:r>
        </w:p>
      </w:tc>
      <w:tc>
        <w:tcPr>
          <w:tcW w:w="3245" w:type="dxa"/>
          <w:tcBorders/>
          <w:shd w:fill="auto" w:val="clear"/>
        </w:tcPr>
        <w:p>
          <w:pPr>
            <w:pStyle w:val="Header"/>
            <w:snapToGrid w:val="false"/>
            <w:jc w:val="center"/>
            <w:rPr/>
          </w:pPr>
          <w:r>
            <w:rPr/>
          </w:r>
        </w:p>
      </w:tc>
      <w:tc>
        <w:tcPr>
          <w:tcW w:w="3245" w:type="dxa"/>
          <w:tcBorders/>
          <w:shd w:fill="auto" w:val="clear"/>
        </w:tcPr>
        <w:p>
          <w:pPr>
            <w:pStyle w:val="Header"/>
            <w:snapToGrid w:val="false"/>
            <w:ind w:left="0" w:right="-115" w:hanging="0"/>
            <w:jc w:val="right"/>
            <w:rPr/>
          </w:pPr>
          <w:r>
            <w:rPr/>
          </w:r>
        </w:p>
      </w:tc>
    </w:tr>
  </w:tbl>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9735" w:type="dxa"/>
      <w:jc w:val="left"/>
      <w:tblInd w:w="0" w:type="dxa"/>
      <w:tblCellMar>
        <w:top w:w="0" w:type="dxa"/>
        <w:left w:w="108" w:type="dxa"/>
        <w:bottom w:w="0" w:type="dxa"/>
        <w:right w:w="108" w:type="dxa"/>
      </w:tblCellMar>
    </w:tblPr>
    <w:tblGrid>
      <w:gridCol w:w="3245"/>
      <w:gridCol w:w="3245"/>
      <w:gridCol w:w="3245"/>
    </w:tblGrid>
    <w:tr>
      <w:trPr>
        <w:trHeight w:val="300" w:hRule="atLeast"/>
      </w:trPr>
      <w:tc>
        <w:tcPr>
          <w:tcW w:w="3245" w:type="dxa"/>
          <w:tcBorders/>
          <w:shd w:fill="auto" w:val="clear"/>
        </w:tcPr>
        <w:p>
          <w:pPr>
            <w:pStyle w:val="Header"/>
            <w:snapToGrid w:val="false"/>
            <w:ind w:left="-115" w:right="0" w:hanging="0"/>
            <w:rPr/>
          </w:pPr>
          <w:r>
            <w:rPr/>
          </w:r>
        </w:p>
      </w:tc>
      <w:tc>
        <w:tcPr>
          <w:tcW w:w="3245" w:type="dxa"/>
          <w:tcBorders/>
          <w:shd w:fill="auto" w:val="clear"/>
        </w:tcPr>
        <w:p>
          <w:pPr>
            <w:pStyle w:val="Header"/>
            <w:snapToGrid w:val="false"/>
            <w:jc w:val="center"/>
            <w:rPr/>
          </w:pPr>
          <w:r>
            <w:rPr/>
          </w:r>
        </w:p>
      </w:tc>
      <w:tc>
        <w:tcPr>
          <w:tcW w:w="3245" w:type="dxa"/>
          <w:tcBorders/>
          <w:shd w:fill="auto" w:val="clear"/>
        </w:tcPr>
        <w:p>
          <w:pPr>
            <w:pStyle w:val="Header"/>
            <w:snapToGrid w:val="false"/>
            <w:ind w:left="0" w:right="-115" w:hanging="0"/>
            <w:jc w:val="right"/>
            <w:rPr/>
          </w:pPr>
          <w:r>
            <w:rPr/>
          </w:r>
        </w:p>
      </w:tc>
    </w:tr>
  </w:tbl>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right"/>
      <w:rPr/>
    </w:pPr>
    <w:r>
      <w:rPr/>
      <w:drawing>
        <wp:inline distT="0" distB="0" distL="0" distR="0">
          <wp:extent cx="1097280" cy="57912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33" t="-62" r="-33" b="-62"/>
                  <a:stretch>
                    <a:fillRect/>
                  </a:stretch>
                </pic:blipFill>
                <pic:spPr bwMode="auto">
                  <a:xfrm>
                    <a:off x="0" y="0"/>
                    <a:ext cx="1097280" cy="579120"/>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340" w:hanging="34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decimal"/>
      <w:lvlText w:val="%1."/>
      <w:lvlJc w:val="left"/>
      <w:pPr>
        <w:ind w:left="340" w:hanging="34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360" w:hanging="360"/>
      </w:pPr>
      <w:rPr>
        <w:sz w:val="22"/>
        <w:szCs w:val="22"/>
        <w:rFonts w:cs="Times New Roman"/>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decimal"/>
      <w:lvlText w:val="%1."/>
      <w:lvlJc w:val="left"/>
      <w:pPr>
        <w:ind w:left="360" w:hanging="360"/>
      </w:pPr>
      <w:rPr>
        <w:sz w:val="22"/>
        <w:rFonts w:cs="Times New Roman"/>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6">
    <w:lvl w:ilvl="0">
      <w:start w:val="1"/>
      <w:numFmt w:val="decimal"/>
      <w:lvlText w:val="%1."/>
      <w:lvlJc w:val="left"/>
      <w:pPr>
        <w:ind w:left="360" w:hanging="360"/>
      </w:pPr>
      <w:rPr>
        <w:sz w:val="22"/>
        <w:rFonts w:cs="Times New Roman"/>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7">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8">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9">
    <w:lvl w:ilvl="0">
      <w:start w:val="1"/>
      <w:numFmt w:val="decimal"/>
      <w:lvlText w:val="%1."/>
      <w:lvlJc w:val="left"/>
      <w:pPr>
        <w:ind w:left="360" w:hanging="360"/>
      </w:pPr>
      <w:rPr>
        <w:sz w:val="22"/>
        <w:szCs w:val="22"/>
        <w:rFonts w:cs="Calibri"/>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0">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11">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12">
    <w:lvl w:ilvl="0">
      <w:start w:val="1"/>
      <w:numFmt w:val="bullet"/>
      <w:lvlText w:val=""/>
      <w:lvlJc w:val="left"/>
      <w:pPr>
        <w:ind w:left="1080" w:hanging="360"/>
      </w:pPr>
      <w:rPr>
        <w:rFonts w:ascii="Symbol" w:hAnsi="Symbol" w:cs="Symbol" w:hint="default"/>
        <w:rFonts w:cs="Symbol"/>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13">
    <w:lvl w:ilvl="0">
      <w:start w:val="1"/>
      <w:numFmt w:val="bullet"/>
      <w:lvlText w:val=""/>
      <w:lvlJc w:val="left"/>
      <w:pPr>
        <w:ind w:left="1080" w:hanging="360"/>
      </w:pPr>
      <w:rPr>
        <w:rFonts w:ascii="Symbol" w:hAnsi="Symbol" w:cs="Symbol" w:hint="default"/>
        <w:rFonts w:cs="Symbol"/>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14">
    <w:lvl w:ilvl="0">
      <w:start w:val="1"/>
      <w:numFmt w:val="bullet"/>
      <w:lvlText w:val=""/>
      <w:lvlJc w:val="left"/>
      <w:pPr>
        <w:ind w:left="1080" w:hanging="360"/>
      </w:pPr>
      <w:rPr>
        <w:rFonts w:ascii="Symbol" w:hAnsi="Symbol" w:cs="Symbol" w:hint="default"/>
        <w:rFonts w:cs="Symbol"/>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GB" w:bidi="ar-SA"/>
    </w:rPr>
  </w:style>
  <w:style w:type="paragraph" w:styleId="Heading1">
    <w:name w:val="Heading 1"/>
    <w:basedOn w:val="Normal"/>
    <w:next w:val="TextBody"/>
    <w:qFormat/>
    <w:pPr>
      <w:numPr>
        <w:ilvl w:val="0"/>
        <w:numId w:val="1"/>
      </w:numPr>
      <w:spacing w:lineRule="exact" w:line="240"/>
      <w:outlineLvl w:val="0"/>
    </w:pPr>
    <w:rPr>
      <w:rFonts w:ascii="roman g" w:hAnsi="roman g" w:cs="roman g"/>
      <w:b/>
      <w:sz w:val="20"/>
      <w:szCs w:val="20"/>
      <w:lang w:eastAsia="en-US"/>
    </w:rPr>
  </w:style>
  <w:style w:type="paragraph" w:styleId="Heading3">
    <w:name w:val="Heading 3"/>
    <w:basedOn w:val="Normal"/>
    <w:next w:val="Normal"/>
    <w:qFormat/>
    <w:pPr>
      <w:keepNext w:val="true"/>
      <w:keepLines/>
      <w:numPr>
        <w:ilvl w:val="2"/>
        <w:numId w:val="1"/>
      </w:numPr>
      <w:spacing w:before="40" w:after="0"/>
      <w:outlineLvl w:val="2"/>
    </w:pPr>
    <w:rPr>
      <w:rFonts w:ascii="Calibri Light" w:hAnsi="Calibri Light" w:eastAsia="" w:cs=""/>
      <w:color w:val="1F3763"/>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cs="Times New Roman"/>
      <w:sz w:val="22"/>
      <w:szCs w:val="22"/>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cs="Times New Roman"/>
      <w:sz w:val="22"/>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rFonts w:cs="Times New Roman"/>
      <w:sz w:val="22"/>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cs="Calibri"/>
      <w:sz w:val="22"/>
      <w:szCs w:val="22"/>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rFonts w:ascii="Symbol" w:hAnsi="Symbol" w:cs="Symbo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1z0">
    <w:name w:val="WW8Num11z0"/>
    <w:qFormat/>
    <w:rPr>
      <w:rFonts w:ascii="Symbol" w:hAnsi="Symbol" w:cs="Symbol"/>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3z0">
    <w:name w:val="WW8Num13z0"/>
    <w:qFormat/>
    <w:rPr>
      <w:rFonts w:ascii="Symbol" w:hAnsi="Symbol" w:cs="Symbol"/>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DefaultParagraphFont">
    <w:name w:val="Default Paragraph Font"/>
    <w:qFormat/>
    <w:rPr/>
  </w:style>
  <w:style w:type="character" w:styleId="Heading1Char">
    <w:name w:val="Heading 1 Char"/>
    <w:qFormat/>
    <w:rPr>
      <w:rFonts w:ascii="roman g" w:hAnsi="roman g" w:cs="roman g"/>
      <w:b/>
      <w:lang w:val="en-GB" w:eastAsia="en-US" w:bidi="ar-SA"/>
    </w:rPr>
  </w:style>
  <w:style w:type="character" w:styleId="FooterChar">
    <w:name w:val="Footer Char"/>
    <w:qFormat/>
    <w:rPr>
      <w:lang w:val="en-GB" w:eastAsia="en-US" w:bidi="ar-SA"/>
    </w:rPr>
  </w:style>
  <w:style w:type="character" w:styleId="Pagenumber">
    <w:name w:val="page number"/>
    <w:qFormat/>
    <w:rPr>
      <w:rFonts w:cs="Times New Roman"/>
    </w:rPr>
  </w:style>
  <w:style w:type="character" w:styleId="Heading3Char">
    <w:name w:val="Heading 3 Char"/>
    <w:basedOn w:val="DefaultParagraphFont"/>
    <w:qFormat/>
    <w:rPr>
      <w:rFonts w:ascii="Calibri Light" w:hAnsi="Calibri Light" w:eastAsia="" w:cs=""/>
      <w:color w:val="1F3763"/>
      <w:sz w:val="24"/>
      <w:szCs w:val="24"/>
    </w:rPr>
  </w:style>
  <w:style w:type="character" w:styleId="HeaderChar">
    <w:name w:val="Header Char"/>
    <w:basedOn w:val="DefaultParagraphFont"/>
    <w:qFormat/>
    <w:rPr>
      <w:sz w:val="24"/>
      <w:szCs w:val="24"/>
    </w:rPr>
  </w:style>
  <w:style w:type="character" w:styleId="Normaltextrun">
    <w:name w:val="normaltextrun"/>
    <w:basedOn w:val="DefaultParagraphFont"/>
    <w:qFormat/>
    <w:rPr/>
  </w:style>
  <w:style w:type="character" w:styleId="Eop">
    <w:name w:val="eop"/>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Footer">
    <w:name w:val="Footer"/>
    <w:basedOn w:val="Normal"/>
    <w:pPr>
      <w:keepLines/>
      <w:tabs>
        <w:tab w:val="clear" w:pos="720"/>
        <w:tab w:val="center" w:pos="4320" w:leader="none"/>
        <w:tab w:val="right" w:pos="8640" w:leader="none"/>
      </w:tabs>
      <w:spacing w:lineRule="exact" w:line="240"/>
    </w:pPr>
    <w:rPr>
      <w:sz w:val="20"/>
      <w:szCs w:val="20"/>
      <w:lang w:eastAsia="en-US"/>
    </w:rPr>
  </w:style>
  <w:style w:type="paragraph" w:styleId="ListParagraph">
    <w:name w:val="List Paragraph"/>
    <w:basedOn w:val="Normal"/>
    <w:qFormat/>
    <w:pPr>
      <w:ind w:left="720" w:right="0" w:hanging="0"/>
    </w:pPr>
    <w:rPr/>
  </w:style>
  <w:style w:type="paragraph" w:styleId="Header">
    <w:name w:val="Header"/>
    <w:basedOn w:val="Normal"/>
    <w:pPr>
      <w:tabs>
        <w:tab w:val="clear" w:pos="720"/>
        <w:tab w:val="center" w:pos="4513" w:leader="none"/>
        <w:tab w:val="right" w:pos="9026" w:leader="none"/>
      </w:tabs>
    </w:pPr>
    <w:rPr/>
  </w:style>
  <w:style w:type="paragraph" w:styleId="Paragraph">
    <w:name w:val="paragraph"/>
    <w:basedOn w:val="Normal"/>
    <w:qFormat/>
    <w:pPr>
      <w:spacing w:before="280" w:after="280"/>
    </w:pPr>
    <w:rPr>
      <w:lang w:val="en-US" w:eastAsia="en-US"/>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