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480" w:after="0"/>
        <w:rPr/>
      </w:pPr>
      <w:r>
        <w:rPr/>
        <w:t>Structured Review of Trade Multiskilling Duties for a Plasterer</w:t>
      </w:r>
    </w:p>
    <w:p>
      <w:pPr>
        <w:pStyle w:val="Heading2"/>
        <w:rPr/>
      </w:pPr>
      <w:r>
        <w:rPr/>
        <w:t>1. Core Plastering Responsibilities</w:t>
      </w:r>
    </w:p>
    <w:p>
      <w:pPr>
        <w:pStyle w:val="ListBullet"/>
        <w:numPr>
          <w:ilvl w:val="0"/>
          <w:numId w:val="2"/>
        </w:numPr>
        <w:rPr/>
      </w:pPr>
      <w:r>
        <w:rPr/>
        <w:t>Skim coating, bonding, patch plastering, and full wall/ceiling preparation.</w:t>
      </w:r>
    </w:p>
    <w:p>
      <w:pPr>
        <w:pStyle w:val="ListBullet"/>
        <w:numPr>
          <w:ilvl w:val="0"/>
          <w:numId w:val="2"/>
        </w:numPr>
        <w:rPr/>
      </w:pPr>
      <w:r>
        <w:rPr/>
        <w:t>Application of plasterboard including dot and dab or fixed systems.</w:t>
      </w:r>
    </w:p>
    <w:p>
      <w:pPr>
        <w:pStyle w:val="ListBullet"/>
        <w:numPr>
          <w:ilvl w:val="0"/>
          <w:numId w:val="2"/>
        </w:numPr>
        <w:rPr/>
      </w:pPr>
      <w:r>
        <w:rPr/>
        <w:t>Repairs to internal walls and ceilings following water ingress or structural movement.</w:t>
      </w:r>
    </w:p>
    <w:p>
      <w:pPr>
        <w:pStyle w:val="ListBullet"/>
        <w:numPr>
          <w:ilvl w:val="0"/>
          <w:numId w:val="2"/>
        </w:numPr>
        <w:rPr/>
      </w:pPr>
      <w:r>
        <w:rPr/>
        <w:t>Ensuring high-quality finishes meeting organisational standards.</w:t>
      </w:r>
    </w:p>
    <w:p>
      <w:pPr>
        <w:pStyle w:val="Heading2"/>
        <w:rPr/>
      </w:pPr>
      <w:r>
        <w:rPr/>
        <w:t>2. Multiskilling Duties for Plasterers</w:t>
      </w:r>
    </w:p>
    <w:p>
      <w:pPr>
        <w:pStyle w:val="ListBullet"/>
        <w:numPr>
          <w:ilvl w:val="0"/>
          <w:numId w:val="2"/>
        </w:numPr>
        <w:rPr/>
      </w:pPr>
      <w:r>
        <w:rPr/>
        <w:t>Injection DPC.</w:t>
      </w:r>
    </w:p>
    <w:p>
      <w:pPr>
        <w:pStyle w:val="ListBullet"/>
        <w:numPr>
          <w:ilvl w:val="0"/>
          <w:numId w:val="2"/>
        </w:numPr>
        <w:rPr/>
      </w:pPr>
      <w:r>
        <w:rPr/>
        <w:t>Patch pointing up to 1 square metre at low level.</w:t>
      </w:r>
    </w:p>
    <w:p>
      <w:pPr>
        <w:pStyle w:val="ListBullet"/>
        <w:numPr>
          <w:ilvl w:val="0"/>
          <w:numId w:val="2"/>
        </w:numPr>
        <w:rPr/>
      </w:pPr>
      <w:r>
        <w:rPr/>
        <w:t>Ceramic wall tiling – remove, renew, replace, and apply silicone sealant.</w:t>
      </w:r>
    </w:p>
    <w:p>
      <w:pPr>
        <w:pStyle w:val="ListBullet"/>
        <w:numPr>
          <w:ilvl w:val="0"/>
          <w:numId w:val="2"/>
        </w:numPr>
        <w:rPr/>
      </w:pPr>
      <w:r>
        <w:rPr/>
        <w:t>Remove and replace thermoplastic floor tiles.</w:t>
      </w:r>
    </w:p>
    <w:p>
      <w:pPr>
        <w:pStyle w:val="ListBullet"/>
        <w:numPr>
          <w:ilvl w:val="0"/>
          <w:numId w:val="2"/>
        </w:numPr>
        <w:rPr/>
      </w:pPr>
      <w:r>
        <w:rPr/>
        <w:t>Refix/renew quarry tiles to floors up to 1 square metre, steps, or cills.</w:t>
      </w:r>
    </w:p>
    <w:p>
      <w:pPr>
        <w:pStyle w:val="ListBullet"/>
        <w:numPr>
          <w:ilvl w:val="0"/>
          <w:numId w:val="2"/>
        </w:numPr>
        <w:rPr/>
      </w:pPr>
      <w:r>
        <w:rPr/>
        <w:t>Mastic pointing to doors, windows, and sanitary fittings.</w:t>
      </w:r>
    </w:p>
    <w:p>
      <w:pPr>
        <w:pStyle w:val="ListBullet"/>
        <w:numPr>
          <w:ilvl w:val="0"/>
          <w:numId w:val="2"/>
        </w:numPr>
        <w:rPr/>
      </w:pPr>
      <w:r>
        <w:rPr/>
        <w:t>Renew or Refit Timber skirtings boards and architraves in conjunction with other work - All types .</w:t>
      </w:r>
    </w:p>
    <w:p>
      <w:pPr>
        <w:pStyle w:val="ListBullet"/>
        <w:numPr>
          <w:ilvl w:val="0"/>
          <w:numId w:val="2"/>
        </w:numPr>
        <w:rPr/>
      </w:pPr>
      <w:r>
        <w:rPr/>
        <w:t>Clean out guttering, valley gutters, and rainwater pipes.</w:t>
      </w:r>
    </w:p>
    <w:p>
      <w:pPr>
        <w:pStyle w:val="ListBullet"/>
        <w:numPr>
          <w:ilvl w:val="0"/>
          <w:numId w:val="2"/>
        </w:numPr>
        <w:rPr/>
      </w:pPr>
      <w:r>
        <w:rPr/>
        <w:t>Repair leaks to gutters including replacement of fittings.</w:t>
      </w:r>
    </w:p>
    <w:p>
      <w:pPr>
        <w:pStyle w:val="ListBullet"/>
        <w:numPr>
          <w:ilvl w:val="0"/>
          <w:numId w:val="2"/>
        </w:numPr>
        <w:rPr/>
      </w:pPr>
      <w:r>
        <w:rPr/>
        <w:t>Renew/realign gutters and downspouts including brackets and supports.</w:t>
      </w:r>
    </w:p>
    <w:p>
      <w:pPr>
        <w:pStyle w:val="ListBullet"/>
        <w:numPr>
          <w:ilvl w:val="0"/>
          <w:numId w:val="2"/>
        </w:numPr>
        <w:rPr/>
      </w:pPr>
      <w:r>
        <w:rPr/>
        <w:t>Refix soil vent pipes including brackets and supports.</w:t>
      </w:r>
    </w:p>
    <w:p>
      <w:pPr>
        <w:pStyle w:val="ListBullet"/>
        <w:numPr>
          <w:ilvl w:val="0"/>
          <w:numId w:val="2"/>
        </w:numPr>
        <w:rPr/>
      </w:pPr>
      <w:r>
        <w:rPr/>
        <w:t>Refix/renew timber floorboards.</w:t>
      </w:r>
    </w:p>
    <w:p>
      <w:pPr>
        <w:pStyle w:val="ListBullet"/>
        <w:numPr>
          <w:ilvl w:val="0"/>
          <w:numId w:val="2"/>
        </w:numPr>
        <w:rPr/>
      </w:pPr>
      <w:r>
        <w:rPr/>
        <w:t>Timber studding to form walls and noggins between joists or studs to receive plasterboard.</w:t>
      </w:r>
    </w:p>
    <w:p>
      <w:pPr>
        <w:pStyle w:val="ListBullet"/>
        <w:numPr>
          <w:ilvl w:val="0"/>
          <w:numId w:val="2"/>
        </w:numPr>
        <w:rPr/>
      </w:pPr>
      <w:r>
        <w:rPr/>
        <w:t>Fit or replace air bricks, sleeves, and ventilators to walls.</w:t>
      </w:r>
    </w:p>
    <w:p>
      <w:pPr>
        <w:pStyle w:val="ListBullet"/>
        <w:numPr>
          <w:ilvl w:val="0"/>
          <w:numId w:val="2"/>
        </w:numPr>
        <w:rPr/>
      </w:pPr>
      <w:r>
        <w:rPr/>
        <w:t>Patch repairs to internal brick and blockwork walls up to 1 square metre, including bricking up fireplaces.</w:t>
      </w:r>
    </w:p>
    <w:p>
      <w:pPr>
        <w:pStyle w:val="ListBullet"/>
        <w:numPr>
          <w:ilvl w:val="0"/>
          <w:numId w:val="2"/>
        </w:numPr>
        <w:rPr/>
      </w:pPr>
      <w:r>
        <w:rPr/>
        <w:t>Remove and refit central heating radiators including brackets, refilling, and testing.</w:t>
      </w:r>
    </w:p>
    <w:p>
      <w:pPr>
        <w:pStyle w:val="ListBullet"/>
        <w:numPr>
          <w:ilvl w:val="0"/>
          <w:numId w:val="2"/>
        </w:numPr>
        <w:rPr/>
      </w:pPr>
      <w:r>
        <w:rPr/>
        <w:t>Remove and refix access panels and ducts including bath panels.</w:t>
      </w:r>
    </w:p>
    <w:p>
      <w:pPr>
        <w:pStyle w:val="ListBullet"/>
        <w:numPr>
          <w:ilvl w:val="0"/>
          <w:numId w:val="2"/>
        </w:numPr>
        <w:rPr/>
      </w:pPr>
      <w:r>
        <w:rPr/>
        <w:t>Remove and re-hang internal doors.</w:t>
      </w:r>
    </w:p>
    <w:p>
      <w:pPr>
        <w:pStyle w:val="ListBullet"/>
        <w:numPr>
          <w:ilvl w:val="0"/>
          <w:numId w:val="2"/>
        </w:numPr>
        <w:rPr/>
      </w:pPr>
      <w:r>
        <w:rPr/>
        <w:t>Renew or adjust ironmongery to doors and gates including hinges, latches, locks, and furniture.</w:t>
      </w:r>
    </w:p>
    <w:p>
      <w:pPr>
        <w:pStyle w:val="ListBullet"/>
        <w:numPr>
          <w:ilvl w:val="0"/>
          <w:numId w:val="2"/>
        </w:numPr>
        <w:rPr/>
      </w:pPr>
      <w:r>
        <w:rPr/>
        <w:t>Carry out decoration/painting work on newly fitted or repaired items.</w:t>
      </w:r>
    </w:p>
    <w:p>
      <w:pPr>
        <w:pStyle w:val="ListBullet"/>
        <w:numPr>
          <w:ilvl w:val="0"/>
          <w:numId w:val="2"/>
        </w:numPr>
        <w:rPr/>
      </w:pPr>
      <w:r>
        <w:rPr/>
        <w:t>Take out and refix kitchen units including sink unit.</w:t>
      </w:r>
    </w:p>
    <w:p>
      <w:pPr>
        <w:pStyle w:val="ListBullet"/>
        <w:numPr>
          <w:ilvl w:val="0"/>
          <w:numId w:val="2"/>
        </w:numPr>
        <w:rPr/>
      </w:pPr>
      <w:r>
        <w:rPr/>
        <w:t>Clean out gulleys.</w:t>
      </w:r>
    </w:p>
    <w:p>
      <w:pPr>
        <w:pStyle w:val="ListBullet"/>
        <w:numPr>
          <w:ilvl w:val="0"/>
          <w:numId w:val="2"/>
        </w:numPr>
        <w:rPr>
          <w:lang w:val="en-GB" w:eastAsia="en-GB"/>
        </w:rPr>
      </w:pPr>
      <w:r>
        <w:rPr>
          <w:lang w:val="en-GB" w:eastAsia="en-GB"/>
        </w:rPr>
        <w:t>To undertake any training and carry out other duties, including works identified in the void standard, commensurate with the role.</w:t>
      </w:r>
    </w:p>
    <w:p>
      <w:pPr>
        <w:pStyle w:val="ListBullet"/>
        <w:numPr>
          <w:ilvl w:val="0"/>
          <w:numId w:val="0"/>
        </w:numPr>
        <w:ind w:left="360" w:right="0" w:hanging="0"/>
        <w:rPr/>
      </w:pPr>
      <w:r>
        <w:rPr/>
      </w:r>
    </w:p>
    <w:p>
      <w:pPr>
        <w:pStyle w:val="Heading2"/>
        <w:rPr/>
      </w:pPr>
      <w:r>
        <w:rPr/>
        <w:t>3. Health &amp; Safety Requirements</w:t>
      </w:r>
    </w:p>
    <w:p>
      <w:pPr>
        <w:pStyle w:val="ListBullet"/>
        <w:numPr>
          <w:ilvl w:val="0"/>
          <w:numId w:val="2"/>
        </w:numPr>
        <w:rPr/>
      </w:pPr>
      <w:r>
        <w:rPr/>
        <w:t>Compliance with RAMS and safe working practices.</w:t>
      </w:r>
    </w:p>
    <w:p>
      <w:pPr>
        <w:pStyle w:val="ListBullet"/>
        <w:numPr>
          <w:ilvl w:val="0"/>
          <w:numId w:val="2"/>
        </w:numPr>
        <w:rPr/>
      </w:pPr>
      <w:r>
        <w:rPr/>
        <w:t>Correct use of PPE including eye, respiratory, and hand protection.</w:t>
      </w:r>
    </w:p>
    <w:p>
      <w:pPr>
        <w:pStyle w:val="ListBullet"/>
        <w:numPr>
          <w:ilvl w:val="0"/>
          <w:numId w:val="2"/>
        </w:numPr>
        <w:rPr/>
      </w:pPr>
      <w:r>
        <w:rPr/>
        <w:t>Safe handling and disposal of plaster, bonding agents, and adhesives.</w:t>
      </w:r>
    </w:p>
    <w:p>
      <w:pPr>
        <w:pStyle w:val="ListBullet"/>
        <w:numPr>
          <w:ilvl w:val="0"/>
          <w:numId w:val="2"/>
        </w:numPr>
        <w:rPr/>
      </w:pPr>
      <w:r>
        <w:rPr/>
        <w:t>Asbestos awareness and correct escalation if suspected materials are identified.</w:t>
      </w:r>
    </w:p>
    <w:p>
      <w:pPr>
        <w:pStyle w:val="Heading2"/>
        <w:rPr/>
      </w:pPr>
      <w:r>
        <w:rPr/>
        <w:t>4. Customer Service &amp; Communication</w:t>
      </w:r>
    </w:p>
    <w:p>
      <w:pPr>
        <w:pStyle w:val="ListBullet"/>
        <w:numPr>
          <w:ilvl w:val="0"/>
          <w:numId w:val="2"/>
        </w:numPr>
        <w:rPr/>
      </w:pPr>
      <w:r>
        <w:rPr/>
        <w:t>Clear communication regarding work requirements and expected timelines.</w:t>
      </w:r>
    </w:p>
    <w:p>
      <w:pPr>
        <w:pStyle w:val="ListBullet"/>
        <w:numPr>
          <w:ilvl w:val="0"/>
          <w:numId w:val="2"/>
        </w:numPr>
        <w:rPr/>
      </w:pPr>
      <w:r>
        <w:rPr/>
        <w:t>Respectful conduct in occupied properties.</w:t>
      </w:r>
    </w:p>
    <w:p>
      <w:pPr>
        <w:pStyle w:val="ListBullet"/>
        <w:numPr>
          <w:ilvl w:val="0"/>
          <w:numId w:val="2"/>
        </w:numPr>
        <w:rPr/>
      </w:pPr>
      <w:r>
        <w:rPr/>
        <w:t>Accurate recording of job notes, follow-on requirements, and material usage.</w:t>
      </w:r>
    </w:p>
    <w:p>
      <w:pPr>
        <w:pStyle w:val="Heading2"/>
        <w:rPr/>
      </w:pPr>
      <w:r>
        <w:rPr/>
        <w:t>5. Quality Standards &amp; Performance</w:t>
      </w:r>
    </w:p>
    <w:p>
      <w:pPr>
        <w:pStyle w:val="ListBullet"/>
        <w:numPr>
          <w:ilvl w:val="0"/>
          <w:numId w:val="2"/>
        </w:numPr>
        <w:rPr/>
      </w:pPr>
      <w:r>
        <w:rPr/>
        <w:t>High-quality finish to all plastered, repaired, or decorated surfaces.</w:t>
      </w:r>
    </w:p>
    <w:p>
      <w:pPr>
        <w:pStyle w:val="ListBullet"/>
        <w:numPr>
          <w:ilvl w:val="0"/>
          <w:numId w:val="2"/>
        </w:numPr>
        <w:rPr/>
      </w:pPr>
      <w:r>
        <w:rPr/>
        <w:t>Right-first-time approach to reduce follow-on repairs.</w:t>
      </w:r>
    </w:p>
    <w:p>
      <w:pPr>
        <w:pStyle w:val="ListBullet"/>
        <w:numPr>
          <w:ilvl w:val="0"/>
          <w:numId w:val="2"/>
        </w:numPr>
        <w:spacing w:before="0" w:after="200"/>
        <w:contextualSpacing/>
        <w:rPr/>
      </w:pPr>
      <w:r>
        <w:rPr/>
        <w:t>Consistent achievement of organisational quality, productivity, and compliance expectations.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ＭＳ 明朝" w:cs="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libri" w:hAnsi="Calibri" w:eastAsia="ＭＳ ゴシック" w:cs="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libri" w:hAnsi="Calibri" w:eastAsia="ＭＳ ゴシック" w:cs="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libri" w:hAnsi="Calibri" w:eastAsia="ＭＳ ゴシック" w:cs=""/>
      <w:b/>
      <w:bCs/>
      <w:color w:val="4F81BD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libri" w:hAnsi="Calibri" w:eastAsia="ＭＳ ゴシック" w:cs=""/>
      <w:b/>
      <w:bCs/>
      <w:i/>
      <w:iCs/>
      <w:color w:val="4F81BD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200" w:after="0"/>
      <w:outlineLvl w:val="4"/>
    </w:pPr>
    <w:rPr>
      <w:rFonts w:ascii="Calibri" w:hAnsi="Calibri" w:eastAsia="ＭＳ ゴシック" w:cs=""/>
      <w:color w:val="243F60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libri" w:hAnsi="Calibri" w:eastAsia="ＭＳ ゴシック" w:cs=""/>
      <w:i/>
      <w:iCs/>
      <w:color w:val="243F60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libri" w:hAnsi="Calibri" w:eastAsia="ＭＳ ゴシック" w:cs=""/>
      <w:i/>
      <w:iCs/>
      <w:color w:val="404040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libri" w:hAnsi="Calibri" w:eastAsia="ＭＳ ゴシック" w:cs=""/>
      <w:color w:val="4F81BD"/>
      <w:sz w:val="20"/>
      <w:szCs w:val="20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libri" w:hAnsi="Calibri" w:eastAsia="ＭＳ ゴシック" w:cs=""/>
      <w:i/>
      <w:iCs/>
      <w:color w:val="404040"/>
      <w:sz w:val="20"/>
      <w:szCs w:val="20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Heading1Char">
    <w:name w:val="Heading 1 Char"/>
    <w:basedOn w:val="DefaultParagraphFont"/>
    <w:qFormat/>
    <w:rPr>
      <w:rFonts w:ascii="Calibri" w:hAnsi="Calibri" w:eastAsia="ＭＳ ゴシック" w:cs="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libri" w:hAnsi="Calibri" w:eastAsia="ＭＳ ゴシック" w:cs="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libri" w:hAnsi="Calibri" w:eastAsia="ＭＳ ゴシック" w:cs=""/>
      <w:b/>
      <w:bCs/>
      <w:color w:val="4F81BD"/>
    </w:rPr>
  </w:style>
  <w:style w:type="character" w:styleId="TitleChar">
    <w:name w:val="Title Char"/>
    <w:basedOn w:val="DefaultParagraphFont"/>
    <w:qFormat/>
    <w:rPr>
      <w:rFonts w:ascii="Calibri" w:hAnsi="Calibri" w:eastAsia="ＭＳ ゴシック" w:cs=""/>
      <w:color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Calibri" w:hAnsi="Calibri" w:eastAsia="ＭＳ ゴシック" w:cs=""/>
      <w:i/>
      <w:iCs/>
      <w:color w:val="4F81BD"/>
      <w:spacing w:val="15"/>
      <w:sz w:val="24"/>
      <w:szCs w:val="24"/>
    </w:rPr>
  </w:style>
  <w:style w:type="character" w:styleId="BodyTextChar">
    <w:name w:val="Body Text Char"/>
    <w:basedOn w:val="DefaultParagraphFont"/>
    <w:qFormat/>
    <w:rPr/>
  </w:style>
  <w:style w:type="character" w:styleId="BodyText2Char">
    <w:name w:val="Body Text 2 Char"/>
    <w:basedOn w:val="DefaultParagraphFont"/>
    <w:qFormat/>
    <w:rPr/>
  </w:style>
  <w:style w:type="character" w:styleId="BodyText3Char">
    <w:name w:val="Body Text 3 Char"/>
    <w:basedOn w:val="DefaultParagraphFont"/>
    <w:qFormat/>
    <w:rPr>
      <w:sz w:val="16"/>
      <w:szCs w:val="16"/>
    </w:rPr>
  </w:style>
  <w:style w:type="character" w:styleId="MacroTextChar">
    <w:name w:val="Macro Text Char"/>
    <w:basedOn w:val="DefaultParagraphFont"/>
    <w:qFormat/>
    <w:rPr>
      <w:rFonts w:ascii="Courier;Courier New" w:hAnsi="Courier;Courier New" w:cs="Courier;Courier New"/>
      <w:sz w:val="20"/>
      <w:szCs w:val="20"/>
    </w:rPr>
  </w:style>
  <w:style w:type="character" w:styleId="QuoteChar">
    <w:name w:val="Quote Char"/>
    <w:basedOn w:val="DefaultParagraphFont"/>
    <w:qFormat/>
    <w:rPr>
      <w:i/>
      <w:iCs/>
      <w:color w:val="000000"/>
    </w:rPr>
  </w:style>
  <w:style w:type="character" w:styleId="Heading4Char">
    <w:name w:val="Heading 4 Char"/>
    <w:basedOn w:val="DefaultParagraphFont"/>
    <w:qFormat/>
    <w:rPr>
      <w:rFonts w:ascii="Calibri" w:hAnsi="Calibri" w:eastAsia="ＭＳ ゴシック" w:cs=""/>
      <w:b/>
      <w:bCs/>
      <w:i/>
      <w:iCs/>
      <w:color w:val="4F81BD"/>
    </w:rPr>
  </w:style>
  <w:style w:type="character" w:styleId="Heading5Char">
    <w:name w:val="Heading 5 Char"/>
    <w:basedOn w:val="DefaultParagraphFont"/>
    <w:qFormat/>
    <w:rPr>
      <w:rFonts w:ascii="Calibri" w:hAnsi="Calibri" w:eastAsia="ＭＳ ゴシック" w:cs=""/>
      <w:color w:val="243F60"/>
    </w:rPr>
  </w:style>
  <w:style w:type="character" w:styleId="Heading6Char">
    <w:name w:val="Heading 6 Char"/>
    <w:basedOn w:val="DefaultParagraphFont"/>
    <w:qFormat/>
    <w:rPr>
      <w:rFonts w:ascii="Calibri" w:hAnsi="Calibri" w:eastAsia="ＭＳ ゴシック" w:cs=""/>
      <w:i/>
      <w:iCs/>
      <w:color w:val="243F60"/>
    </w:rPr>
  </w:style>
  <w:style w:type="character" w:styleId="Heading7Char">
    <w:name w:val="Heading 7 Char"/>
    <w:basedOn w:val="DefaultParagraphFont"/>
    <w:qFormat/>
    <w:rPr>
      <w:rFonts w:ascii="Calibri" w:hAnsi="Calibri" w:eastAsia="ＭＳ ゴシック" w:cs=""/>
      <w:i/>
      <w:iCs/>
      <w:color w:val="404040"/>
    </w:rPr>
  </w:style>
  <w:style w:type="character" w:styleId="Heading8Char">
    <w:name w:val="Heading 8 Char"/>
    <w:basedOn w:val="DefaultParagraphFont"/>
    <w:qFormat/>
    <w:rPr>
      <w:rFonts w:ascii="Calibri" w:hAnsi="Calibri" w:eastAsia="ＭＳ ゴシック" w:cs=""/>
      <w:color w:val="4F81BD"/>
      <w:sz w:val="20"/>
      <w:szCs w:val="20"/>
    </w:rPr>
  </w:style>
  <w:style w:type="character" w:styleId="Heading9Char">
    <w:name w:val="Heading 9 Char"/>
    <w:basedOn w:val="DefaultParagraphFont"/>
    <w:qFormat/>
    <w:rPr>
      <w:rFonts w:ascii="Calibri" w:hAnsi="Calibri" w:eastAsia="ＭＳ ゴシック" w:cs=""/>
      <w:i/>
      <w:iCs/>
      <w:color w:val="40404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QuoteChar">
    <w:name w:val="Intense Quote Char"/>
    <w:basedOn w:val="DefaultParagraphFont"/>
    <w:qFormat/>
    <w:rPr>
      <w:b/>
      <w:bCs/>
      <w:i/>
      <w:iCs/>
      <w:color w:val="4F81BD"/>
    </w:rPr>
  </w:style>
  <w:style w:type="character" w:styleId="SubtleEmphasis">
    <w:name w:val="Subtle Emphasis"/>
    <w:basedOn w:val="DefaultParagraphFont"/>
    <w:qFormat/>
    <w:rPr>
      <w:i/>
      <w:iCs/>
      <w:color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spacing w:before="0" w:after="200"/>
      <w:ind w:left="360" w:right="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qFormat/>
    <w:pPr/>
    <w:rPr>
      <w:rFonts w:ascii="Calibri" w:hAnsi="Calibri" w:eastAsia="ＭＳ ゴシック" w:cs="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List2">
    <w:name w:val="List Bullet 3"/>
    <w:basedOn w:val="Normal"/>
    <w:pPr>
      <w:spacing w:before="0" w:after="200"/>
      <w:ind w:left="720" w:right="0" w:hanging="360"/>
      <w:contextualSpacing/>
    </w:pPr>
    <w:rPr/>
  </w:style>
  <w:style w:type="paragraph" w:styleId="List3">
    <w:name w:val="List Bullet 4"/>
    <w:basedOn w:val="Normal"/>
    <w:pPr>
      <w:spacing w:before="0" w:after="200"/>
      <w:ind w:left="1080" w:right="0" w:hanging="360"/>
      <w:contextualSpacing/>
    </w:pPr>
    <w:rPr/>
  </w:style>
  <w:style w:type="paragraph" w:styleId="ListBullet">
    <w:name w:val="List Bullet"/>
    <w:basedOn w:val="Normal"/>
    <w:qFormat/>
    <w:pPr>
      <w:spacing w:before="0" w:after="200"/>
      <w:contextualSpacing/>
    </w:pPr>
    <w:rPr/>
  </w:style>
  <w:style w:type="paragraph" w:styleId="ListBullet2">
    <w:name w:val="List Bullet 2"/>
    <w:basedOn w:val="Normal"/>
    <w:qFormat/>
    <w:pPr>
      <w:spacing w:before="0" w:after="200"/>
      <w:contextualSpacing/>
    </w:pPr>
    <w:rPr/>
  </w:style>
  <w:style w:type="paragraph" w:styleId="ListBullet3">
    <w:name w:val="List Bullet 3"/>
    <w:basedOn w:val="Normal"/>
    <w:qFormat/>
    <w:pPr>
      <w:spacing w:before="0" w:after="200"/>
      <w:contextualSpacing/>
    </w:pPr>
    <w:rPr/>
  </w:style>
  <w:style w:type="paragraph" w:styleId="ListNumber">
    <w:name w:val="List Number"/>
    <w:basedOn w:val="Normal"/>
    <w:qFormat/>
    <w:pPr>
      <w:spacing w:before="0" w:after="200"/>
      <w:contextualSpacing/>
    </w:pPr>
    <w:rPr/>
  </w:style>
  <w:style w:type="paragraph" w:styleId="ListNumber2">
    <w:name w:val="List Number 2"/>
    <w:basedOn w:val="Normal"/>
    <w:qFormat/>
    <w:pPr>
      <w:spacing w:before="0" w:after="200"/>
      <w:contextualSpacing/>
    </w:pPr>
    <w:rPr/>
  </w:style>
  <w:style w:type="paragraph" w:styleId="ListNumber3">
    <w:name w:val="List Number 3"/>
    <w:basedOn w:val="Normal"/>
    <w:qFormat/>
    <w:pPr>
      <w:spacing w:before="0" w:after="200"/>
      <w:contextualSpacing/>
    </w:pPr>
    <w:rPr/>
  </w:style>
  <w:style w:type="paragraph" w:styleId="ListContinue">
    <w:name w:val="List Continue"/>
    <w:basedOn w:val="Normal"/>
    <w:qFormat/>
    <w:pPr>
      <w:spacing w:before="0" w:after="120"/>
      <w:ind w:left="360" w:right="0" w:hanging="0"/>
      <w:contextualSpacing/>
    </w:pPr>
    <w:rPr/>
  </w:style>
  <w:style w:type="paragraph" w:styleId="ListContinue2">
    <w:name w:val="List Continue 2"/>
    <w:basedOn w:val="Normal"/>
    <w:qFormat/>
    <w:pPr>
      <w:spacing w:before="0" w:after="120"/>
      <w:ind w:left="720" w:right="0" w:hanging="0"/>
      <w:contextualSpacing/>
    </w:pPr>
    <w:rPr/>
  </w:style>
  <w:style w:type="paragraph" w:styleId="ListContinue3">
    <w:name w:val="List Continue 3"/>
    <w:basedOn w:val="Normal"/>
    <w:qFormat/>
    <w:pPr>
      <w:spacing w:before="0" w:after="120"/>
      <w:ind w:left="1080" w:right="0" w:hanging="0"/>
      <w:contextualSpacing/>
    </w:pPr>
    <w:rPr/>
  </w:style>
  <w:style w:type="paragraph" w:styleId="Macro">
    <w:name w:val="macro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;Courier New" w:hAnsi="Courier;Courier New" w:eastAsia="ＭＳ 明朝" w:cs="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Caption1">
    <w:name w:val="caption"/>
    <w:basedOn w:val="Normal"/>
    <w:next w:val="Normal"/>
    <w:qFormat/>
    <w:pPr>
      <w:spacing w:lineRule="auto" w:line="240"/>
    </w:pPr>
    <w:rPr>
      <w:b/>
      <w:bCs/>
      <w:color w:val="4F81BD"/>
      <w:sz w:val="18"/>
      <w:szCs w:val="18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python-docx</dc:creator>
  <dc:description>generated by python-docx</dc:description>
  <dc:language>en-US</dc:language>
  <cp:lastModifiedBy>Weekes, Andy</cp:lastModifiedBy>
  <cp:lastPrinted>1995-11-21T17:41:00Z</cp:lastPrinted>
  <dcterms:modified xsi:type="dcterms:W3CDTF">2026-07-28T16:34:00Z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