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rFonts w:eastAsia="Verdana"/>
        </w:rPr>
        <w:t xml:space="preserve"> </w:t>
      </w:r>
      <w:r>
        <w:rPr/>
        <w:drawing>
          <wp:inline distT="0" distB="0" distL="0" distR="0">
            <wp:extent cx="1475740" cy="608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5740" cy="608965"/>
                    </a:xfrm>
                    <a:prstGeom prst="rect">
                      <a:avLst/>
                    </a:prstGeom>
                  </pic:spPr>
                </pic:pic>
              </a:graphicData>
            </a:graphic>
          </wp:inline>
        </w:drawing>
      </w:r>
    </w:p>
    <w:p>
      <w:pPr>
        <w:pStyle w:val="Normal"/>
        <w:jc w:val="center"/>
        <w:rPr>
          <w:b/>
          <w:b/>
        </w:rPr>
      </w:pPr>
      <w:r>
        <w:rPr>
          <w:b/>
        </w:rPr>
        <w:t>JOB DESCRIPTION</w:t>
      </w:r>
    </w:p>
    <w:p>
      <w:pPr>
        <w:pStyle w:val="Normal"/>
        <w:jc w:val="center"/>
        <w:rPr>
          <w:b/>
          <w:b/>
        </w:rPr>
      </w:pPr>
      <w:r>
        <w:rPr>
          <w:b/>
        </w:rPr>
      </w:r>
    </w:p>
    <w:tbl>
      <w:tblPr>
        <w:tblW w:w="5000" w:type="pct"/>
        <w:jc w:val="left"/>
        <w:tblInd w:w="0" w:type="dxa"/>
        <w:tblCellMar>
          <w:top w:w="0" w:type="dxa"/>
          <w:left w:w="108" w:type="dxa"/>
          <w:bottom w:w="0" w:type="dxa"/>
          <w:right w:w="108" w:type="dxa"/>
        </w:tblCellMar>
      </w:tblPr>
      <w:tblGrid>
        <w:gridCol w:w="4428"/>
        <w:gridCol w:w="722"/>
        <w:gridCol w:w="2712"/>
        <w:gridCol w:w="2604"/>
      </w:tblGrid>
      <w:tr>
        <w:trPr>
          <w:trHeight w:val="720"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Title</w:t>
            </w:r>
            <w:r>
              <w:rPr>
                <w:rFonts w:cs="Arial"/>
              </w:rPr>
              <w:t>: Economic Inactivity Programme Delivery Manager</w:t>
            </w:r>
          </w:p>
          <w:p>
            <w:pPr>
              <w:pStyle w:val="Normal"/>
              <w:spacing w:before="120" w:after="240"/>
              <w:rPr>
                <w:color w:val="000000"/>
              </w:rPr>
            </w:pPr>
            <w:r>
              <w:rPr>
                <w:color w:val="000000"/>
              </w:rPr>
              <w:t>12 months Fixed Term Post – Extended subject to funding</w:t>
            </w:r>
          </w:p>
        </w:tc>
      </w:tr>
      <w:tr>
        <w:trPr>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Department</w:t>
            </w:r>
            <w:r>
              <w:rPr>
                <w:rFonts w:cs="Arial"/>
              </w:rPr>
              <w:t xml:space="preserve">: Place Directorate Infrastructure </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xml:space="preserve">: </w:t>
            </w:r>
          </w:p>
        </w:tc>
      </w:tr>
      <w:tr>
        <w:trPr>
          <w:trHeight w:val="720" w:hRule="atLeast"/>
          <w:cantSplit w:val="true"/>
        </w:trPr>
        <w:tc>
          <w:tcPr>
            <w:tcW w:w="5150" w:type="dxa"/>
            <w:gridSpan w:val="2"/>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xml:space="preserve">: Business and Investment </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Grade</w:t>
            </w:r>
            <w:r>
              <w:rPr>
                <w:rFonts w:cs="Arial"/>
              </w:rPr>
              <w:t>: 12£41,771 - £44,075</w:t>
            </w:r>
          </w:p>
          <w:p>
            <w:pPr>
              <w:pStyle w:val="Normal"/>
              <w:spacing w:before="120" w:after="240"/>
              <w:rPr>
                <w:rFonts w:cs="Arial"/>
              </w:rPr>
            </w:pPr>
            <w:r>
              <w:rPr>
                <w:rFonts w:cs="Arial"/>
              </w:rPr>
            </w:r>
          </w:p>
        </w:tc>
      </w:tr>
      <w:tr>
        <w:trPr>
          <w:trHeight w:val="720" w:hRule="atLeast"/>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Location</w:t>
            </w:r>
            <w:r>
              <w:rPr>
                <w:rFonts w:cs="Arial"/>
              </w:rPr>
              <w:t xml:space="preserve">: 3 Knowlsey Place </w:t>
            </w:r>
          </w:p>
        </w:tc>
        <w:tc>
          <w:tcPr>
            <w:tcW w:w="5316"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Hours</w:t>
            </w:r>
            <w:r>
              <w:rPr>
                <w:rFonts w:cs="Arial"/>
              </w:rPr>
              <w:t xml:space="preserve">: </w:t>
            </w:r>
            <w:r>
              <w:rPr>
                <w:color w:val="000000"/>
              </w:rPr>
              <w:t>37 hours per week worked in accordance with the Council’s flexi-time scheme</w:t>
            </w:r>
          </w:p>
        </w:tc>
      </w:tr>
      <w:tr>
        <w:trPr>
          <w:trHeight w:val="96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Special Conditions of Service</w:t>
            </w:r>
            <w:r>
              <w:rPr>
                <w:rFonts w:cs="Arial"/>
              </w:rPr>
              <w:t xml:space="preserve">: </w:t>
            </w:r>
          </w:p>
          <w:p>
            <w:pPr>
              <w:pStyle w:val="Normal"/>
              <w:spacing w:before="120" w:after="120"/>
              <w:rPr>
                <w:rFonts w:cs="Arial"/>
              </w:rPr>
            </w:pPr>
            <w:r>
              <w:rPr>
                <w:rFonts w:cs="Arial"/>
              </w:rPr>
              <w:t>Attendance at evening meeting as required.</w:t>
            </w:r>
          </w:p>
          <w:p>
            <w:pPr>
              <w:pStyle w:val="Normal"/>
              <w:spacing w:before="120" w:after="120"/>
              <w:rPr>
                <w:rFonts w:cs="Arial"/>
              </w:rPr>
            </w:pPr>
            <w:r>
              <w:rPr>
                <w:rFonts w:cs="Arial"/>
              </w:rPr>
              <w:t>Travel to meetings across the Greater Manchester City region.</w:t>
            </w:r>
          </w:p>
          <w:p>
            <w:pPr>
              <w:pStyle w:val="Normal"/>
              <w:spacing w:before="120" w:after="120"/>
              <w:rPr>
                <w:rFonts w:cs="Arial"/>
              </w:rPr>
            </w:pPr>
            <w:r>
              <w:rPr>
                <w:rFonts w:cs="Arial"/>
              </w:rPr>
              <w:t>Occasional weekend work related activity.</w:t>
            </w:r>
          </w:p>
          <w:p>
            <w:pPr>
              <w:pStyle w:val="Normal"/>
              <w:spacing w:before="120" w:after="120"/>
              <w:rPr>
                <w:rFonts w:cs="Arial"/>
              </w:rPr>
            </w:pPr>
            <w:r>
              <w:rPr>
                <w:rFonts w:cs="Arial"/>
              </w:rPr>
              <w:t>Travel to stakeholder premises and offices.</w:t>
            </w:r>
          </w:p>
          <w:p>
            <w:pPr>
              <w:pStyle w:val="Normal"/>
              <w:spacing w:before="120" w:after="120"/>
              <w:rPr>
                <w:rFonts w:cs="Arial"/>
              </w:rPr>
            </w:pPr>
            <w:r>
              <w:rPr>
                <w:rFonts w:cs="Arial"/>
              </w:rPr>
              <w:t xml:space="preserve">Hybrid working where agreed. </w:t>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rPr>
              <w:t>Purpose and Objectives of Post</w:t>
            </w:r>
            <w:r>
              <w:rPr>
                <w:rFonts w:cs="Arial"/>
              </w:rPr>
              <w:t xml:space="preserve">: </w:t>
            </w:r>
          </w:p>
          <w:p>
            <w:pPr>
              <w:pStyle w:val="NormalWeb"/>
              <w:spacing w:before="280" w:after="280"/>
              <w:rPr>
                <w:rFonts w:ascii="Verdana" w:hAnsi="Verdana" w:cs="Verdana"/>
                <w:color w:val="000000"/>
                <w:sz w:val="22"/>
                <w:szCs w:val="22"/>
              </w:rPr>
            </w:pPr>
            <w:r>
              <w:rPr>
                <w:rFonts w:cs="Verdana" w:ascii="Verdana" w:hAnsi="Verdana"/>
                <w:color w:val="000000"/>
                <w:sz w:val="22"/>
                <w:szCs w:val="22"/>
              </w:rPr>
              <w:t xml:space="preserve">To project manage the Bury Economic Inactivity workstream as part of Bury’s contribution to deliver towards the ambitions of the Get GM Working Plan and Bury’s All Age Work and Skills Strategy.  </w:t>
            </w:r>
          </w:p>
          <w:p>
            <w:pPr>
              <w:pStyle w:val="NormalWeb"/>
              <w:spacing w:before="280" w:after="280"/>
              <w:rPr>
                <w:rFonts w:ascii="Verdana" w:hAnsi="Verdana" w:cs="Verdana"/>
                <w:color w:val="000000"/>
                <w:sz w:val="22"/>
                <w:szCs w:val="22"/>
              </w:rPr>
            </w:pPr>
            <w:r>
              <w:rPr>
                <w:rFonts w:cs="Verdana" w:ascii="Verdana" w:hAnsi="Verdana"/>
                <w:color w:val="000000"/>
                <w:sz w:val="22"/>
                <w:szCs w:val="22"/>
              </w:rPr>
              <w:t>To support the delivery Action Plans of the Bury’s Economic Development Strategy and the All-Age Work and Skills Strategy.</w:t>
            </w:r>
          </w:p>
          <w:p>
            <w:pPr>
              <w:pStyle w:val="NormalWeb"/>
              <w:spacing w:before="280" w:after="280"/>
              <w:rPr>
                <w:rFonts w:ascii="Verdana" w:hAnsi="Verdana" w:cs="Verdana"/>
                <w:color w:val="000000"/>
                <w:sz w:val="22"/>
                <w:szCs w:val="22"/>
              </w:rPr>
            </w:pPr>
            <w:r>
              <w:rPr>
                <w:rFonts w:cs="Verdana" w:ascii="Verdana" w:hAnsi="Verdana"/>
                <w:color w:val="000000"/>
                <w:sz w:val="22"/>
                <w:szCs w:val="22"/>
              </w:rPr>
              <w:t>To support the further development of an integration employment, skills and health system in Bury.</w:t>
            </w:r>
          </w:p>
          <w:p>
            <w:pPr>
              <w:pStyle w:val="NormalWeb"/>
              <w:spacing w:before="280" w:after="0"/>
              <w:rPr>
                <w:rFonts w:ascii="Verdana" w:hAnsi="Verdana" w:cs="Verdana"/>
                <w:color w:val="000000"/>
                <w:sz w:val="22"/>
                <w:szCs w:val="22"/>
              </w:rPr>
            </w:pPr>
            <w:r>
              <w:rPr>
                <w:rFonts w:cs="Verdana" w:ascii="Verdana" w:hAnsi="Verdana"/>
                <w:color w:val="000000"/>
                <w:sz w:val="22"/>
                <w:szCs w:val="22"/>
              </w:rPr>
              <w:t>To support the design and delivery of Bury Council’s funded employment and skills activity.</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Accountable to</w:t>
            </w:r>
            <w:r>
              <w:rPr>
                <w:rFonts w:cs="Arial"/>
              </w:rPr>
              <w:t xml:space="preserve">: </w:t>
            </w:r>
            <w:r>
              <w:rPr>
                <w:color w:val="000000"/>
              </w:rPr>
              <w:t>Assistant Director Regeneration Delivery (Economy &amp; Business)</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to</w:t>
            </w:r>
            <w:r>
              <w:rPr>
                <w:rFonts w:cs="Arial"/>
              </w:rPr>
              <w:t xml:space="preserve">: </w:t>
            </w:r>
            <w:r>
              <w:rPr>
                <w:color w:val="000000"/>
              </w:rPr>
              <w:t>Service Manager – Business and Investment</w:t>
            </w:r>
          </w:p>
        </w:tc>
      </w:tr>
      <w:tr>
        <w:trPr>
          <w:trHeight w:val="68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for</w:t>
            </w:r>
            <w:r>
              <w:rPr>
                <w:rFonts w:cs="Arial"/>
              </w:rPr>
              <w:t>: n/a</w:t>
            </w:r>
          </w:p>
        </w:tc>
      </w:tr>
      <w:tr>
        <w:trPr>
          <w:trHeight w:val="2777"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tabs>
                <w:tab w:val="clear" w:pos="720"/>
                <w:tab w:val="left" w:pos="4320" w:leader="none"/>
              </w:tabs>
              <w:spacing w:before="120" w:after="120"/>
              <w:rPr>
                <w:rFonts w:cs="Arial"/>
                <w:b/>
                <w:b/>
              </w:rPr>
            </w:pPr>
            <w:r>
              <w:rPr>
                <w:rFonts w:cs="Arial"/>
                <w:b/>
              </w:rPr>
              <w:t xml:space="preserve">Internal  </w:t>
            </w:r>
          </w:p>
          <w:p>
            <w:pPr>
              <w:pStyle w:val="Normal"/>
              <w:tabs>
                <w:tab w:val="clear" w:pos="720"/>
                <w:tab w:val="left" w:pos="4320" w:leader="none"/>
              </w:tabs>
              <w:spacing w:before="120" w:after="120"/>
              <w:rPr>
                <w:color w:val="000000"/>
              </w:rPr>
            </w:pPr>
            <w:r>
              <w:rPr>
                <w:color w:val="000000"/>
              </w:rPr>
              <w:t>Officers and teams throughout the Council and Elected Members</w:t>
            </w:r>
          </w:p>
          <w:p>
            <w:pPr>
              <w:pStyle w:val="NormalWeb"/>
              <w:spacing w:before="280" w:after="280"/>
              <w:rPr>
                <w:rFonts w:ascii="Verdana" w:hAnsi="Verdana" w:cs="Verdana"/>
                <w:b/>
                <w:b/>
                <w:bCs/>
                <w:color w:val="000000"/>
                <w:sz w:val="22"/>
                <w:szCs w:val="22"/>
              </w:rPr>
            </w:pPr>
            <w:r>
              <w:rPr>
                <w:rFonts w:cs="Verdana" w:ascii="Verdana" w:hAnsi="Verdana"/>
                <w:b/>
                <w:bCs/>
                <w:color w:val="000000"/>
                <w:sz w:val="22"/>
                <w:szCs w:val="22"/>
              </w:rPr>
              <w:t>External</w:t>
            </w:r>
          </w:p>
          <w:p>
            <w:pPr>
              <w:pStyle w:val="NormalWeb"/>
              <w:spacing w:before="280" w:after="280"/>
              <w:rPr>
                <w:rFonts w:ascii="Verdana" w:hAnsi="Verdana" w:cs="Verdana"/>
                <w:color w:val="000000"/>
                <w:sz w:val="22"/>
                <w:szCs w:val="22"/>
              </w:rPr>
            </w:pPr>
            <w:r>
              <w:rPr>
                <w:rFonts w:cs="Verdana" w:ascii="Verdana" w:hAnsi="Verdana"/>
                <w:color w:val="000000"/>
                <w:sz w:val="22"/>
                <w:szCs w:val="22"/>
              </w:rPr>
              <w:t>Colleagues from Greater Manchester Local Authorities, Greater Manchester Combined</w:t>
            </w:r>
          </w:p>
          <w:p>
            <w:pPr>
              <w:pStyle w:val="NormalWeb"/>
              <w:spacing w:before="280" w:after="280"/>
              <w:rPr>
                <w:rFonts w:ascii="Verdana" w:hAnsi="Verdana" w:cs="Verdana"/>
                <w:color w:val="000000"/>
                <w:sz w:val="22"/>
                <w:szCs w:val="22"/>
              </w:rPr>
            </w:pPr>
            <w:r>
              <w:rPr>
                <w:rFonts w:cs="Verdana" w:ascii="Verdana" w:hAnsi="Verdana"/>
                <w:color w:val="000000"/>
                <w:sz w:val="22"/>
                <w:szCs w:val="22"/>
              </w:rPr>
              <w:t>Authority (GMCA), The Growth Company, GM GC - Business Growth Hub, Adult Education</w:t>
            </w:r>
          </w:p>
          <w:p>
            <w:pPr>
              <w:pStyle w:val="NormalWeb"/>
              <w:spacing w:before="280" w:after="280"/>
              <w:rPr>
                <w:rFonts w:ascii="Verdana" w:hAnsi="Verdana" w:cs="Verdana"/>
                <w:color w:val="000000"/>
                <w:sz w:val="22"/>
                <w:szCs w:val="22"/>
              </w:rPr>
            </w:pPr>
            <w:r>
              <w:rPr>
                <w:rFonts w:cs="Verdana" w:ascii="Verdana" w:hAnsi="Verdana"/>
                <w:color w:val="000000"/>
                <w:sz w:val="22"/>
                <w:szCs w:val="22"/>
              </w:rPr>
              <w:t>providers, Welfare to Work Providers, Jobcentre Plus and businesses.</w:t>
            </w:r>
          </w:p>
          <w:p>
            <w:pPr>
              <w:pStyle w:val="NormalWeb"/>
              <w:spacing w:before="280" w:after="280"/>
              <w:rPr>
                <w:rFonts w:ascii="Verdana" w:hAnsi="Verdana" w:cs="Verdana"/>
                <w:color w:val="000000"/>
                <w:sz w:val="22"/>
                <w:szCs w:val="22"/>
              </w:rPr>
            </w:pPr>
            <w:r>
              <w:rPr>
                <w:rFonts w:cs="Verdana" w:ascii="Verdana" w:hAnsi="Verdana"/>
                <w:color w:val="000000"/>
                <w:sz w:val="22"/>
                <w:szCs w:val="22"/>
              </w:rPr>
              <w:t>Bury Voluntary, Community and Faith Alliance.</w:t>
            </w:r>
          </w:p>
          <w:p>
            <w:pPr>
              <w:pStyle w:val="NormalWeb"/>
              <w:spacing w:before="280" w:after="280"/>
              <w:rPr>
                <w:rFonts w:ascii="Verdana" w:hAnsi="Verdana" w:cs="Verdana"/>
                <w:color w:val="000000"/>
                <w:sz w:val="22"/>
                <w:szCs w:val="22"/>
              </w:rPr>
            </w:pPr>
            <w:r>
              <w:rPr>
                <w:rFonts w:cs="Verdana" w:ascii="Verdana" w:hAnsi="Verdana"/>
                <w:color w:val="000000"/>
                <w:sz w:val="22"/>
                <w:szCs w:val="22"/>
              </w:rPr>
              <w:t>Residents and community groups.</w:t>
            </w:r>
          </w:p>
          <w:p>
            <w:pPr>
              <w:pStyle w:val="NormalWeb"/>
              <w:spacing w:before="280" w:after="0"/>
              <w:rPr>
                <w:rFonts w:ascii="Verdana" w:hAnsi="Verdana" w:cs="Verdana"/>
                <w:color w:val="000000"/>
                <w:sz w:val="22"/>
                <w:szCs w:val="22"/>
              </w:rPr>
            </w:pPr>
            <w:r>
              <w:rPr>
                <w:rFonts w:cs="Verdana" w:ascii="Verdana" w:hAnsi="Verdana"/>
                <w:color w:val="000000"/>
                <w:sz w:val="22"/>
                <w:szCs w:val="22"/>
              </w:rPr>
              <w:t xml:space="preserve">Sport and Leisure institutions. </w:t>
            </w:r>
          </w:p>
        </w:tc>
      </w:tr>
      <w:tr>
        <w:trPr>
          <w:trHeight w:val="2154"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Web"/>
              <w:spacing w:before="280" w:after="280"/>
              <w:rPr>
                <w:rFonts w:ascii="Verdana" w:hAnsi="Verdana" w:cs="Verdana"/>
                <w:color w:val="000000"/>
                <w:sz w:val="22"/>
                <w:szCs w:val="22"/>
              </w:rPr>
            </w:pPr>
            <w:r>
              <w:rPr>
                <w:rFonts w:cs="Verdana" w:ascii="Verdana" w:hAnsi="Verdana"/>
                <w:color w:val="000000"/>
                <w:sz w:val="22"/>
                <w:szCs w:val="22"/>
              </w:rPr>
              <w:t>Budget: Monitoring and auditing of budget.</w:t>
            </w:r>
          </w:p>
          <w:p>
            <w:pPr>
              <w:pStyle w:val="NormalWeb"/>
              <w:spacing w:before="280" w:after="280"/>
              <w:rPr>
                <w:rFonts w:ascii="Verdana" w:hAnsi="Verdana" w:cs="Verdana"/>
                <w:b/>
                <w:b/>
                <w:bCs/>
                <w:color w:val="000000"/>
                <w:sz w:val="22"/>
                <w:szCs w:val="22"/>
              </w:rPr>
            </w:pPr>
            <w:r>
              <w:rPr>
                <w:rFonts w:cs="Verdana" w:ascii="Verdana" w:hAnsi="Verdana"/>
                <w:b/>
                <w:bCs/>
                <w:color w:val="000000"/>
                <w:sz w:val="22"/>
                <w:szCs w:val="22"/>
              </w:rPr>
              <w:t>Personnel:</w:t>
            </w:r>
          </w:p>
          <w:p>
            <w:pPr>
              <w:pStyle w:val="NormalWeb"/>
              <w:spacing w:before="280" w:after="280"/>
              <w:rPr>
                <w:rFonts w:ascii="Verdana" w:hAnsi="Verdana" w:cs="Verdana"/>
                <w:color w:val="000000"/>
                <w:sz w:val="22"/>
                <w:szCs w:val="22"/>
              </w:rPr>
            </w:pPr>
            <w:r>
              <w:rPr>
                <w:rFonts w:cs="Verdana" w:ascii="Verdana" w:hAnsi="Verdana"/>
                <w:color w:val="000000"/>
                <w:sz w:val="22"/>
                <w:szCs w:val="22"/>
              </w:rPr>
              <w:t>Equipment:</w:t>
            </w:r>
          </w:p>
          <w:p>
            <w:pPr>
              <w:pStyle w:val="NormalWeb"/>
              <w:spacing w:before="280" w:after="280"/>
              <w:rPr>
                <w:rFonts w:ascii="Verdana" w:hAnsi="Verdana" w:cs="Verdana"/>
                <w:color w:val="000000"/>
                <w:sz w:val="22"/>
                <w:szCs w:val="22"/>
              </w:rPr>
            </w:pPr>
            <w:r>
              <w:rPr>
                <w:rFonts w:cs="Verdana" w:ascii="Verdana" w:hAnsi="Verdana"/>
                <w:color w:val="000000"/>
                <w:sz w:val="22"/>
                <w:szCs w:val="22"/>
              </w:rPr>
              <w:t>Responsible for equipment, including IT hardware and software, and materials used in</w:t>
            </w:r>
          </w:p>
          <w:p>
            <w:pPr>
              <w:pStyle w:val="NormalWeb"/>
              <w:spacing w:before="280" w:after="280"/>
              <w:rPr>
                <w:rFonts w:ascii="Verdana" w:hAnsi="Verdana" w:cs="Verdana"/>
                <w:color w:val="000000"/>
                <w:sz w:val="22"/>
                <w:szCs w:val="22"/>
              </w:rPr>
            </w:pPr>
            <w:r>
              <w:rPr>
                <w:rFonts w:cs="Verdana" w:ascii="Verdana" w:hAnsi="Verdana"/>
                <w:color w:val="000000"/>
                <w:sz w:val="22"/>
                <w:szCs w:val="22"/>
              </w:rPr>
              <w:t>performing duties</w:t>
            </w:r>
          </w:p>
          <w:p>
            <w:pPr>
              <w:pStyle w:val="Normal"/>
              <w:spacing w:before="120" w:after="120"/>
              <w:rPr>
                <w:rFonts w:cs="Arial"/>
              </w:rPr>
            </w:pPr>
            <w:r>
              <w:rPr>
                <w:rFonts w:cs="Arial"/>
              </w:rPr>
            </w:r>
          </w:p>
        </w:tc>
      </w:tr>
      <w:tr>
        <w:trPr>
          <w:trHeight w:val="240" w:hRule="atLeast"/>
          <w:cantSplit w:val="true"/>
        </w:trPr>
        <w:tc>
          <w:tcPr>
            <w:tcW w:w="10466" w:type="dxa"/>
            <w:gridSpan w:val="4"/>
            <w:tcBorders>
              <w:top w:val="single" w:sz="6" w:space="0" w:color="000000"/>
              <w:left w:val="single" w:sz="6" w:space="0" w:color="000000"/>
              <w:right w:val="single" w:sz="6" w:space="0" w:color="000000"/>
            </w:tcBorders>
            <w:shd w:fill="auto" w:val="clear"/>
          </w:tcPr>
          <w:p>
            <w:pPr>
              <w:pStyle w:val="Normal"/>
              <w:spacing w:before="120" w:after="120"/>
              <w:rPr/>
            </w:pPr>
            <w:r>
              <w:rPr>
                <w:rFonts w:cs="Arial"/>
                <w:b/>
              </w:rPr>
              <w:t>Duties/Responsibilities</w:t>
            </w:r>
            <w:r>
              <w:rPr>
                <w:rFonts w:cs="Arial"/>
              </w:rPr>
              <w:t xml:space="preserve">: </w:t>
            </w:r>
          </w:p>
          <w:p>
            <w:pPr>
              <w:pStyle w:val="Normal"/>
              <w:spacing w:before="120" w:after="120"/>
              <w:rPr>
                <w:rFonts w:cs="Arial"/>
              </w:rPr>
            </w:pPr>
            <w:r>
              <w:rPr>
                <w:rFonts w:cs="Arial"/>
              </w:rPr>
            </w:r>
          </w:p>
          <w:p>
            <w:pPr>
              <w:pStyle w:val="Normal"/>
              <w:spacing w:before="120" w:after="120"/>
              <w:rPr>
                <w:rFonts w:cs="Arial"/>
              </w:rPr>
            </w:pPr>
            <w:r>
              <w:rPr>
                <w:rFonts w:cs="Arial"/>
              </w:rPr>
              <w:t xml:space="preserve">Responsible for project managing the delivery of activity delivering Bury’s Economic Inactivity work contributing to the Live Well approach to employment. </w:t>
            </w:r>
          </w:p>
          <w:p>
            <w:pPr>
              <w:pStyle w:val="Normal"/>
              <w:spacing w:before="120" w:after="120"/>
              <w:rPr>
                <w:rFonts w:cs="Arial"/>
              </w:rPr>
            </w:pPr>
            <w:r>
              <w:rPr>
                <w:rFonts w:cs="Arial"/>
              </w:rPr>
              <w:t xml:space="preserve">Responsible for inputting timely and accurate information on the Greater Manchester GMIT CRM. (via Bury’s CRM) </w:t>
            </w:r>
          </w:p>
          <w:p>
            <w:pPr>
              <w:pStyle w:val="Normal"/>
              <w:spacing w:before="120" w:after="120"/>
              <w:rPr>
                <w:rFonts w:cs="Arial"/>
              </w:rPr>
            </w:pPr>
            <w:r>
              <w:rPr>
                <w:rFonts w:cs="Arial"/>
              </w:rPr>
              <w:t>Responsible for writing reports with limited supervision in the corporate template.</w:t>
            </w:r>
          </w:p>
          <w:p>
            <w:pPr>
              <w:pStyle w:val="Normal"/>
              <w:spacing w:before="120" w:after="120"/>
              <w:rPr>
                <w:rFonts w:cs="Arial"/>
              </w:rPr>
            </w:pPr>
            <w:r>
              <w:rPr>
                <w:rFonts w:cs="Arial"/>
              </w:rPr>
              <w:t xml:space="preserve">Responsible for collating good news stories and disseminating outcomes, learning and good news practice across the Bury system and partner organisations. </w:t>
            </w:r>
          </w:p>
          <w:p>
            <w:pPr>
              <w:pStyle w:val="Normal"/>
              <w:spacing w:before="120" w:after="120"/>
              <w:rPr>
                <w:rFonts w:cs="Arial"/>
              </w:rPr>
            </w:pPr>
            <w:r>
              <w:rPr>
                <w:rFonts w:cs="Arial"/>
              </w:rPr>
              <w:t>Responsible for designing and delivering ILM (Intermediate Labour Market) model in agreed sectors.</w:t>
            </w:r>
          </w:p>
          <w:p>
            <w:pPr>
              <w:pStyle w:val="Normal"/>
              <w:spacing w:before="120" w:after="120"/>
              <w:rPr>
                <w:rFonts w:cs="Arial"/>
              </w:rPr>
            </w:pPr>
            <w:r>
              <w:rPr>
                <w:rFonts w:cs="Arial"/>
              </w:rPr>
              <w:t>Responsible for creating and managing ad hoc task and finish groups and reporting back progress.</w:t>
            </w:r>
          </w:p>
          <w:p>
            <w:pPr>
              <w:pStyle w:val="Normal"/>
              <w:spacing w:before="120" w:after="120"/>
              <w:rPr>
                <w:rFonts w:cs="Arial"/>
              </w:rPr>
            </w:pPr>
            <w:r>
              <w:rPr>
                <w:rFonts w:cs="Arial"/>
              </w:rPr>
              <w:t xml:space="preserve">Responsible for engaging with businesses to support the delivery Economic Inactivity related activity via the Bury Means Business brand. </w:t>
            </w:r>
          </w:p>
          <w:p>
            <w:pPr>
              <w:pStyle w:val="Normal"/>
              <w:spacing w:before="120" w:after="120"/>
              <w:rPr>
                <w:rFonts w:cs="Arial"/>
              </w:rPr>
            </w:pPr>
            <w:r>
              <w:rPr>
                <w:rFonts w:cs="Arial"/>
              </w:rPr>
              <w:t>Responsible for any procurement activity for delivery partners and managing the contracts.</w:t>
            </w:r>
          </w:p>
          <w:p>
            <w:pPr>
              <w:pStyle w:val="Normal"/>
              <w:spacing w:before="120" w:after="120"/>
              <w:rPr>
                <w:rFonts w:cs="Arial"/>
              </w:rPr>
            </w:pPr>
            <w:r>
              <w:rPr>
                <w:rFonts w:cs="Arial"/>
              </w:rPr>
              <w:t xml:space="preserve">Responsible for making payments to suppliers and managing the related budget. </w:t>
            </w:r>
          </w:p>
          <w:p>
            <w:pPr>
              <w:pStyle w:val="Normal"/>
              <w:spacing w:before="120" w:after="120"/>
              <w:rPr>
                <w:rFonts w:cs="Arial"/>
              </w:rPr>
            </w:pPr>
            <w:r>
              <w:rPr>
                <w:rFonts w:cs="Arial"/>
              </w:rPr>
              <w:t>Responsible for engaging with the VCFA and the VCSE sector to deliver activity.</w:t>
            </w:r>
          </w:p>
          <w:p>
            <w:pPr>
              <w:pStyle w:val="Normal"/>
              <w:spacing w:before="120" w:after="120"/>
              <w:rPr>
                <w:rFonts w:cs="Arial"/>
              </w:rPr>
            </w:pPr>
            <w:r>
              <w:rPr>
                <w:rFonts w:cs="Arial"/>
              </w:rPr>
              <w:t>Responsible for securing premises in the community to deliver activity.</w:t>
            </w:r>
          </w:p>
          <w:p>
            <w:pPr>
              <w:pStyle w:val="Normal"/>
              <w:spacing w:before="120" w:after="120"/>
              <w:rPr>
                <w:rFonts w:cs="Arial"/>
              </w:rPr>
            </w:pPr>
            <w:r>
              <w:rPr>
                <w:rFonts w:cs="Arial"/>
              </w:rPr>
              <w:t>Responsible for promoting the activity and supporting appropriate referral pathways.</w:t>
            </w:r>
          </w:p>
          <w:p>
            <w:pPr>
              <w:pStyle w:val="Normal"/>
              <w:spacing w:before="120" w:after="120"/>
              <w:rPr>
                <w:color w:val="000000"/>
              </w:rPr>
            </w:pPr>
            <w:r>
              <w:rPr>
                <w:color w:val="000000"/>
              </w:rPr>
              <w:t xml:space="preserve">Brokering and managing relationships with delivery organisations who are part of the wider Education, Health, Skills and Work eco-system. </w:t>
            </w:r>
          </w:p>
          <w:p>
            <w:pPr>
              <w:pStyle w:val="Normal"/>
              <w:spacing w:before="120" w:after="120"/>
              <w:rPr>
                <w:color w:val="000000"/>
              </w:rPr>
            </w:pPr>
            <w:r>
              <w:rPr>
                <w:color w:val="000000"/>
              </w:rPr>
              <w:t>Working across the Business and Investment Team to support other workstreams.</w:t>
            </w:r>
          </w:p>
          <w:p>
            <w:pPr>
              <w:pStyle w:val="Normal"/>
              <w:spacing w:before="120" w:after="120"/>
              <w:rPr>
                <w:color w:val="000000"/>
              </w:rPr>
            </w:pPr>
            <w:r>
              <w:rPr>
                <w:color w:val="000000"/>
              </w:rPr>
              <w:t>Supporting pathways for progression from the Economic Inactivity activity.</w:t>
            </w:r>
          </w:p>
          <w:p>
            <w:pPr>
              <w:pStyle w:val="Normal"/>
              <w:spacing w:before="120" w:after="120"/>
              <w:rPr>
                <w:color w:val="000000"/>
              </w:rPr>
            </w:pPr>
            <w:r>
              <w:rPr>
                <w:color w:val="000000"/>
              </w:rPr>
              <w:t xml:space="preserve">Supporting Social Value activity across Business Growth and Infrastructure and other Directorates. </w:t>
            </w:r>
          </w:p>
          <w:p>
            <w:pPr>
              <w:pStyle w:val="Normal"/>
              <w:spacing w:before="120" w:after="120"/>
              <w:rPr/>
            </w:pPr>
            <w:r>
              <w:rPr>
                <w:color w:val="000000"/>
              </w:rPr>
              <w:t xml:space="preserve">Actively participating in meetings and events to support the integration and delivery of Education, Health, </w:t>
            </w:r>
            <w:bookmarkStart w:id="0" w:name="_Int_HoR4bkme"/>
            <w:r>
              <w:rPr>
                <w:color w:val="000000"/>
              </w:rPr>
              <w:t>Skills</w:t>
            </w:r>
            <w:bookmarkEnd w:id="0"/>
            <w:r>
              <w:rPr>
                <w:color w:val="000000"/>
              </w:rPr>
              <w:t xml:space="preserve"> and Work provision. </w:t>
            </w:r>
          </w:p>
          <w:p>
            <w:pPr>
              <w:pStyle w:val="Normal"/>
              <w:spacing w:before="120" w:after="120"/>
              <w:rPr/>
            </w:pPr>
            <w:r>
              <w:rPr>
                <w:color w:val="000000"/>
              </w:rPr>
              <w:t xml:space="preserve">Deputising for the Service Manager as the first point of contact between the Council, Greater Manchester Combined Authority (GMCA) and the wider Education, Work, </w:t>
            </w:r>
            <w:bookmarkStart w:id="1" w:name="_Int_Z1OoxBgR"/>
            <w:r>
              <w:rPr>
                <w:color w:val="000000"/>
              </w:rPr>
              <w:t>Health</w:t>
            </w:r>
            <w:bookmarkEnd w:id="1"/>
            <w:r>
              <w:rPr>
                <w:color w:val="000000"/>
              </w:rPr>
              <w:t xml:space="preserve"> and Work delivery landscape.</w:t>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numPr>
                <w:ilvl w:val="0"/>
                <w:numId w:val="2"/>
              </w:numPr>
              <w:spacing w:before="120" w:after="240"/>
              <w:rPr/>
            </w:pPr>
            <w:r>
              <w:rPr>
                <w:rFonts w:cs="Arial"/>
              </w:rPr>
              <w:t xml:space="preserve">As an employee of Bury Council you have a responsibility for, and must be committed to, </w:t>
            </w:r>
            <w:bookmarkStart w:id="2" w:name="_Int_hq37Bv7D"/>
            <w:r>
              <w:rPr>
                <w:rFonts w:cs="Arial"/>
              </w:rPr>
              <w:t>safeguarding</w:t>
            </w:r>
            <w:bookmarkEnd w:id="2"/>
            <w:r>
              <w:rPr>
                <w:rFonts w:cs="Arial"/>
              </w:rPr>
              <w:t xml:space="preserve"> and promoting the welfare of children, young </w:t>
            </w:r>
            <w:bookmarkStart w:id="3" w:name="_Int_ocgKIwD7"/>
            <w:r>
              <w:rPr>
                <w:rFonts w:cs="Arial"/>
              </w:rPr>
              <w:t>people</w:t>
            </w:r>
            <w:bookmarkEnd w:id="3"/>
            <w:r>
              <w:rPr>
                <w:rFonts w:cs="Arial"/>
              </w:rPr>
              <w:t xml:space="preserve"> and vulnerable adults and for ensuring that they are protected from harm.</w:t>
            </w:r>
          </w:p>
          <w:p>
            <w:pPr>
              <w:pStyle w:val="Normal"/>
              <w:numPr>
                <w:ilvl w:val="0"/>
                <w:numId w:val="2"/>
              </w:numPr>
              <w:spacing w:before="120" w:after="240"/>
              <w:rPr/>
            </w:pPr>
            <w:r>
              <w:rPr>
                <w:rFonts w:cs="Arial"/>
              </w:rPr>
              <w:t xml:space="preserve">Bury Council is committed to equality, </w:t>
            </w:r>
            <w:bookmarkStart w:id="4" w:name="_Int_GEFHcdw8"/>
            <w:r>
              <w:rPr>
                <w:rFonts w:cs="Arial"/>
              </w:rPr>
              <w:t>diversity</w:t>
            </w:r>
            <w:bookmarkEnd w:id="4"/>
            <w:r>
              <w:rPr>
                <w:rFonts w:cs="Arial"/>
              </w:rPr>
              <w:t xml:space="preserve"> and inclusion, and expects all staff to comply with its equality related policies/procedures, and to treat others with fairness and respect.</w:t>
            </w:r>
          </w:p>
          <w:p>
            <w:pPr>
              <w:pStyle w:val="Normal"/>
              <w:numPr>
                <w:ilvl w:val="0"/>
                <w:numId w:val="2"/>
              </w:numPr>
              <w:spacing w:before="120" w:after="240"/>
              <w:rPr>
                <w:rFonts w:cs="Arial"/>
              </w:rPr>
            </w:pPr>
            <w:r>
              <w:rPr>
                <w:rFonts w:cs="Arial"/>
              </w:rPr>
              <w:t>The post holder is responsible for Employees Duties as specified with the Corporate and Departmental Health and Safety Policies.</w:t>
            </w:r>
          </w:p>
          <w:p>
            <w:pPr>
              <w:pStyle w:val="Normal"/>
              <w:numPr>
                <w:ilvl w:val="0"/>
                <w:numId w:val="2"/>
              </w:numPr>
              <w:spacing w:before="120" w:after="120"/>
              <w:rPr>
                <w:rFonts w:cs="Arial"/>
              </w:rPr>
            </w:pPr>
            <w:r>
              <w:rPr>
                <w:rFonts w:cs="Arial"/>
              </w:rPr>
              <w:t>As an employee of Bury Council you should contribute to a culture that values and supports the physical and emotional wellbeing of your colleagues.</w:t>
            </w:r>
          </w:p>
        </w:tc>
      </w:tr>
      <w:tr>
        <w:trPr>
          <w:trHeight w:val="60" w:hRule="atLeast"/>
          <w:cantSplit w:val="true"/>
        </w:trPr>
        <w:tc>
          <w:tcPr>
            <w:tcW w:w="10466" w:type="dxa"/>
            <w:gridSpan w:val="4"/>
            <w:tcBorders>
              <w:left w:val="single" w:sz="6" w:space="0" w:color="000000"/>
              <w:bottom w:val="double" w:sz="6" w:space="0" w:color="000000"/>
              <w:right w:val="single" w:sz="6" w:space="0" w:color="000000"/>
            </w:tcBorders>
            <w:shd w:fill="auto" w:val="clear"/>
          </w:tcPr>
          <w:p>
            <w:pPr>
              <w:pStyle w:val="Normal"/>
              <w:spacing w:before="120" w:after="240"/>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trPr>
          <w:trHeight w:val="240" w:hRule="atLeast"/>
          <w:cantSplit w:val="true"/>
        </w:trPr>
        <w:tc>
          <w:tcPr>
            <w:tcW w:w="4428"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tc>
        <w:tc>
          <w:tcPr>
            <w:tcW w:w="3434"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 Tracey Flynn</w:t>
            </w:r>
          </w:p>
        </w:tc>
        <w:tc>
          <w:tcPr>
            <w:tcW w:w="2604"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Date:27/03/25</w:t>
            </w:r>
          </w:p>
        </w:tc>
      </w:tr>
      <w:tr>
        <w:trPr>
          <w:trHeight w:val="240" w:hRule="atLeast"/>
          <w:cantSplit w:val="true"/>
        </w:trPr>
        <w:tc>
          <w:tcPr>
            <w:tcW w:w="4428"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Postholder: </w:t>
            </w:r>
          </w:p>
        </w:tc>
        <w:tc>
          <w:tcPr>
            <w:tcW w:w="3434"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34"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tc>
      </w:tr>
    </w:tbl>
    <w:p>
      <w:pPr>
        <w:pStyle w:val="Normal"/>
        <w:rPr>
          <w:b/>
          <w:b/>
        </w:rPr>
      </w:pPr>
      <w:r>
        <w:rPr/>
        <w:drawing>
          <wp:inline distT="0" distB="0" distL="0" distR="0">
            <wp:extent cx="1485265" cy="6089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59" r="-24" b="-59"/>
                    <a:stretch>
                      <a:fillRect/>
                    </a:stretch>
                  </pic:blipFill>
                  <pic:spPr bwMode="auto">
                    <a:xfrm>
                      <a:off x="0" y="0"/>
                      <a:ext cx="1485265" cy="608965"/>
                    </a:xfrm>
                    <a:prstGeom prst="rect">
                      <a:avLst/>
                    </a:prstGeom>
                  </pic:spPr>
                </pic:pic>
              </a:graphicData>
            </a:graphic>
          </wp:inline>
        </w:drawing>
      </w:r>
      <w:r>
        <w:br w:type="page"/>
      </w:r>
    </w:p>
    <w:p>
      <w:pPr>
        <w:pStyle w:val="Normal"/>
        <w:jc w:val="center"/>
        <w:rPr>
          <w:b/>
          <w:b/>
        </w:rPr>
      </w:pPr>
      <w:r>
        <w:rPr>
          <w:b/>
        </w:rPr>
        <w:t>Directorate of Place</w:t>
      </w:r>
    </w:p>
    <w:p>
      <w:pPr>
        <w:pStyle w:val="Normal"/>
        <w:spacing w:before="120" w:after="240"/>
        <w:jc w:val="center"/>
        <w:rPr>
          <w:rFonts w:cs="Arial"/>
          <w:b/>
          <w:b/>
          <w:bCs/>
        </w:rPr>
      </w:pPr>
      <w:r>
        <w:rPr>
          <w:rFonts w:cs="Arial"/>
          <w:b/>
          <w:bCs/>
        </w:rPr>
        <w:t>Economic Inactivity Programme Delivery Manager</w:t>
      </w:r>
    </w:p>
    <w:p>
      <w:pPr>
        <w:pStyle w:val="Normal"/>
        <w:jc w:val="center"/>
        <w:rPr>
          <w:b/>
          <w:b/>
        </w:rPr>
      </w:pPr>
      <w:r>
        <w:rPr>
          <w:b/>
        </w:rPr>
      </w:r>
    </w:p>
    <w:p>
      <w:pPr>
        <w:pStyle w:val="Normal"/>
        <w:rPr>
          <w:b/>
          <w:b/>
          <w:sz w:val="6"/>
        </w:rPr>
      </w:pPr>
      <w:r>
        <w:rPr>
          <w:b/>
          <w:sz w:val="6"/>
        </w:rPr>
      </w:r>
    </w:p>
    <w:tbl>
      <w:tblPr>
        <w:tblW w:w="5000" w:type="pct"/>
        <w:jc w:val="left"/>
        <w:tblInd w:w="0" w:type="dxa"/>
        <w:tblCellMar>
          <w:top w:w="0" w:type="dxa"/>
          <w:left w:w="108" w:type="dxa"/>
          <w:bottom w:w="0" w:type="dxa"/>
          <w:right w:w="108" w:type="dxa"/>
        </w:tblCellMar>
      </w:tblPr>
      <w:tblGrid>
        <w:gridCol w:w="6812"/>
        <w:gridCol w:w="1897"/>
        <w:gridCol w:w="1757"/>
      </w:tblGrid>
      <w:tr>
        <w:trPr/>
        <w:tc>
          <w:tcPr>
            <w:tcW w:w="6812"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color w:val="000000"/>
              </w:rPr>
            </w:pPr>
            <w:r>
              <w:rPr>
                <w:color w:val="000000"/>
              </w:rPr>
              <w:t>Degree level or significant relevant experience in a related field</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 xml:space="preserve">A Project Management qualification or project management experience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32" w:right="0" w:hanging="0"/>
              <w:rPr>
                <w:rFonts w:eastAsia="Times New Roman" w:cs="Arial"/>
                <w:b/>
                <w:b/>
                <w:color w:val="344054"/>
                <w:spacing w:val="-5"/>
                <w:lang w:eastAsia="en-GB"/>
              </w:rPr>
            </w:pPr>
            <w:r>
              <w:rPr>
                <w:rFonts w:eastAsia="Times New Roman" w:cs="Arial"/>
                <w:b/>
                <w:color w:val="344054"/>
                <w:spacing w:val="-5"/>
                <w:lang w:eastAsia="en-GB"/>
              </w:rPr>
            </w:r>
          </w:p>
          <w:p>
            <w:pPr>
              <w:pStyle w:val="Normal"/>
              <w:spacing w:lineRule="auto" w:line="240" w:before="0" w:after="0"/>
              <w:ind w:left="32" w:right="0" w:hanging="0"/>
              <w:rPr>
                <w:rFonts w:eastAsia="Times New Roman" w:cs="Arial"/>
                <w:color w:val="344054"/>
                <w:spacing w:val="-5"/>
                <w:lang w:eastAsia="en-GB"/>
              </w:rPr>
            </w:pPr>
            <w:r>
              <w:rPr>
                <w:rFonts w:eastAsia="Times New Roman" w:cs="Arial"/>
                <w:color w:val="344054"/>
                <w:spacing w:val="-5"/>
                <w:lang w:eastAsia="en-GB"/>
              </w:rPr>
              <w:t>Knowledge of employability, skills, and training initiatives, including relevant policies and funding streams</w:t>
            </w:r>
          </w:p>
          <w:p>
            <w:pPr>
              <w:pStyle w:val="NormalWeb"/>
              <w:spacing w:before="280" w:after="0"/>
              <w:rPr>
                <w:rFonts w:ascii="Verdana" w:hAnsi="Verdana" w:cs="Verdana"/>
                <w:b/>
                <w:b/>
                <w:sz w:val="22"/>
                <w:szCs w:val="22"/>
              </w:rPr>
            </w:pPr>
            <w:r>
              <w:rPr>
                <w:rFonts w:cs="Verdana" w:ascii="Verdana" w:hAnsi="Verdana"/>
                <w:b/>
                <w:sz w:val="22"/>
                <w:szCs w:val="22"/>
              </w:rPr>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Web"/>
              <w:snapToGrid w:val="false"/>
              <w:spacing w:before="0" w:after="280"/>
              <w:rPr>
                <w:rFonts w:ascii="Verdana" w:hAnsi="Verdana" w:cs="Verdana"/>
                <w:b/>
                <w:b/>
                <w:color w:val="000000"/>
                <w:sz w:val="22"/>
                <w:szCs w:val="22"/>
              </w:rPr>
            </w:pPr>
            <w:r>
              <w:rPr>
                <w:rFonts w:cs="Verdana" w:ascii="Verdana" w:hAnsi="Verdana"/>
                <w:b/>
                <w:color w:val="000000"/>
                <w:sz w:val="22"/>
                <w:szCs w:val="22"/>
              </w:rPr>
            </w:r>
          </w:p>
          <w:p>
            <w:pPr>
              <w:pStyle w:val="NormalWeb"/>
              <w:spacing w:before="280" w:after="280"/>
              <w:rPr>
                <w:rFonts w:ascii="Verdana" w:hAnsi="Verdana" w:cs="Verdana"/>
                <w:color w:val="000000"/>
                <w:sz w:val="22"/>
                <w:szCs w:val="22"/>
              </w:rPr>
            </w:pPr>
            <w:r>
              <w:rPr>
                <w:rFonts w:cs="Verdana" w:ascii="Verdana" w:hAnsi="Verdana"/>
                <w:color w:val="000000"/>
                <w:sz w:val="22"/>
                <w:szCs w:val="22"/>
              </w:rPr>
              <w:t>Understanding of the barriers to employment and engaging with individuals and groups.</w:t>
            </w:r>
          </w:p>
          <w:p>
            <w:pPr>
              <w:pStyle w:val="Heading3"/>
              <w:rPr>
                <w:rFonts w:ascii="Verdana" w:hAnsi="Verdana" w:cs="Verdana"/>
                <w:b/>
                <w:b/>
                <w:sz w:val="22"/>
                <w:szCs w:val="22"/>
              </w:rPr>
            </w:pPr>
            <w:r>
              <w:rPr>
                <w:rFonts w:cs="Verdana" w:ascii="Verdana" w:hAnsi="Verdana"/>
                <w:b/>
                <w:sz w:val="22"/>
                <w:szCs w:val="22"/>
              </w:rPr>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Web"/>
              <w:snapToGrid w:val="false"/>
              <w:spacing w:before="0" w:after="280"/>
              <w:rPr>
                <w:rFonts w:ascii="Verdana" w:hAnsi="Verdana" w:cs="Verdana"/>
                <w:b/>
                <w:b/>
                <w:color w:val="000000"/>
                <w:sz w:val="22"/>
                <w:szCs w:val="22"/>
              </w:rPr>
            </w:pPr>
            <w:r>
              <w:rPr>
                <w:rFonts w:cs="Verdana" w:ascii="Verdana" w:hAnsi="Verdana"/>
                <w:b/>
                <w:color w:val="000000"/>
                <w:sz w:val="22"/>
                <w:szCs w:val="22"/>
              </w:rPr>
            </w:r>
          </w:p>
          <w:p>
            <w:pPr>
              <w:pStyle w:val="NormalWeb"/>
              <w:spacing w:before="280" w:after="280"/>
              <w:rPr>
                <w:rFonts w:ascii="Verdana" w:hAnsi="Verdana" w:cs="Verdana"/>
                <w:color w:val="000000"/>
                <w:sz w:val="22"/>
                <w:szCs w:val="22"/>
              </w:rPr>
            </w:pPr>
            <w:r>
              <w:rPr>
                <w:rFonts w:cs="Verdana" w:ascii="Verdana" w:hAnsi="Verdana"/>
                <w:color w:val="000000"/>
                <w:sz w:val="22"/>
                <w:szCs w:val="22"/>
              </w:rPr>
              <w:t>Experience of maintaining excellent working relationships and successfully working in collaboration with a wide range of colleagues, managers, residents, stakeholders, delivery partners and community organisations</w:t>
            </w:r>
          </w:p>
          <w:p>
            <w:pPr>
              <w:pStyle w:val="Heading3"/>
              <w:rPr>
                <w:rFonts w:ascii="Verdana" w:hAnsi="Verdana" w:cs="Verdana"/>
                <w:b/>
                <w:b/>
                <w:sz w:val="22"/>
                <w:szCs w:val="22"/>
              </w:rPr>
            </w:pPr>
            <w:r>
              <w:rPr>
                <w:rFonts w:cs="Verdana" w:ascii="Verdana" w:hAnsi="Verdana"/>
                <w:b/>
                <w:sz w:val="22"/>
                <w:szCs w:val="22"/>
              </w:rPr>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Web"/>
              <w:snapToGrid w:val="false"/>
              <w:spacing w:before="0" w:after="280"/>
              <w:rPr>
                <w:rFonts w:ascii="Verdana" w:hAnsi="Verdana" w:cs="Verdana"/>
                <w:b/>
                <w:b/>
                <w:color w:val="000000"/>
                <w:sz w:val="22"/>
                <w:szCs w:val="22"/>
              </w:rPr>
            </w:pPr>
            <w:r>
              <w:rPr>
                <w:rFonts w:cs="Verdana" w:ascii="Verdana" w:hAnsi="Verdana"/>
                <w:b/>
                <w:color w:val="000000"/>
                <w:sz w:val="22"/>
                <w:szCs w:val="22"/>
              </w:rPr>
            </w:r>
          </w:p>
          <w:p>
            <w:pPr>
              <w:pStyle w:val="NormalWeb"/>
              <w:spacing w:before="280" w:after="280"/>
              <w:rPr/>
            </w:pPr>
            <w:r>
              <w:rPr>
                <w:rFonts w:cs="Verdana" w:ascii="Verdana" w:hAnsi="Verdana"/>
                <w:color w:val="000000"/>
                <w:sz w:val="22"/>
                <w:szCs w:val="22"/>
              </w:rPr>
              <w:t xml:space="preserve">Experience of delivering effective project-based work according to budget, </w:t>
            </w:r>
            <w:bookmarkStart w:id="5" w:name="_Int_6xqrBAnK"/>
            <w:r>
              <w:rPr>
                <w:rFonts w:cs="Verdana" w:ascii="Verdana" w:hAnsi="Verdana"/>
                <w:color w:val="000000"/>
                <w:sz w:val="22"/>
                <w:szCs w:val="22"/>
              </w:rPr>
              <w:t>resource</w:t>
            </w:r>
            <w:bookmarkEnd w:id="5"/>
            <w:r>
              <w:rPr>
                <w:rFonts w:cs="Verdana" w:ascii="Verdana" w:hAnsi="Verdana"/>
                <w:color w:val="000000"/>
                <w:sz w:val="22"/>
                <w:szCs w:val="22"/>
              </w:rPr>
              <w:t xml:space="preserve"> and timescales</w:t>
            </w:r>
          </w:p>
          <w:p>
            <w:pPr>
              <w:pStyle w:val="Heading3"/>
              <w:rPr>
                <w:rFonts w:ascii="Verdana" w:hAnsi="Verdana" w:cs="Verdana"/>
                <w:b/>
                <w:b/>
                <w:sz w:val="22"/>
                <w:szCs w:val="22"/>
              </w:rPr>
            </w:pPr>
            <w:r>
              <w:rPr>
                <w:rFonts w:cs="Verdana" w:ascii="Verdana" w:hAnsi="Verdana"/>
                <w:b/>
                <w:sz w:val="22"/>
                <w:szCs w:val="22"/>
              </w:rPr>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Web"/>
              <w:snapToGrid w:val="false"/>
              <w:spacing w:before="0" w:after="280"/>
              <w:rPr>
                <w:rFonts w:ascii="Verdana" w:hAnsi="Verdana" w:cs="Verdana"/>
                <w:b/>
                <w:b/>
                <w:color w:val="000000"/>
                <w:sz w:val="22"/>
                <w:szCs w:val="22"/>
              </w:rPr>
            </w:pPr>
            <w:r>
              <w:rPr>
                <w:rFonts w:cs="Verdana" w:ascii="Verdana" w:hAnsi="Verdana"/>
                <w:b/>
                <w:color w:val="000000"/>
                <w:sz w:val="22"/>
                <w:szCs w:val="22"/>
              </w:rPr>
            </w:r>
          </w:p>
          <w:p>
            <w:pPr>
              <w:pStyle w:val="NormalWeb"/>
              <w:spacing w:before="280" w:after="280"/>
              <w:rPr>
                <w:rFonts w:ascii="Verdana" w:hAnsi="Verdana" w:cs="Verdana"/>
                <w:color w:val="000000"/>
                <w:sz w:val="22"/>
                <w:szCs w:val="22"/>
              </w:rPr>
            </w:pPr>
            <w:r>
              <w:rPr>
                <w:rFonts w:cs="Verdana" w:ascii="Verdana" w:hAnsi="Verdana"/>
                <w:color w:val="000000"/>
                <w:sz w:val="22"/>
                <w:szCs w:val="22"/>
              </w:rPr>
              <w:t>Experience of monitoring a budget / financial resources to maximise value for money and opportunity</w:t>
            </w:r>
          </w:p>
          <w:p>
            <w:pPr>
              <w:pStyle w:val="Heading3"/>
              <w:rPr>
                <w:rFonts w:ascii="Verdana" w:hAnsi="Verdana" w:cs="Verdana"/>
                <w:b/>
                <w:b/>
                <w:sz w:val="22"/>
                <w:szCs w:val="22"/>
              </w:rPr>
            </w:pPr>
            <w:r>
              <w:rPr>
                <w:rFonts w:cs="Verdana" w:ascii="Verdana" w:hAnsi="Verdana"/>
                <w:b/>
                <w:sz w:val="22"/>
                <w:szCs w:val="22"/>
              </w:rPr>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Web"/>
              <w:snapToGrid w:val="false"/>
              <w:spacing w:before="0" w:after="280"/>
              <w:rPr>
                <w:rFonts w:ascii="Verdana" w:hAnsi="Verdana" w:cs="Verdana"/>
                <w:b/>
                <w:b/>
                <w:color w:val="000000"/>
                <w:sz w:val="22"/>
                <w:szCs w:val="22"/>
              </w:rPr>
            </w:pPr>
            <w:r>
              <w:rPr>
                <w:rFonts w:cs="Verdana" w:ascii="Verdana" w:hAnsi="Verdana"/>
                <w:b/>
                <w:color w:val="000000"/>
                <w:sz w:val="22"/>
                <w:szCs w:val="22"/>
              </w:rPr>
            </w:r>
          </w:p>
          <w:p>
            <w:pPr>
              <w:pStyle w:val="NormalWeb"/>
              <w:spacing w:before="280" w:after="280"/>
              <w:rPr>
                <w:rFonts w:ascii="Verdana" w:hAnsi="Verdana" w:cs="Verdana"/>
                <w:color w:val="000000"/>
                <w:sz w:val="22"/>
                <w:szCs w:val="22"/>
              </w:rPr>
            </w:pPr>
            <w:r>
              <w:rPr>
                <w:rFonts w:cs="Verdana" w:ascii="Verdana" w:hAnsi="Verdana"/>
                <w:color w:val="000000"/>
                <w:sz w:val="22"/>
                <w:szCs w:val="22"/>
              </w:rPr>
              <w:t>Strong interpersonal and communication skills (verbal, written and presentation) capable of clearly and efficiently disseminating information to a wide range of audiences (internally and externally).</w:t>
            </w:r>
          </w:p>
          <w:p>
            <w:pPr>
              <w:pStyle w:val="Heading3"/>
              <w:rPr>
                <w:rFonts w:ascii="Verdana" w:hAnsi="Verdana" w:cs="Verdana"/>
                <w:b/>
                <w:b/>
                <w:sz w:val="22"/>
                <w:szCs w:val="22"/>
              </w:rPr>
            </w:pPr>
            <w:r>
              <w:rPr>
                <w:rFonts w:cs="Verdana" w:ascii="Verdana" w:hAnsi="Verdana"/>
                <w:b/>
                <w:sz w:val="22"/>
                <w:szCs w:val="22"/>
              </w:rPr>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color w:val="000000"/>
                <w:sz w:val="22"/>
                <w:szCs w:val="22"/>
              </w:rPr>
            </w:pPr>
            <w:r>
              <w:rPr>
                <w:rFonts w:cs="Verdana" w:ascii="Verdana" w:hAnsi="Verdana"/>
                <w:color w:val="000000"/>
                <w:sz w:val="22"/>
                <w:szCs w:val="22"/>
              </w:rPr>
              <w:t>Able to use IT and Microsoft Office packages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w:hAnsi="Wingdings" w:eastAsia="Wingdings" w:cs="Wingdings"/>
                <w:b/>
                <w:b/>
              </w:rPr>
            </w:pPr>
            <w:r>
              <w:rPr>
                <w:rFonts w:eastAsia="Wingdings" w:cs="Wingdings" w:ascii="Wingdings" w:hAnsi="Wingdings"/>
                <w:b/>
              </w:rPr>
              <w:t>ü</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bl>
    <w:p>
      <w:pPr>
        <w:pStyle w:val="Normal"/>
        <w:rPr/>
      </w:pPr>
      <w:r>
        <w:rPr/>
      </w:r>
    </w:p>
    <w:p>
      <w:pPr>
        <w:pStyle w:val="Normal"/>
        <w:rPr>
          <w:sz w:val="20"/>
        </w:rPr>
      </w:pPr>
      <w:r>
        <w:rPr>
          <w:sz w:val="20"/>
        </w:rPr>
      </w:r>
    </w:p>
    <w:p>
      <w:pPr>
        <w:pStyle w:val="Normal"/>
        <w:jc w:val="center"/>
        <w:rPr>
          <w:rFonts w:cs="Arial"/>
          <w:b/>
          <w:b/>
          <w:sz w:val="20"/>
        </w:rPr>
      </w:pPr>
      <w:r>
        <w:rPr>
          <w:rFonts w:cs="Arial"/>
          <w:b/>
          <w:sz w:val="20"/>
        </w:rPr>
      </w:r>
    </w:p>
    <w:p>
      <w:pPr>
        <w:pStyle w:val="Normal"/>
        <w:jc w:val="center"/>
        <w:rPr>
          <w:rFonts w:cs="Arial"/>
          <w:b/>
          <w:b/>
        </w:rPr>
      </w:pPr>
      <w:r>
        <w:rPr>
          <w:rFonts w:cs="Arial"/>
          <w:b/>
        </w:rPr>
        <w:t>CRITERIA FOR INTERVIEW AND OTHER ASSESSMENT METHODS</w:t>
      </w:r>
    </w:p>
    <w:p>
      <w:pPr>
        <w:pStyle w:val="Normal"/>
        <w:jc w:val="center"/>
        <w:rPr>
          <w:rFonts w:cs="Arial"/>
          <w:b/>
          <w:b/>
        </w:rPr>
      </w:pPr>
      <w:r>
        <w:rPr>
          <w:rFonts w:cs="Arial"/>
          <w:b/>
        </w:rPr>
        <w:t>The short-listing criteria listed plus the following:</w:t>
      </w:r>
    </w:p>
    <w:tbl>
      <w:tblPr>
        <w:tblW w:w="5000" w:type="pct"/>
        <w:jc w:val="left"/>
        <w:tblInd w:w="0" w:type="dxa"/>
        <w:tblCellMar>
          <w:top w:w="0" w:type="dxa"/>
          <w:left w:w="108" w:type="dxa"/>
          <w:bottom w:w="0" w:type="dxa"/>
          <w:right w:w="108" w:type="dxa"/>
        </w:tblCellMar>
      </w:tblPr>
      <w:tblGrid>
        <w:gridCol w:w="2283"/>
        <w:gridCol w:w="8183"/>
      </w:tblGrid>
      <w:tr>
        <w:trPr>
          <w:trHeight w:val="345"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ASSESSMENT</w:t>
            </w:r>
          </w:p>
          <w:p>
            <w:pPr>
              <w:pStyle w:val="Normal"/>
              <w:spacing w:lineRule="auto" w:line="240" w:before="0" w:after="0"/>
              <w:jc w:val="center"/>
              <w:rPr>
                <w:b/>
                <w:b/>
              </w:rPr>
            </w:pPr>
            <w:r>
              <w:rPr>
                <w:b/>
              </w:rPr>
              <w:t>METHOD</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rPr>
            </w:pPr>
            <w:r>
              <w:rPr>
                <w:b/>
              </w:rPr>
              <w:t>CRITERIA</w:t>
            </w:r>
          </w:p>
        </w:tc>
      </w:tr>
      <w:tr>
        <w:trPr>
          <w:trHeight w:val="567" w:hRule="atLeast"/>
          <w:cantSplit w:val="true"/>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bCs/>
              </w:rPr>
            </w:pPr>
            <w:r>
              <w:rPr>
                <w:bCs/>
              </w:rPr>
              <w:t>Scenario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32" w:right="0" w:hanging="0"/>
              <w:rPr>
                <w:rFonts w:eastAsia="Times New Roman" w:cs="Arial"/>
                <w:color w:val="344054"/>
                <w:spacing w:val="-5"/>
                <w:lang w:eastAsia="en-GB"/>
              </w:rPr>
            </w:pPr>
            <w:r>
              <w:rPr>
                <w:rFonts w:eastAsia="Times New Roman" w:cs="Arial"/>
                <w:color w:val="344054"/>
                <w:spacing w:val="-5"/>
                <w:lang w:eastAsia="en-GB"/>
              </w:rPr>
              <w:t>Knowledge of employability, skills, and training initiatives, including relevant policies and funding streams</w:t>
            </w:r>
          </w:p>
          <w:p>
            <w:pPr>
              <w:pStyle w:val="Normal"/>
              <w:spacing w:lineRule="auto" w:line="240" w:before="120" w:after="200"/>
              <w:rPr>
                <w:b/>
                <w:b/>
              </w:rPr>
            </w:pPr>
            <w:r>
              <w:rPr>
                <w:b/>
              </w:rPr>
            </w:r>
          </w:p>
        </w:tc>
      </w:tr>
    </w:tbl>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Franklin Gothic Dem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Wingding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2026-05-27T16:05:00Z</dcterms:created>
  <dc:creator>Bury Council</dc:creator>
  <dc:description>Appendix 1 - Job Description &amp; Person Specification WORD Template (with stmts as amended 10.16))</dc:description>
  <dc:language>en-US</dc:language>
  <cp:lastModifiedBy>Flynn, Tracey</cp:lastModifiedBy>
  <cp:lastPrinted>1995-11-21T17:41:00Z</cp:lastPrinted>
  <dcterms:modified xsi:type="dcterms:W3CDTF">2026-05-27T16:05:00Z</dcterms:modified>
  <cp:revision>2</cp:revision>
  <dc:subject/>
  <dc:title>Appendix 1 - Job Description &amp; Person Specification WORD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tegory">
    <vt:lpwstr>Policies and Procedures</vt:lpwstr>
  </property>
  <property fmtid="{D5CDD505-2E9C-101B-9397-08002B2CF9AE}" pid="4" name="Company">
    <vt:lpwstr>Bury MBC</vt:lpwstr>
  </property>
  <property fmtid="{D5CDD505-2E9C-101B-9397-08002B2CF9AE}" pid="5" name="ContentTypeId">
    <vt:lpwstr>0x0101006BA7CEDE48C8DF498CCDF9D8F05EDF8D</vt:lpwstr>
  </property>
  <property fmtid="{D5CDD505-2E9C-101B-9397-08002B2CF9AE}" pid="6" name="DocSecurity">
    <vt:i4>0</vt:i4>
  </property>
  <property fmtid="{D5CDD505-2E9C-101B-9397-08002B2CF9AE}" pid="7" name="HyperlinksChanged">
    <vt:bool>0</vt:bool>
  </property>
  <property fmtid="{D5CDD505-2E9C-101B-9397-08002B2CF9AE}" pid="8" name="LinksUpToDate">
    <vt:bool>0</vt:bool>
  </property>
  <property fmtid="{D5CDD505-2E9C-101B-9397-08002B2CF9AE}" pid="9" name="Owner">
    <vt:lpwstr>HR Operations</vt:lpwstr>
  </property>
  <property fmtid="{D5CDD505-2E9C-101B-9397-08002B2CF9AE}" pid="10" name="ScaleCrop">
    <vt:bool>0</vt:bool>
  </property>
  <property fmtid="{D5CDD505-2E9C-101B-9397-08002B2CF9AE}" pid="11" name="ShareDoc">
    <vt:bool>0</vt:bool>
  </property>
</Properties>
</file>