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920" w:right="0" w:firstLine="18"/>
        <w:rPr>
          <w:b/>
          <w:b/>
        </w:rPr>
      </w:pPr>
      <w:r>
        <w:rPr/>
        <w:drawing>
          <wp:inline distT="0" distB="0" distL="0" distR="0">
            <wp:extent cx="1526540" cy="77216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47" r="-24" b="-47"/>
                    <a:stretch>
                      <a:fillRect/>
                    </a:stretch>
                  </pic:blipFill>
                  <pic:spPr bwMode="auto">
                    <a:xfrm>
                      <a:off x="0" y="0"/>
                      <a:ext cx="1526540" cy="772160"/>
                    </a:xfrm>
                    <a:prstGeom prst="rect">
                      <a:avLst/>
                    </a:prstGeom>
                  </pic:spPr>
                </pic:pic>
              </a:graphicData>
            </a:graphic>
          </wp:inline>
        </w:drawing>
      </w:r>
    </w:p>
    <w:p>
      <w:pPr>
        <w:pStyle w:val="Normal"/>
        <w:jc w:val="center"/>
        <w:rPr>
          <w:b/>
          <w:b/>
        </w:rPr>
      </w:pPr>
      <w:r>
        <w:rPr>
          <w:b/>
        </w:rPr>
        <w:t>JOB DESCRIPTION</w:t>
      </w:r>
    </w:p>
    <w:p>
      <w:pPr>
        <w:pStyle w:val="Normal"/>
        <w:rPr>
          <w:b/>
          <w:b/>
        </w:rPr>
      </w:pPr>
      <w:r>
        <w:rPr>
          <w:b/>
        </w:rPr>
      </w:r>
    </w:p>
    <w:tbl>
      <w:tblPr>
        <w:tblW w:w="10466" w:type="dxa"/>
        <w:jc w:val="left"/>
        <w:tblInd w:w="0" w:type="dxa"/>
        <w:tblCellMar>
          <w:top w:w="0" w:type="dxa"/>
          <w:left w:w="108" w:type="dxa"/>
          <w:bottom w:w="0" w:type="dxa"/>
          <w:right w:w="108" w:type="dxa"/>
        </w:tblCellMar>
      </w:tblPr>
      <w:tblGrid>
        <w:gridCol w:w="5253"/>
        <w:gridCol w:w="5213"/>
      </w:tblGrid>
      <w:tr>
        <w:trPr/>
        <w:tc>
          <w:tcPr>
            <w:tcW w:w="10466" w:type="dxa"/>
            <w:gridSpan w:val="2"/>
            <w:tcBorders>
              <w:top w:val="single" w:sz="4" w:space="0" w:color="000000"/>
              <w:left w:val="single" w:sz="4" w:space="0" w:color="000000"/>
              <w:bottom w:val="double" w:sz="4" w:space="0" w:color="000000"/>
              <w:right w:val="single" w:sz="4" w:space="0" w:color="000000"/>
            </w:tcBorders>
            <w:shd w:fill="auto" w:val="clear"/>
          </w:tcPr>
          <w:p>
            <w:pPr>
              <w:pStyle w:val="Normal"/>
              <w:widowControl/>
              <w:bidi w:val="0"/>
              <w:spacing w:lineRule="auto" w:line="276" w:before="0" w:after="200"/>
              <w:jc w:val="left"/>
              <w:rPr/>
            </w:pPr>
            <w:r>
              <w:rPr>
                <w:b/>
                <w:bCs/>
              </w:rPr>
              <w:t xml:space="preserve">Post Title: </w:t>
            </w:r>
            <w:r>
              <w:rPr>
                <w:spacing w:val="-3"/>
              </w:rPr>
              <w:t>Trainee Trading Standards Officer</w:t>
            </w:r>
          </w:p>
        </w:tc>
      </w:tr>
      <w:tr>
        <w:trPr/>
        <w:tc>
          <w:tcPr>
            <w:tcW w:w="5253" w:type="dxa"/>
            <w:tcBorders>
              <w:top w:val="double" w:sz="4" w:space="0" w:color="000000"/>
              <w:left w:val="single" w:sz="4" w:space="0" w:color="000000"/>
              <w:bottom w:val="double" w:sz="4" w:space="0" w:color="000000"/>
            </w:tcBorders>
            <w:shd w:fill="auto" w:val="clear"/>
          </w:tcPr>
          <w:p>
            <w:pPr>
              <w:pStyle w:val="Normal"/>
              <w:widowControl/>
              <w:bidi w:val="0"/>
              <w:spacing w:lineRule="auto" w:line="276" w:before="0" w:after="200"/>
              <w:jc w:val="left"/>
              <w:rPr/>
            </w:pPr>
            <w:r>
              <w:rPr>
                <w:b/>
                <w:bCs/>
              </w:rPr>
              <w:t xml:space="preserve">Department: </w:t>
            </w:r>
            <w:r>
              <w:rPr/>
              <w:t>Corporate Core</w:t>
            </w:r>
          </w:p>
        </w:tc>
        <w:tc>
          <w:tcPr>
            <w:tcW w:w="5213" w:type="dxa"/>
            <w:tcBorders>
              <w:top w:val="double" w:sz="4" w:space="0" w:color="000000"/>
              <w:left w:val="single" w:sz="4" w:space="0" w:color="000000"/>
              <w:bottom w:val="double" w:sz="4" w:space="0" w:color="000000"/>
              <w:right w:val="single" w:sz="4" w:space="0" w:color="000000"/>
            </w:tcBorders>
            <w:shd w:fill="auto" w:val="clear"/>
          </w:tcPr>
          <w:p>
            <w:pPr>
              <w:pStyle w:val="Normal"/>
              <w:widowControl/>
              <w:bidi w:val="0"/>
              <w:spacing w:lineRule="auto" w:line="276" w:before="0" w:after="200"/>
              <w:jc w:val="left"/>
              <w:rPr>
                <w:b/>
                <w:b/>
                <w:bCs/>
              </w:rPr>
            </w:pPr>
            <w:r>
              <w:rPr>
                <w:b/>
                <w:bCs/>
              </w:rPr>
              <w:t>Post No:</w:t>
            </w:r>
          </w:p>
        </w:tc>
      </w:tr>
      <w:tr>
        <w:trPr/>
        <w:tc>
          <w:tcPr>
            <w:tcW w:w="5253" w:type="dxa"/>
            <w:tcBorders>
              <w:top w:val="double" w:sz="4" w:space="0" w:color="000000"/>
              <w:left w:val="single" w:sz="4" w:space="0" w:color="000000"/>
              <w:bottom w:val="double" w:sz="4" w:space="0" w:color="000000"/>
            </w:tcBorders>
            <w:shd w:fill="auto" w:val="clear"/>
          </w:tcPr>
          <w:p>
            <w:pPr>
              <w:pStyle w:val="Normal"/>
              <w:widowControl/>
              <w:bidi w:val="0"/>
              <w:spacing w:lineRule="auto" w:line="276" w:before="0" w:after="200"/>
              <w:jc w:val="left"/>
              <w:rPr/>
            </w:pPr>
            <w:r>
              <w:rPr>
                <w:b/>
                <w:bCs/>
              </w:rPr>
              <w:t xml:space="preserve">Division/Section: </w:t>
            </w:r>
            <w:r>
              <w:rPr/>
              <w:t>Public Protection Service Trading Standards Team</w:t>
            </w:r>
          </w:p>
        </w:tc>
        <w:tc>
          <w:tcPr>
            <w:tcW w:w="5213" w:type="dxa"/>
            <w:tcBorders>
              <w:top w:val="double" w:sz="4" w:space="0" w:color="000000"/>
              <w:left w:val="single" w:sz="4" w:space="0" w:color="000000"/>
              <w:bottom w:val="double" w:sz="4" w:space="0" w:color="000000"/>
              <w:right w:val="single" w:sz="4" w:space="0" w:color="000000"/>
            </w:tcBorders>
            <w:shd w:fill="auto" w:val="clear"/>
          </w:tcPr>
          <w:p>
            <w:pPr>
              <w:pStyle w:val="Normal"/>
              <w:widowControl/>
              <w:bidi w:val="0"/>
              <w:spacing w:lineRule="auto" w:line="276" w:before="0" w:after="200"/>
              <w:jc w:val="left"/>
              <w:rPr/>
            </w:pPr>
            <w:r>
              <w:rPr>
                <w:b/>
                <w:bCs/>
              </w:rPr>
              <w:t xml:space="preserve">Post Grade: </w:t>
            </w:r>
            <w:r>
              <w:rPr/>
              <w:t>8</w:t>
            </w:r>
          </w:p>
        </w:tc>
      </w:tr>
      <w:tr>
        <w:trPr/>
        <w:tc>
          <w:tcPr>
            <w:tcW w:w="5253" w:type="dxa"/>
            <w:tcBorders>
              <w:top w:val="double" w:sz="4" w:space="0" w:color="000000"/>
              <w:left w:val="single" w:sz="4" w:space="0" w:color="000000"/>
              <w:bottom w:val="double" w:sz="4" w:space="0" w:color="000000"/>
            </w:tcBorders>
            <w:shd w:fill="auto" w:val="clear"/>
          </w:tcPr>
          <w:p>
            <w:pPr>
              <w:pStyle w:val="Normal"/>
              <w:widowControl/>
              <w:bidi w:val="0"/>
              <w:spacing w:lineRule="auto" w:line="276" w:before="0" w:after="200"/>
              <w:jc w:val="left"/>
              <w:rPr/>
            </w:pPr>
            <w:r>
              <w:rPr>
                <w:b/>
                <w:bCs/>
              </w:rPr>
              <w:t xml:space="preserve">Location: </w:t>
            </w:r>
            <w:r>
              <w:rPr>
                <w:spacing w:val="-3"/>
              </w:rPr>
              <w:t>3 Knowsley Place, Duke Street, Bury</w:t>
            </w:r>
          </w:p>
        </w:tc>
        <w:tc>
          <w:tcPr>
            <w:tcW w:w="5213" w:type="dxa"/>
            <w:tcBorders>
              <w:top w:val="double" w:sz="4" w:space="0" w:color="000000"/>
              <w:left w:val="single" w:sz="4" w:space="0" w:color="000000"/>
              <w:bottom w:val="double" w:sz="4" w:space="0" w:color="000000"/>
              <w:right w:val="single" w:sz="4" w:space="0" w:color="000000"/>
            </w:tcBorders>
            <w:shd w:fill="auto" w:val="clear"/>
          </w:tcPr>
          <w:p>
            <w:pPr>
              <w:pStyle w:val="Normal"/>
              <w:widowControl/>
              <w:bidi w:val="0"/>
              <w:spacing w:lineRule="auto" w:line="276" w:before="0" w:after="200"/>
              <w:jc w:val="left"/>
              <w:rPr/>
            </w:pPr>
            <w:r>
              <w:rPr>
                <w:b/>
                <w:bCs/>
              </w:rPr>
              <w:t xml:space="preserve">Post Hours: </w:t>
            </w:r>
            <w:r>
              <w:rPr/>
              <w:t>37</w:t>
            </w:r>
          </w:p>
        </w:tc>
      </w:tr>
      <w:tr>
        <w:trPr/>
        <w:tc>
          <w:tcPr>
            <w:tcW w:w="10466" w:type="dxa"/>
            <w:gridSpan w:val="2"/>
            <w:tcBorders>
              <w:top w:val="single" w:sz="4" w:space="0" w:color="000000"/>
              <w:left w:val="single" w:sz="4" w:space="0" w:color="000000"/>
              <w:bottom w:val="double" w:sz="4" w:space="0" w:color="000000"/>
              <w:right w:val="single" w:sz="4" w:space="0" w:color="000000"/>
            </w:tcBorders>
            <w:shd w:fill="auto" w:val="clear"/>
          </w:tcPr>
          <w:p>
            <w:pPr>
              <w:pStyle w:val="Normal"/>
              <w:rPr>
                <w:b/>
                <w:b/>
                <w:bCs/>
              </w:rPr>
            </w:pPr>
            <w:r>
              <w:rPr>
                <w:b/>
                <w:bCs/>
              </w:rPr>
              <w:t>Special Conditions of Service:</w:t>
            </w:r>
          </w:p>
          <w:p>
            <w:pPr>
              <w:pStyle w:val="Normal"/>
              <w:widowControl/>
              <w:bidi w:val="0"/>
              <w:spacing w:lineRule="auto" w:line="276" w:before="0" w:after="200"/>
              <w:jc w:val="left"/>
              <w:rPr>
                <w:spacing w:val="-2"/>
              </w:rPr>
            </w:pPr>
            <w:r>
              <w:rPr>
                <w:spacing w:val="-2"/>
              </w:rPr>
              <w:t xml:space="preserve">Undertake inspections, visits including outside normal office hours as required by the exigencies of the service for which time off in lieu or remuneration will be given in accordance with pay policy.  A driving licence is required as a car allowance is payable (subject to council policy).  </w:t>
            </w:r>
          </w:p>
        </w:tc>
      </w:tr>
      <w:tr>
        <w:trPr/>
        <w:tc>
          <w:tcPr>
            <w:tcW w:w="10466" w:type="dxa"/>
            <w:gridSpan w:val="2"/>
            <w:tcBorders>
              <w:top w:val="double" w:sz="4" w:space="0" w:color="000000"/>
              <w:left w:val="single" w:sz="4" w:space="0" w:color="000000"/>
              <w:bottom w:val="double" w:sz="4" w:space="0" w:color="000000"/>
              <w:right w:val="single" w:sz="4" w:space="0" w:color="000000"/>
            </w:tcBorders>
            <w:shd w:fill="auto" w:val="clear"/>
          </w:tcPr>
          <w:p>
            <w:pPr>
              <w:pStyle w:val="Normal"/>
              <w:rPr>
                <w:b/>
                <w:b/>
                <w:bCs/>
              </w:rPr>
            </w:pPr>
            <w:r>
              <w:rPr>
                <w:b/>
                <w:bCs/>
              </w:rPr>
              <w:t>Purpose and Objectives of Post:</w:t>
            </w:r>
          </w:p>
          <w:p>
            <w:pPr>
              <w:pStyle w:val="Normal"/>
              <w:spacing w:before="90" w:after="200"/>
              <w:rPr/>
            </w:pPr>
            <w:r>
              <w:rPr/>
              <w:t xml:space="preserve">This post is a development post with the post holder expected to progress from Trainee Trading Standards Officer to Trading Standards Officer once a suitable level of skills, knowledge and experience has been obtained, alongside the qualifications required to undertake the duties of a qualified Trading Standards Officer.  </w:t>
            </w:r>
          </w:p>
          <w:p>
            <w:pPr>
              <w:pStyle w:val="Normal"/>
              <w:suppressAutoHyphens w:val="true"/>
              <w:spacing w:before="90" w:after="200"/>
              <w:rPr>
                <w:spacing w:val="-2"/>
              </w:rPr>
            </w:pPr>
            <w:r>
              <w:rPr>
                <w:spacing w:val="-2"/>
              </w:rPr>
              <w:t xml:space="preserve">To support the delivery of the Trading Standards service, taking an active and flexible approach to the wide range of regulatory duties carried out by the service.  To contribute to the delivery of work programmes, including site visits / investigations / research / preparation of letters and other documents as required.  To support the Trading Standards Officers, Enforcement Officers or other staff in the performance of their duties whilst undertaking further training and qualifications to become a qualified Trading Standards Officer. </w:t>
            </w:r>
          </w:p>
        </w:tc>
      </w:tr>
      <w:tr>
        <w:trPr/>
        <w:tc>
          <w:tcPr>
            <w:tcW w:w="10466" w:type="dxa"/>
            <w:gridSpan w:val="2"/>
            <w:tcBorders>
              <w:top w:val="double" w:sz="4" w:space="0" w:color="000000"/>
              <w:left w:val="single" w:sz="4" w:space="0" w:color="000000"/>
              <w:bottom w:val="double" w:sz="4" w:space="0" w:color="000000"/>
              <w:right w:val="single" w:sz="4" w:space="0" w:color="000000"/>
            </w:tcBorders>
            <w:shd w:fill="auto" w:val="clear"/>
          </w:tcPr>
          <w:p>
            <w:pPr>
              <w:pStyle w:val="Normal"/>
              <w:widowControl/>
              <w:bidi w:val="0"/>
              <w:spacing w:lineRule="auto" w:line="276" w:before="0" w:after="200"/>
              <w:jc w:val="left"/>
              <w:rPr/>
            </w:pPr>
            <w:r>
              <w:rPr>
                <w:b/>
                <w:bCs/>
              </w:rPr>
              <w:t xml:space="preserve">Accountable to: </w:t>
            </w:r>
            <w:r>
              <w:rPr/>
              <w:t>Head of Public Protection</w:t>
            </w:r>
          </w:p>
        </w:tc>
      </w:tr>
      <w:tr>
        <w:trPr/>
        <w:tc>
          <w:tcPr>
            <w:tcW w:w="10466" w:type="dxa"/>
            <w:gridSpan w:val="2"/>
            <w:tcBorders>
              <w:top w:val="double" w:sz="4" w:space="0" w:color="000000"/>
              <w:left w:val="single" w:sz="4" w:space="0" w:color="000000"/>
              <w:bottom w:val="double" w:sz="4" w:space="0" w:color="000000"/>
              <w:right w:val="single" w:sz="4" w:space="0" w:color="000000"/>
            </w:tcBorders>
            <w:shd w:fill="auto" w:val="clear"/>
          </w:tcPr>
          <w:p>
            <w:pPr>
              <w:pStyle w:val="Normal"/>
              <w:widowControl/>
              <w:bidi w:val="0"/>
              <w:spacing w:lineRule="auto" w:line="276" w:before="0" w:after="200"/>
              <w:jc w:val="left"/>
              <w:rPr/>
            </w:pPr>
            <w:r>
              <w:rPr>
                <w:b/>
                <w:bCs/>
              </w:rPr>
              <w:t xml:space="preserve">Immediately Responsible to: </w:t>
            </w:r>
            <w:r>
              <w:rPr/>
              <w:t>Unit Manager (Trading Standards Team) and Trading Standards Officers.</w:t>
            </w:r>
          </w:p>
        </w:tc>
      </w:tr>
      <w:tr>
        <w:trPr/>
        <w:tc>
          <w:tcPr>
            <w:tcW w:w="10466" w:type="dxa"/>
            <w:gridSpan w:val="2"/>
            <w:tcBorders>
              <w:top w:val="double" w:sz="4" w:space="0" w:color="000000"/>
              <w:left w:val="single" w:sz="4" w:space="0" w:color="000000"/>
              <w:bottom w:val="double" w:sz="4" w:space="0" w:color="000000"/>
              <w:right w:val="single" w:sz="4" w:space="0" w:color="000000"/>
            </w:tcBorders>
            <w:shd w:fill="auto" w:val="clear"/>
          </w:tcPr>
          <w:p>
            <w:pPr>
              <w:pStyle w:val="Normal"/>
              <w:widowControl/>
              <w:bidi w:val="0"/>
              <w:spacing w:lineRule="auto" w:line="276" w:before="0" w:after="200"/>
              <w:jc w:val="left"/>
              <w:rPr/>
            </w:pPr>
            <w:r>
              <w:rPr>
                <w:b/>
                <w:bCs/>
              </w:rPr>
              <w:t xml:space="preserve">Immediately Responsible for: </w:t>
            </w:r>
            <w:r>
              <w:rPr/>
              <w:t>None</w:t>
            </w:r>
          </w:p>
        </w:tc>
      </w:tr>
      <w:tr>
        <w:trPr/>
        <w:tc>
          <w:tcPr>
            <w:tcW w:w="10466" w:type="dxa"/>
            <w:gridSpan w:val="2"/>
            <w:tcBorders>
              <w:top w:val="double" w:sz="4" w:space="0" w:color="000000"/>
              <w:left w:val="single" w:sz="4" w:space="0" w:color="000000"/>
              <w:bottom w:val="double" w:sz="4" w:space="0" w:color="000000"/>
              <w:right w:val="single" w:sz="4" w:space="0" w:color="000000"/>
            </w:tcBorders>
            <w:shd w:fill="auto" w:val="clear"/>
          </w:tcPr>
          <w:p>
            <w:pPr>
              <w:pStyle w:val="Normal"/>
              <w:rPr>
                <w:b/>
                <w:b/>
                <w:bCs/>
              </w:rPr>
            </w:pPr>
            <w:r>
              <w:rPr>
                <w:b/>
                <w:bCs/>
              </w:rPr>
              <w:t>Relationships: (Internal and External)</w:t>
            </w:r>
          </w:p>
          <w:p>
            <w:pPr>
              <w:pStyle w:val="Normal"/>
              <w:tabs>
                <w:tab w:val="left" w:pos="720" w:leader="none"/>
              </w:tabs>
              <w:suppressAutoHyphens w:val="true"/>
              <w:ind w:left="1440" w:right="0" w:hanging="1440"/>
              <w:rPr/>
            </w:pPr>
            <w:r>
              <w:rPr>
                <w:b/>
                <w:bCs/>
                <w:spacing w:val="-2"/>
              </w:rPr>
              <w:t xml:space="preserve">Internal:  </w:t>
            </w:r>
            <w:r>
              <w:rPr/>
              <w:t xml:space="preserve">Departmental staff and staff of other Departments in respect of trading standards, </w:t>
            </w:r>
            <w:r>
              <w:rPr>
                <w:spacing w:val="-3"/>
              </w:rPr>
              <w:t>environmental health (Commercial), neighbourhoods’ enforcement, private sector housing, licensing and legal.</w:t>
            </w:r>
          </w:p>
          <w:p>
            <w:pPr>
              <w:pStyle w:val="Normal"/>
              <w:tabs>
                <w:tab w:val="clear" w:pos="720"/>
                <w:tab w:val="left" w:pos="-720" w:leader="none"/>
              </w:tabs>
              <w:suppressAutoHyphens w:val="true"/>
              <w:rPr>
                <w:spacing w:val="-3"/>
              </w:rPr>
            </w:pPr>
            <w:r>
              <w:rPr>
                <w:spacing w:val="-3"/>
              </w:rPr>
            </w:r>
          </w:p>
          <w:p>
            <w:pPr>
              <w:pStyle w:val="Normal"/>
              <w:tabs>
                <w:tab w:val="left" w:pos="720" w:leader="none"/>
              </w:tabs>
              <w:suppressAutoHyphens w:val="true"/>
              <w:spacing w:before="0" w:after="200"/>
              <w:ind w:left="1440" w:right="0" w:hanging="1440"/>
              <w:rPr/>
            </w:pPr>
            <w:r>
              <w:rPr>
                <w:b/>
                <w:bCs/>
                <w:spacing w:val="-2"/>
              </w:rPr>
              <w:t>External:</w:t>
            </w:r>
            <w:r>
              <w:rPr>
                <w:b/>
                <w:bCs/>
                <w:spacing w:val="-3"/>
              </w:rPr>
              <w:t xml:space="preserve"> </w:t>
            </w:r>
            <w:r>
              <w:rPr>
                <w:b/>
                <w:spacing w:val="-3"/>
              </w:rPr>
              <w:tab/>
            </w:r>
            <w:r>
              <w:rPr>
                <w:spacing w:val="-3"/>
              </w:rPr>
              <w:t>Staff of other Authorities including Primary Authorities, public bodies, statutory undertakers, trade organisation, voluntary and charitable organisations, citizens advice service, the emergency services, police departments and related organisation, customs and excise, immigration, inland revenue, elected members and members of the public, businesses including consultants, private architects, company representatives, Licensees,  Housing Associations and solicitors, Central Government Departments, the courts and contractors.</w:t>
            </w:r>
          </w:p>
        </w:tc>
      </w:tr>
      <w:tr>
        <w:trPr/>
        <w:tc>
          <w:tcPr>
            <w:tcW w:w="10466" w:type="dxa"/>
            <w:gridSpan w:val="2"/>
            <w:tcBorders>
              <w:top w:val="double" w:sz="4" w:space="0" w:color="000000"/>
              <w:left w:val="single" w:sz="4" w:space="0" w:color="000000"/>
              <w:bottom w:val="double" w:sz="4" w:space="0" w:color="000000"/>
              <w:right w:val="single" w:sz="4" w:space="0" w:color="000000"/>
            </w:tcBorders>
            <w:shd w:fill="auto" w:val="clear"/>
          </w:tcPr>
          <w:p>
            <w:pPr>
              <w:pStyle w:val="Normal"/>
              <w:rPr>
                <w:b/>
                <w:b/>
                <w:bCs/>
              </w:rPr>
            </w:pPr>
            <w:r>
              <w:rPr>
                <w:b/>
                <w:bCs/>
              </w:rPr>
              <w:t>Control of Resources:</w:t>
            </w:r>
          </w:p>
          <w:p>
            <w:pPr>
              <w:pStyle w:val="Normal"/>
              <w:suppressAutoHyphens w:val="true"/>
              <w:spacing w:before="120" w:after="200"/>
              <w:rPr/>
            </w:pPr>
            <w:r>
              <w:rPr>
                <w:rFonts w:eastAsia="Verdana" w:cs="Verdana"/>
                <w:b/>
                <w:bCs/>
              </w:rPr>
              <w:t>Equipment:</w:t>
            </w:r>
            <w:r>
              <w:rPr/>
              <w:tab/>
              <w:tab/>
            </w:r>
            <w:r>
              <w:rPr>
                <w:rFonts w:eastAsia="Verdana" w:cs="Verdana"/>
              </w:rPr>
              <w:t>Assume responsibility for all equipment and materials issued.</w:t>
            </w:r>
          </w:p>
          <w:p>
            <w:pPr>
              <w:pStyle w:val="Normal"/>
              <w:suppressAutoHyphens w:val="true"/>
              <w:spacing w:before="120" w:after="200"/>
              <w:ind w:left="2127" w:right="0" w:hanging="2127"/>
              <w:rPr/>
            </w:pPr>
            <w:r>
              <w:rPr>
                <w:rFonts w:eastAsia="Verdana" w:cs="Verdana"/>
                <w:b/>
                <w:bCs/>
              </w:rPr>
              <w:t>Health &amp; Safety:</w:t>
            </w:r>
            <w:r>
              <w:rPr/>
              <w:tab/>
            </w:r>
            <w:r>
              <w:rPr>
                <w:rFonts w:eastAsia="Verdana" w:cs="Verdana"/>
              </w:rPr>
              <w:t>Health, safety and welfare of other members of staff to whom responsibilities have been allocated.</w:t>
            </w:r>
          </w:p>
          <w:p>
            <w:pPr>
              <w:pStyle w:val="Normal"/>
              <w:suppressAutoHyphens w:val="true"/>
              <w:spacing w:before="120" w:after="200"/>
              <w:ind w:left="2127" w:right="0" w:hanging="2127"/>
              <w:rPr/>
            </w:pPr>
            <w:r>
              <w:rPr>
                <w:rFonts w:eastAsia="Verdana" w:cs="Verdana"/>
                <w:b/>
                <w:bCs/>
              </w:rPr>
              <w:t xml:space="preserve">Personnel:           </w:t>
            </w:r>
            <w:r>
              <w:rPr>
                <w:rFonts w:eastAsia="Verdana" w:cs="Verdana"/>
              </w:rPr>
              <w:t>Directing and advising any member of staff assigned to him/her.</w:t>
            </w:r>
          </w:p>
          <w:p>
            <w:pPr>
              <w:pStyle w:val="Normal"/>
              <w:suppressAutoHyphens w:val="true"/>
              <w:spacing w:before="120" w:after="200"/>
              <w:ind w:left="2127" w:right="0" w:hanging="2127"/>
              <w:rPr/>
            </w:pPr>
            <w:r>
              <w:rPr>
                <w:rFonts w:eastAsia="Verdana" w:cs="Verdana"/>
                <w:b/>
                <w:bCs/>
              </w:rPr>
              <w:t xml:space="preserve">Financial:            </w:t>
            </w:r>
            <w:r>
              <w:rPr>
                <w:rFonts w:eastAsia="Verdana" w:cs="Verdana"/>
              </w:rPr>
              <w:t>Responsibility and accountability for appropriate use of the Council’s resources, delegated budget expenditure as directed by the Unit Manager – Trading Standards.</w:t>
            </w:r>
          </w:p>
        </w:tc>
      </w:tr>
      <w:tr>
        <w:trPr/>
        <w:tc>
          <w:tcPr>
            <w:tcW w:w="10466" w:type="dxa"/>
            <w:gridSpan w:val="2"/>
            <w:tcBorders>
              <w:top w:val="double" w:sz="4" w:space="0" w:color="000000"/>
              <w:left w:val="single" w:sz="4" w:space="0" w:color="000000"/>
              <w:bottom w:val="single" w:sz="4" w:space="0" w:color="000000"/>
              <w:right w:val="single" w:sz="4" w:space="0" w:color="000000"/>
            </w:tcBorders>
            <w:shd w:fill="auto" w:val="clear"/>
          </w:tcPr>
          <w:p>
            <w:pPr>
              <w:pStyle w:val="Normal"/>
              <w:spacing w:before="120" w:after="240"/>
              <w:rPr>
                <w:rFonts w:cs="Arial"/>
                <w:b/>
                <w:b/>
                <w:bCs/>
              </w:rPr>
            </w:pPr>
            <w:r>
              <w:rPr>
                <w:rFonts w:cs="Arial"/>
                <w:b/>
                <w:bCs/>
              </w:rPr>
              <w:t xml:space="preserve">Duties/Responsibilities: </w:t>
            </w:r>
          </w:p>
          <w:p>
            <w:pPr>
              <w:pStyle w:val="Normal"/>
              <w:widowControl w:val="false"/>
              <w:numPr>
                <w:ilvl w:val="0"/>
                <w:numId w:val="3"/>
              </w:numPr>
              <w:suppressAutoHyphens w:val="true"/>
              <w:spacing w:lineRule="auto" w:line="240" w:before="0" w:after="0"/>
              <w:rPr>
                <w:spacing w:val="-3"/>
              </w:rPr>
            </w:pPr>
            <w:r>
              <w:rPr>
                <w:spacing w:val="-3"/>
              </w:rPr>
              <w:t>Work independently in the field, often in a hostile and stressful environment.</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Investigate in response to complaints/service requests formulating appropriate action for non-compliance with relevant legislation.</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 xml:space="preserve">Carry out investigations. </w:t>
            </w:r>
          </w:p>
          <w:p>
            <w:pPr>
              <w:pStyle w:val="Normal"/>
              <w:widowControl w:val="false"/>
              <w:suppressAutoHyphens w:val="true"/>
              <w:spacing w:lineRule="auto" w:line="240" w:before="0" w:after="0"/>
              <w:rPr>
                <w:spacing w:val="-3"/>
              </w:rPr>
            </w:pPr>
            <w:r>
              <w:rPr>
                <w:spacing w:val="-3"/>
              </w:rPr>
            </w:r>
          </w:p>
          <w:p>
            <w:pPr>
              <w:pStyle w:val="ListParagraph"/>
              <w:numPr>
                <w:ilvl w:val="0"/>
                <w:numId w:val="3"/>
              </w:numPr>
              <w:suppressAutoHyphens w:val="true"/>
              <w:spacing w:before="90" w:after="0"/>
              <w:contextualSpacing/>
              <w:rPr>
                <w:rFonts w:ascii="Verdana" w:hAnsi="Verdana" w:cs="Verdana"/>
                <w:spacing w:val="-3"/>
                <w:sz w:val="22"/>
                <w:szCs w:val="22"/>
              </w:rPr>
            </w:pPr>
            <w:r>
              <w:rPr>
                <w:rFonts w:cs="Verdana" w:ascii="Verdana" w:hAnsi="Verdana"/>
                <w:spacing w:val="-3"/>
                <w:sz w:val="22"/>
                <w:szCs w:val="22"/>
              </w:rPr>
              <w:t>Provide education and awareness training to internal and external organisations.</w:t>
            </w:r>
          </w:p>
          <w:p>
            <w:pPr>
              <w:pStyle w:val="ListParagraph"/>
              <w:suppressAutoHyphens w:val="true"/>
              <w:spacing w:before="90" w:after="0"/>
              <w:ind w:left="0" w:right="0" w:hanging="0"/>
              <w:contextualSpacing/>
              <w:rPr>
                <w:rFonts w:ascii="Verdana" w:hAnsi="Verdana" w:cs="Verdana"/>
                <w:spacing w:val="-3"/>
                <w:sz w:val="22"/>
                <w:szCs w:val="22"/>
              </w:rPr>
            </w:pPr>
            <w:r>
              <w:rPr>
                <w:rFonts w:cs="Verdana" w:ascii="Verdana" w:hAnsi="Verdana"/>
                <w:spacing w:val="-3"/>
                <w:sz w:val="22"/>
                <w:szCs w:val="22"/>
              </w:rPr>
            </w:r>
          </w:p>
          <w:p>
            <w:pPr>
              <w:pStyle w:val="Normal"/>
              <w:widowControl w:val="false"/>
              <w:numPr>
                <w:ilvl w:val="0"/>
                <w:numId w:val="3"/>
              </w:numPr>
              <w:suppressAutoHyphens w:val="true"/>
              <w:spacing w:lineRule="auto" w:line="240" w:before="0" w:after="0"/>
              <w:rPr>
                <w:spacing w:val="-3"/>
              </w:rPr>
            </w:pPr>
            <w:r>
              <w:rPr>
                <w:spacing w:val="-3"/>
              </w:rPr>
              <w:t>Maintain and calibrate monitoring equipment and systems.</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Maintain statutory public registers.</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Maintain and update computerised information recording systems and carry out other administration duties relevant to the post.</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Deal with correspondence, telephone enquiries and personal callers to the office.</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Prepare all professional correspondence arising from the postholder’s duties.</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pPr>
            <w:r>
              <w:rPr>
                <w:spacing w:val="-3"/>
              </w:rPr>
              <w:t>Undertake personal training development in line with service requirements and professional CPPD, specifically to undertake further training and qualifications to become a qualified Trading Standards Officer. Professional training would be t</w:t>
            </w:r>
            <w:r>
              <w:rPr/>
              <w:t xml:space="preserve">o complete the L6 Degree tobacco and vapes Apprenticeship for a 29 month term (2 year with 5 months end point assessment) with the opportunity to further progress and undertake trading standards professional qualifications which may lead to a qualified trading standards job (subject to availability). </w:t>
            </w:r>
            <w:r>
              <w:rPr>
                <w:sz w:val="23"/>
                <w:szCs w:val="23"/>
              </w:rPr>
              <w:t>This may include attending off-site training as required.</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Carry out other duties including specific responsibility for a specialist area of knowledge at the direction of the manager.</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pacing w:lineRule="auto" w:line="240" w:before="0" w:after="0"/>
              <w:rPr/>
            </w:pPr>
            <w:r>
              <w:rPr/>
              <w:t>To assist Unit Manager, TSO’s and other Enforcement officers in the performance of their duties.</w:t>
            </w:r>
          </w:p>
          <w:p>
            <w:pPr>
              <w:pStyle w:val="ListParagraph"/>
              <w:rPr>
                <w:rFonts w:ascii="Verdana" w:hAnsi="Verdana" w:cs="Verdana"/>
                <w:sz w:val="22"/>
                <w:szCs w:val="22"/>
              </w:rPr>
            </w:pPr>
            <w:r>
              <w:rPr>
                <w:rFonts w:cs="Verdana" w:ascii="Verdana" w:hAnsi="Verdana"/>
                <w:sz w:val="22"/>
                <w:szCs w:val="22"/>
              </w:rPr>
            </w:r>
          </w:p>
          <w:p>
            <w:pPr>
              <w:pStyle w:val="Normal"/>
              <w:widowControl w:val="false"/>
              <w:spacing w:lineRule="auto" w:line="240" w:before="0" w:after="0"/>
              <w:rPr>
                <w:rFonts w:ascii="Verdana" w:hAnsi="Verdana" w:cs="Verdana"/>
                <w:sz w:val="22"/>
                <w:szCs w:val="22"/>
              </w:rPr>
            </w:pPr>
            <w:r>
              <w:rPr>
                <w:rFonts w:cs="Verdana"/>
                <w:sz w:val="22"/>
                <w:szCs w:val="22"/>
              </w:rPr>
            </w:r>
          </w:p>
          <w:p>
            <w:pPr>
              <w:pStyle w:val="Normal"/>
              <w:widowControl w:val="false"/>
              <w:numPr>
                <w:ilvl w:val="0"/>
                <w:numId w:val="3"/>
              </w:numPr>
              <w:suppressAutoHyphens w:val="true"/>
              <w:spacing w:lineRule="auto" w:line="240" w:before="0" w:after="0"/>
              <w:rPr>
                <w:spacing w:val="-3"/>
              </w:rPr>
            </w:pPr>
            <w:r>
              <w:rPr>
                <w:spacing w:val="-3"/>
              </w:rPr>
              <w:t>Use knowledge and communication skills to resolve conflict situations.</w:t>
            </w:r>
          </w:p>
          <w:p>
            <w:pPr>
              <w:pStyle w:val="Normal"/>
              <w:widowControl w:val="false"/>
              <w:numPr>
                <w:ilvl w:val="0"/>
                <w:numId w:val="3"/>
              </w:numPr>
              <w:suppressAutoHyphens w:val="true"/>
              <w:spacing w:lineRule="auto" w:line="240" w:before="0" w:after="0"/>
              <w:rPr>
                <w:spacing w:val="-3"/>
              </w:rPr>
            </w:pPr>
            <w:r>
              <w:rPr>
                <w:spacing w:val="-3"/>
              </w:rPr>
              <w:t>Issue advice and information based on the interpretation of current legislation and good practice.</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Carry out informal sampling, as determined by the Unit Manager or Senior Trading Standards Officer.</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Gather evidence for prosecution/enforcement purposes.</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Undertake formal PACE interviews.</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Attend Court, Tribunals and Public Inquiries as a witness.</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Liaise with outside bodies and organisations representing the Department and/or Council.</w:t>
            </w:r>
          </w:p>
          <w:p>
            <w:pPr>
              <w:pStyle w:val="ListParagraph"/>
              <w:rPr>
                <w:rFonts w:ascii="Verdana" w:hAnsi="Verdana" w:cs="Verdana"/>
                <w:spacing w:val="-3"/>
                <w:sz w:val="22"/>
                <w:szCs w:val="22"/>
              </w:rPr>
            </w:pPr>
            <w:r>
              <w:rPr>
                <w:rFonts w:cs="Verdana" w:ascii="Verdana" w:hAnsi="Verdana"/>
                <w:spacing w:val="-3"/>
                <w:sz w:val="22"/>
                <w:szCs w:val="22"/>
              </w:rPr>
            </w:r>
          </w:p>
          <w:p>
            <w:pPr>
              <w:pStyle w:val="Normal"/>
              <w:widowControl w:val="false"/>
              <w:numPr>
                <w:ilvl w:val="0"/>
                <w:numId w:val="3"/>
              </w:numPr>
              <w:suppressAutoHyphens w:val="true"/>
              <w:spacing w:lineRule="auto" w:line="240" w:before="0" w:after="0"/>
              <w:rPr>
                <w:spacing w:val="-3"/>
              </w:rPr>
            </w:pPr>
            <w:r>
              <w:rPr>
                <w:spacing w:val="-3"/>
              </w:rPr>
              <w:t>Undertake enforcement initiatives with support from the Unit Manager</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Prepare reports for internal and external consumption.</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To undertake work out of office hours as necessitated by service requirements.</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Carry out other duties including specific responsibility for a specialist area of knowledge at the direction of the manager.</w:t>
            </w:r>
          </w:p>
          <w:p>
            <w:pPr>
              <w:pStyle w:val="Normal"/>
              <w:widowControl w:val="false"/>
              <w:suppressAutoHyphens w:val="true"/>
              <w:spacing w:lineRule="auto" w:line="240" w:before="0" w:after="0"/>
              <w:rPr>
                <w:spacing w:val="-3"/>
              </w:rPr>
            </w:pPr>
            <w:r>
              <w:rPr>
                <w:spacing w:val="-3"/>
              </w:rPr>
            </w:r>
          </w:p>
          <w:p>
            <w:pPr>
              <w:pStyle w:val="Normal"/>
              <w:widowControl w:val="false"/>
              <w:numPr>
                <w:ilvl w:val="0"/>
                <w:numId w:val="3"/>
              </w:numPr>
              <w:suppressAutoHyphens w:val="true"/>
              <w:spacing w:lineRule="auto" w:line="240" w:before="0" w:after="0"/>
              <w:rPr>
                <w:spacing w:val="-3"/>
              </w:rPr>
            </w:pPr>
            <w:r>
              <w:rPr>
                <w:spacing w:val="-3"/>
              </w:rPr>
              <w:t>Promote the services, aims and image of the Department and Authority with all members of the community including organising and participating in exhibitions, campaigns and presentations.</w:t>
            </w:r>
          </w:p>
          <w:p>
            <w:pPr>
              <w:pStyle w:val="ListParagraph"/>
              <w:rPr>
                <w:rFonts w:ascii="Verdana" w:hAnsi="Verdana" w:cs="Verdana"/>
                <w:spacing w:val="-3"/>
                <w:sz w:val="22"/>
                <w:szCs w:val="22"/>
              </w:rPr>
            </w:pPr>
            <w:r>
              <w:rPr>
                <w:rFonts w:cs="Verdana" w:ascii="Verdana" w:hAnsi="Verdana"/>
                <w:spacing w:val="-3"/>
                <w:sz w:val="22"/>
                <w:szCs w:val="22"/>
              </w:rPr>
            </w:r>
          </w:p>
          <w:p>
            <w:pPr>
              <w:pStyle w:val="Normal"/>
              <w:widowControl w:val="false"/>
              <w:numPr>
                <w:ilvl w:val="0"/>
                <w:numId w:val="3"/>
              </w:numPr>
              <w:suppressAutoHyphens w:val="true"/>
              <w:spacing w:lineRule="auto" w:line="240" w:before="0" w:after="0"/>
              <w:rPr>
                <w:spacing w:val="-3"/>
              </w:rPr>
            </w:pPr>
            <w:r>
              <w:rPr>
                <w:spacing w:val="-3"/>
              </w:rPr>
              <w:t>To make test purchasing and seizures of goods, equipment and records as required.</w:t>
            </w:r>
          </w:p>
          <w:p>
            <w:pPr>
              <w:pStyle w:val="Normal"/>
              <w:spacing w:before="120" w:after="240"/>
              <w:rPr>
                <w:rFonts w:cs="Arial"/>
                <w:b/>
                <w:b/>
                <w:bCs/>
              </w:rPr>
            </w:pPr>
            <w:r>
              <w:rPr>
                <w:rFonts w:cs="Arial"/>
                <w:b/>
                <w:bCs/>
              </w:rPr>
            </w:r>
          </w:p>
          <w:p>
            <w:pPr>
              <w:pStyle w:val="Normal"/>
              <w:numPr>
                <w:ilvl w:val="0"/>
                <w:numId w:val="2"/>
              </w:numPr>
              <w:spacing w:before="120" w:after="240"/>
              <w:rPr>
                <w:rFonts w:cs="Arial"/>
              </w:rPr>
            </w:pPr>
            <w:r>
              <w:rPr>
                <w:rFonts w:cs="Arial"/>
              </w:rPr>
              <w:t>As an employee of Bury Council you have a responsibility for, and must be committed to, safeguarding and promoting the welfare of children, young people and vulnerable adults and for ensuring that they are protected from harm.</w:t>
            </w:r>
          </w:p>
          <w:p>
            <w:pPr>
              <w:pStyle w:val="Normal"/>
              <w:numPr>
                <w:ilvl w:val="0"/>
                <w:numId w:val="2"/>
              </w:numPr>
              <w:spacing w:before="120" w:after="240"/>
              <w:rPr>
                <w:rFonts w:cs="Arial"/>
              </w:rPr>
            </w:pPr>
            <w:r>
              <w:rPr>
                <w:rFonts w:cs="Arial"/>
              </w:rPr>
              <w:t>Bury Council is committed to equality, diversity and inclusion, and expects all staff to comply with its equality related policies/procedures, and to treat others with fairness and respect.</w:t>
            </w:r>
          </w:p>
          <w:p>
            <w:pPr>
              <w:pStyle w:val="Normal"/>
              <w:numPr>
                <w:ilvl w:val="0"/>
                <w:numId w:val="2"/>
              </w:numPr>
              <w:spacing w:before="120" w:after="240"/>
              <w:rPr>
                <w:rFonts w:cs="Arial"/>
              </w:rPr>
            </w:pPr>
            <w:r>
              <w:rPr>
                <w:rFonts w:cs="Arial"/>
              </w:rPr>
              <w:t>The post holder is responsible for Employees Duties as specified with the Corporate and Departmental Health and Safety Policies.</w:t>
            </w:r>
          </w:p>
          <w:p>
            <w:pPr>
              <w:pStyle w:val="Normal"/>
              <w:numPr>
                <w:ilvl w:val="0"/>
                <w:numId w:val="2"/>
              </w:numPr>
              <w:spacing w:before="120" w:after="240"/>
              <w:rPr>
                <w:rFonts w:cs="Arial"/>
              </w:rPr>
            </w:pPr>
            <w:r>
              <w:rPr>
                <w:rFonts w:cs="Arial"/>
              </w:rPr>
              <w:t>As an employee of Bury Council you should contribute to a culture that values and supports the physical and emotional wellbeing of your colleagues.</w:t>
            </w:r>
          </w:p>
          <w:p>
            <w:pPr>
              <w:pStyle w:val="Normal"/>
              <w:numPr>
                <w:ilvl w:val="0"/>
                <w:numId w:val="2"/>
              </w:numPr>
              <w:spacing w:before="120" w:after="240"/>
              <w:rPr>
                <w:rFonts w:cs="Arial"/>
              </w:rPr>
            </w:pPr>
            <w:r>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trPr/>
        <w:tc>
          <w:tcPr>
            <w:tcW w:w="1046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120" w:after="240"/>
              <w:rPr>
                <w:rFonts w:cs="Arial"/>
              </w:rPr>
            </w:pPr>
            <w:r>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bl>
    <w:p>
      <w:pPr>
        <w:pStyle w:val="Normal"/>
        <w:spacing w:before="0" w:after="0"/>
        <w:rPr>
          <w:vanish/>
        </w:rPr>
      </w:pPr>
      <w:r>
        <w:rPr>
          <w:vanish/>
        </w:rPr>
      </w:r>
    </w:p>
    <w:tbl>
      <w:tblPr>
        <w:tblW w:w="5000" w:type="pct"/>
        <w:jc w:val="left"/>
        <w:tblInd w:w="0" w:type="dxa"/>
        <w:tblCellMar>
          <w:top w:w="0" w:type="dxa"/>
          <w:left w:w="108" w:type="dxa"/>
          <w:bottom w:w="0" w:type="dxa"/>
          <w:right w:w="108" w:type="dxa"/>
        </w:tblCellMar>
      </w:tblPr>
      <w:tblGrid>
        <w:gridCol w:w="4428"/>
        <w:gridCol w:w="3434"/>
        <w:gridCol w:w="2604"/>
      </w:tblGrid>
      <w:tr>
        <w:trPr>
          <w:trHeight w:val="240" w:hRule="atLeast"/>
          <w:cantSplit w:val="true"/>
        </w:trPr>
        <w:tc>
          <w:tcPr>
            <w:tcW w:w="4428" w:type="dxa"/>
            <w:tcBorders>
              <w:top w:val="sing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Job Description prepared by:</w:t>
            </w:r>
          </w:p>
          <w:p>
            <w:pPr>
              <w:pStyle w:val="Normal"/>
              <w:spacing w:before="90" w:after="54"/>
              <w:rPr/>
            </w:pPr>
            <w:r>
              <w:rPr/>
              <w:t>Chris Smith</w:t>
            </w:r>
          </w:p>
          <w:p>
            <w:pPr>
              <w:pStyle w:val="Normal"/>
              <w:spacing w:before="90" w:after="54"/>
              <w:rPr/>
            </w:pPr>
            <w:r>
              <w:rPr/>
              <w:t>Head of Public Protection Service</w:t>
            </w:r>
          </w:p>
        </w:tc>
        <w:tc>
          <w:tcPr>
            <w:tcW w:w="3434" w:type="dxa"/>
            <w:tcBorders>
              <w:top w:val="sing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 xml:space="preserve">Sign: </w:t>
            </w:r>
          </w:p>
          <w:p>
            <w:pPr>
              <w:pStyle w:val="Normal"/>
              <w:spacing w:before="120" w:after="120"/>
              <w:rPr>
                <w:rFonts w:cs="Arial"/>
                <w:b/>
                <w:b/>
              </w:rPr>
            </w:pPr>
            <w:r>
              <w:rPr/>
              <w:drawing>
                <wp:inline distT="0" distB="0" distL="0" distR="0">
                  <wp:extent cx="1420495" cy="6032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5" t="-60" r="-25" b="-60"/>
                          <a:stretch>
                            <a:fillRect/>
                          </a:stretch>
                        </pic:blipFill>
                        <pic:spPr bwMode="auto">
                          <a:xfrm>
                            <a:off x="0" y="0"/>
                            <a:ext cx="1420495" cy="603250"/>
                          </a:xfrm>
                          <a:prstGeom prst="rect">
                            <a:avLst/>
                          </a:prstGeom>
                        </pic:spPr>
                      </pic:pic>
                    </a:graphicData>
                  </a:graphic>
                </wp:inline>
              </w:drawing>
            </w:r>
          </w:p>
        </w:tc>
        <w:tc>
          <w:tcPr>
            <w:tcW w:w="2604"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p>
            <w:pPr>
              <w:pStyle w:val="Normal"/>
              <w:spacing w:before="120" w:after="120"/>
              <w:rPr/>
            </w:pPr>
            <w:r>
              <w:rPr>
                <w:rFonts w:cs="Arial"/>
                <w:bCs/>
              </w:rPr>
              <w:t>24</w:t>
            </w:r>
            <w:r>
              <w:rPr>
                <w:rFonts w:cs="Arial"/>
                <w:bCs/>
                <w:vertAlign w:val="superscript"/>
              </w:rPr>
              <w:t>th</w:t>
            </w:r>
            <w:r>
              <w:rPr>
                <w:rFonts w:cs="Arial"/>
                <w:bCs/>
              </w:rPr>
              <w:t xml:space="preserve"> January 2025</w:t>
            </w:r>
          </w:p>
        </w:tc>
      </w:tr>
      <w:tr>
        <w:trPr>
          <w:trHeight w:val="240" w:hRule="atLeast"/>
          <w:cantSplit w:val="true"/>
        </w:trPr>
        <w:tc>
          <w:tcPr>
            <w:tcW w:w="4428" w:type="dxa"/>
            <w:tcBorders>
              <w:top w:val="doub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 xml:space="preserve">Agreed correct by Postholder: </w:t>
            </w:r>
          </w:p>
        </w:tc>
        <w:tc>
          <w:tcPr>
            <w:tcW w:w="3434" w:type="dxa"/>
            <w:tcBorders>
              <w:top w:val="doub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single" w:sz="6" w:space="0" w:color="000000"/>
            </w:tcBorders>
            <w:shd w:fill="auto" w:val="clear"/>
          </w:tcPr>
          <w:p>
            <w:pPr>
              <w:pStyle w:val="Normal"/>
              <w:spacing w:before="120" w:after="120"/>
              <w:rPr>
                <w:rFonts w:cs="Arial"/>
                <w:b/>
                <w:b/>
              </w:rPr>
            </w:pPr>
            <w:r>
              <w:rPr>
                <w:rFonts w:cs="Arial"/>
                <w:b/>
              </w:rPr>
              <w:t>Agreed correct by Supervisor/Manager:</w:t>
            </w:r>
          </w:p>
        </w:tc>
        <w:tc>
          <w:tcPr>
            <w:tcW w:w="3434" w:type="dxa"/>
            <w:tcBorders>
              <w:top w:val="double" w:sz="6" w:space="0" w:color="000000"/>
              <w:left w:val="double" w:sz="6" w:space="0" w:color="000000"/>
              <w:bottom w:val="sing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cs="Arial"/>
                <w:b/>
                <w:b/>
              </w:rPr>
            </w:pPr>
            <w:r>
              <w:rPr>
                <w:rFonts w:cs="Arial"/>
                <w:b/>
              </w:rPr>
              <w:t>Date:</w:t>
            </w:r>
          </w:p>
        </w:tc>
      </w:tr>
    </w:tbl>
    <w:p>
      <w:pPr>
        <w:pStyle w:val="Normal"/>
        <w:rPr>
          <w:b/>
          <w:b/>
        </w:rPr>
      </w:pPr>
      <w:r>
        <w:rPr>
          <w:b/>
        </w:rPr>
      </w:r>
    </w:p>
    <w:p>
      <w:pPr>
        <w:pStyle w:val="Normal"/>
        <w:rPr>
          <w:b/>
          <w:b/>
        </w:rPr>
      </w:pPr>
      <w:r>
        <w:rPr>
          <w:b/>
        </w:rPr>
      </w:r>
    </w:p>
    <w:p>
      <w:pPr>
        <w:pStyle w:val="Normal"/>
        <w:rPr/>
      </w:pPr>
      <w:r>
        <w:rPr/>
      </w:r>
      <w:r>
        <w:br w:type="page"/>
      </w:r>
    </w:p>
    <w:p>
      <w:pPr>
        <w:pStyle w:val="Normal"/>
        <w:ind w:left="7200" w:right="0" w:firstLine="720"/>
        <w:rPr>
          <w:b/>
          <w:b/>
        </w:rPr>
      </w:pPr>
      <w:r>
        <w:rPr/>
        <w:drawing>
          <wp:inline distT="0" distB="0" distL="0" distR="0">
            <wp:extent cx="1526540" cy="77216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4" t="-47" r="-24" b="-47"/>
                    <a:stretch>
                      <a:fillRect/>
                    </a:stretch>
                  </pic:blipFill>
                  <pic:spPr bwMode="auto">
                    <a:xfrm>
                      <a:off x="0" y="0"/>
                      <a:ext cx="1526540" cy="772160"/>
                    </a:xfrm>
                    <a:prstGeom prst="rect">
                      <a:avLst/>
                    </a:prstGeom>
                  </pic:spPr>
                </pic:pic>
              </a:graphicData>
            </a:graphic>
          </wp:inline>
        </w:drawing>
      </w:r>
    </w:p>
    <w:p>
      <w:pPr>
        <w:pStyle w:val="Normal"/>
        <w:jc w:val="center"/>
        <w:rPr>
          <w:b/>
          <w:b/>
        </w:rPr>
      </w:pPr>
      <w:r>
        <w:rPr>
          <w:b/>
        </w:rPr>
        <w:t>DEPARTMENT FOR CORPORATE CORE</w:t>
      </w:r>
    </w:p>
    <w:p>
      <w:pPr>
        <w:pStyle w:val="Normal"/>
        <w:jc w:val="center"/>
        <w:rPr>
          <w:b/>
          <w:b/>
        </w:rPr>
      </w:pPr>
      <w:r>
        <w:rPr>
          <w:b/>
        </w:rPr>
        <w:t>TRAINEE TRADING STANDARDS OFFICER</w:t>
      </w:r>
    </w:p>
    <w:p>
      <w:pPr>
        <w:pStyle w:val="Normal"/>
        <w:jc w:val="center"/>
        <w:rPr>
          <w:b/>
          <w:b/>
        </w:rPr>
      </w:pPr>
      <w:r>
        <w:rPr>
          <w:b/>
        </w:rPr>
      </w:r>
    </w:p>
    <w:tbl>
      <w:tblPr>
        <w:tblW w:w="10467" w:type="dxa"/>
        <w:jc w:val="left"/>
        <w:tblInd w:w="0" w:type="dxa"/>
        <w:tblCellMar>
          <w:top w:w="0" w:type="dxa"/>
          <w:left w:w="108" w:type="dxa"/>
          <w:bottom w:w="0" w:type="dxa"/>
          <w:right w:w="108" w:type="dxa"/>
        </w:tblCellMar>
      </w:tblPr>
      <w:tblGrid>
        <w:gridCol w:w="6981"/>
        <w:gridCol w:w="1697"/>
        <w:gridCol w:w="1789"/>
      </w:tblGrid>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b/>
                <w:b/>
              </w:rPr>
            </w:pPr>
            <w:r>
              <w:rPr>
                <w:b/>
              </w:rPr>
              <w:t>SHORT LISTING CRITERIA</w:t>
            </w:r>
          </w:p>
        </w:tc>
        <w:tc>
          <w:tcPr>
            <w:tcW w:w="1697"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b/>
                <w:b/>
              </w:rPr>
            </w:pPr>
            <w:r>
              <w:rPr>
                <w:b/>
              </w:rPr>
              <w:t>ESSENTIAL</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b/>
                <w:b/>
              </w:rPr>
            </w:pPr>
            <w:r>
              <w:rPr>
                <w:b/>
              </w:rPr>
              <w:t>DESIRABLE</w:t>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 xml:space="preserve">A recognised qualification in Regulatory Matters or equivalent subject matter e.g. Level 4 Regulatory Compliance Officer Apprenticeship qualification.  </w:t>
            </w:r>
          </w:p>
        </w:tc>
        <w:tc>
          <w:tcPr>
            <w:tcW w:w="1697"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
          </w:p>
        </w:tc>
      </w:tr>
      <w:tr>
        <w:trPr>
          <w:trHeight w:val="963" w:hRule="atLeast"/>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Willing to work towards the relevant qualification or equivalent to become a qualified Trading Standards Officer</w:t>
            </w:r>
          </w:p>
        </w:tc>
        <w:tc>
          <w:tcPr>
            <w:tcW w:w="1697"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Ability to communicate effectively verbally, in writing and face to face with the public, businesses, staff and management (face to face, telephone, emails, reports and letters)</w:t>
            </w:r>
          </w:p>
        </w:tc>
        <w:tc>
          <w:tcPr>
            <w:tcW w:w="1697"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 xml:space="preserve">Knowledge of current legislation relating to trading standards work inc food, safety, and weights and measures. </w:t>
            </w:r>
          </w:p>
        </w:tc>
        <w:tc>
          <w:tcPr>
            <w:tcW w:w="1697" w:type="dxa"/>
            <w:tcBorders>
              <w:top w:val="single" w:sz="4" w:space="0" w:color="000000"/>
              <w:left w:val="single" w:sz="4" w:space="0" w:color="000000"/>
              <w:bottom w:val="single" w:sz="4" w:space="0" w:color="000000"/>
            </w:tcBorders>
            <w:shd w:fill="auto" w:val="clear"/>
          </w:tcPr>
          <w:p>
            <w:pPr>
              <w:pStyle w:val="Normal"/>
              <w:snapToGrid w:val="false"/>
              <w:spacing w:before="0" w:after="200"/>
              <w:jc w:val="center"/>
              <w:rPr/>
            </w:pPr>
            <w:r>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Knowledge of legislation in relation to trading standards</w:t>
            </w:r>
          </w:p>
        </w:tc>
        <w:tc>
          <w:tcPr>
            <w:tcW w:w="1697"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Experience of full range of related trading standards investigation and enforcement, and provision of advice to businesses and the public.</w:t>
            </w:r>
          </w:p>
        </w:tc>
        <w:tc>
          <w:tcPr>
            <w:tcW w:w="1697" w:type="dxa"/>
            <w:tcBorders>
              <w:top w:val="single" w:sz="4" w:space="0" w:color="000000"/>
              <w:left w:val="single" w:sz="4" w:space="0" w:color="000000"/>
              <w:bottom w:val="single" w:sz="4" w:space="0" w:color="000000"/>
            </w:tcBorders>
            <w:shd w:fill="auto" w:val="clear"/>
          </w:tcPr>
          <w:p>
            <w:pPr>
              <w:pStyle w:val="Normal"/>
              <w:snapToGrid w:val="false"/>
              <w:spacing w:before="0" w:after="200"/>
              <w:jc w:val="center"/>
              <w:rPr/>
            </w:pPr>
            <w:r>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Experience of working in occasionally confronted situations, ability to deal with difficult situations sensitively but assertively.</w:t>
            </w:r>
          </w:p>
        </w:tc>
        <w:tc>
          <w:tcPr>
            <w:tcW w:w="1697"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 xml:space="preserve">Experience of delivering high standards of customer care </w:t>
            </w:r>
          </w:p>
        </w:tc>
        <w:tc>
          <w:tcPr>
            <w:tcW w:w="1697"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 xml:space="preserve">Evidence of a proven track record of working effectively with partners and stakeholders </w:t>
            </w:r>
          </w:p>
        </w:tc>
        <w:tc>
          <w:tcPr>
            <w:tcW w:w="1697"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 xml:space="preserve">Evidence of the resolution of complaints/case management and/or effective investigation </w:t>
            </w:r>
          </w:p>
        </w:tc>
        <w:tc>
          <w:tcPr>
            <w:tcW w:w="1697" w:type="dxa"/>
            <w:tcBorders>
              <w:top w:val="single" w:sz="4" w:space="0" w:color="000000"/>
              <w:left w:val="single" w:sz="4" w:space="0" w:color="000000"/>
              <w:bottom w:val="single" w:sz="4" w:space="0" w:color="000000"/>
            </w:tcBorders>
            <w:shd w:fill="auto" w:val="clear"/>
          </w:tcPr>
          <w:p>
            <w:pPr>
              <w:pStyle w:val="Normal"/>
              <w:snapToGrid w:val="false"/>
              <w:spacing w:before="0" w:after="200"/>
              <w:jc w:val="center"/>
              <w:rPr/>
            </w:pPr>
            <w:r>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 xml:space="preserve">Experience of handling and protecting sensitive and confidential information  </w:t>
            </w:r>
          </w:p>
        </w:tc>
        <w:tc>
          <w:tcPr>
            <w:tcW w:w="1697"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Relevant experience of working with Information Management Systems</w:t>
            </w:r>
          </w:p>
        </w:tc>
        <w:tc>
          <w:tcPr>
            <w:tcW w:w="1697"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 xml:space="preserve">Knowledge of issues of enforcement and preparation and service of statutory notices </w:t>
            </w:r>
          </w:p>
        </w:tc>
        <w:tc>
          <w:tcPr>
            <w:tcW w:w="1697"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Good ICT skills</w:t>
            </w:r>
          </w:p>
        </w:tc>
        <w:tc>
          <w:tcPr>
            <w:tcW w:w="1697"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Experience in the use of Civica APP/IDOX software</w:t>
            </w:r>
          </w:p>
        </w:tc>
        <w:tc>
          <w:tcPr>
            <w:tcW w:w="1697" w:type="dxa"/>
            <w:tcBorders>
              <w:top w:val="single" w:sz="4" w:space="0" w:color="000000"/>
              <w:left w:val="single" w:sz="4" w:space="0" w:color="000000"/>
              <w:bottom w:val="single" w:sz="4" w:space="0" w:color="000000"/>
            </w:tcBorders>
            <w:shd w:fill="auto" w:val="clear"/>
          </w:tcPr>
          <w:p>
            <w:pPr>
              <w:pStyle w:val="Normal"/>
              <w:snapToGrid w:val="false"/>
              <w:spacing w:before="0" w:after="200"/>
              <w:jc w:val="center"/>
              <w:rPr/>
            </w:pPr>
            <w:r>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Experience in taking licence reviews and making representations.</w:t>
            </w:r>
          </w:p>
        </w:tc>
        <w:tc>
          <w:tcPr>
            <w:tcW w:w="1697" w:type="dxa"/>
            <w:tcBorders>
              <w:top w:val="single" w:sz="4" w:space="0" w:color="000000"/>
              <w:left w:val="single" w:sz="4" w:space="0" w:color="000000"/>
              <w:bottom w:val="single" w:sz="4" w:space="0" w:color="000000"/>
            </w:tcBorders>
            <w:shd w:fill="auto" w:val="clear"/>
          </w:tcPr>
          <w:p>
            <w:pPr>
              <w:pStyle w:val="Normal"/>
              <w:snapToGrid w:val="false"/>
              <w:spacing w:before="0" w:after="200"/>
              <w:jc w:val="center"/>
              <w:rPr/>
            </w:pPr>
            <w:r>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Current driving licence and access to a car</w:t>
            </w:r>
          </w:p>
        </w:tc>
        <w:tc>
          <w:tcPr>
            <w:tcW w:w="1697"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Willing and able to undertake some work outside normal office hours</w:t>
            </w:r>
          </w:p>
        </w:tc>
        <w:tc>
          <w:tcPr>
            <w:tcW w:w="1697" w:type="dxa"/>
            <w:tcBorders>
              <w:top w:val="single" w:sz="4" w:space="0" w:color="000000"/>
              <w:left w:val="single" w:sz="4" w:space="0" w:color="000000"/>
              <w:bottom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jc w:val="center"/>
              <w:rPr/>
            </w:pPr>
            <w:r>
              <w:rPr/>
            </w:r>
          </w:p>
        </w:tc>
      </w:tr>
      <w:tr>
        <w:trPr/>
        <w:tc>
          <w:tcPr>
            <w:tcW w:w="698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pPr>
            <w:r>
              <w:rPr/>
              <w:t>Experience of promotional work with other agencies</w:t>
            </w:r>
          </w:p>
        </w:tc>
        <w:tc>
          <w:tcPr>
            <w:tcW w:w="1697" w:type="dxa"/>
            <w:tcBorders>
              <w:top w:val="single" w:sz="4" w:space="0" w:color="000000"/>
              <w:left w:val="single" w:sz="4" w:space="0" w:color="000000"/>
              <w:bottom w:val="single" w:sz="4" w:space="0" w:color="000000"/>
            </w:tcBorders>
            <w:shd w:fill="auto" w:val="clear"/>
          </w:tcPr>
          <w:p>
            <w:pPr>
              <w:pStyle w:val="Normal"/>
              <w:snapToGrid w:val="false"/>
              <w:spacing w:before="0" w:after="200"/>
              <w:jc w:val="center"/>
              <w:rPr/>
            </w:pPr>
            <w:r>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ü</w:t>
            </w:r>
          </w:p>
        </w:tc>
      </w:tr>
    </w:tbl>
    <w:p>
      <w:pPr>
        <w:pStyle w:val="Normal"/>
        <w:rPr>
          <w:rFonts w:cs="Arial"/>
          <w:b/>
          <w:b/>
        </w:rPr>
      </w:pPr>
      <w:r>
        <w:rPr>
          <w:rFonts w:cs="Arial"/>
          <w:b/>
        </w:rPr>
      </w:r>
    </w:p>
    <w:p>
      <w:pPr>
        <w:pStyle w:val="Normal"/>
        <w:rPr>
          <w:rFonts w:cs="Arial"/>
          <w:b/>
          <w:b/>
        </w:rPr>
      </w:pPr>
      <w:r>
        <w:rPr>
          <w:rFonts w:cs="Arial"/>
          <w:b/>
        </w:rPr>
        <w:t>CRITERIA FOR INTERVIEW AND OTHER ASSESSMENT METHODS</w:t>
      </w:r>
    </w:p>
    <w:p>
      <w:pPr>
        <w:pStyle w:val="Normal"/>
        <w:rPr>
          <w:rFonts w:cs="Arial"/>
          <w:b/>
          <w:b/>
        </w:rPr>
      </w:pPr>
      <w:r>
        <w:rPr>
          <w:rFonts w:cs="Arial"/>
          <w:b/>
        </w:rPr>
        <w:t>The short-listing criteria listed plus the following:</w:t>
      </w:r>
    </w:p>
    <w:tbl>
      <w:tblPr>
        <w:tblW w:w="5000" w:type="pct"/>
        <w:jc w:val="left"/>
        <w:tblInd w:w="0" w:type="dxa"/>
        <w:tblCellMar>
          <w:top w:w="0" w:type="dxa"/>
          <w:left w:w="108" w:type="dxa"/>
          <w:bottom w:w="0" w:type="dxa"/>
          <w:right w:w="108" w:type="dxa"/>
        </w:tblCellMar>
      </w:tblPr>
      <w:tblGrid>
        <w:gridCol w:w="2283"/>
        <w:gridCol w:w="8183"/>
      </w:tblGrid>
      <w:tr>
        <w:trPr>
          <w:trHeight w:val="345"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b/>
                <w:b/>
              </w:rPr>
            </w:pPr>
            <w:r>
              <w:rPr>
                <w:b/>
              </w:rPr>
              <w:t>ASSESSMENT</w:t>
            </w:r>
          </w:p>
          <w:p>
            <w:pPr>
              <w:pStyle w:val="Normal"/>
              <w:spacing w:lineRule="auto" w:line="240" w:before="0" w:after="0"/>
              <w:rPr>
                <w:b/>
                <w:b/>
              </w:rPr>
            </w:pPr>
            <w:r>
              <w:rPr>
                <w:b/>
              </w:rPr>
              <w:t>METHOD</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b/>
                <w:b/>
              </w:rPr>
            </w:pPr>
            <w:r>
              <w:rPr>
                <w:b/>
              </w:rPr>
              <w:t>CRITERIA</w:t>
            </w:r>
          </w:p>
        </w:tc>
      </w:tr>
      <w:tr>
        <w:trPr>
          <w:trHeight w:val="567" w:hRule="atLeast"/>
          <w:cantSplit w:val="true"/>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pPr>
            <w:r>
              <w:rPr/>
              <w:t>Interview</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200"/>
              <w:rPr>
                <w:bCs/>
              </w:rPr>
            </w:pPr>
            <w:r>
              <w:rPr>
                <w:bCs/>
              </w:rPr>
              <w:t xml:space="preserve">Ability to prioritise workloads effectively </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pPr>
            <w:r>
              <w:rPr/>
              <w:t>Interview</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200"/>
              <w:rPr>
                <w:bCs/>
              </w:rPr>
            </w:pPr>
            <w:r>
              <w:rPr>
                <w:bCs/>
              </w:rPr>
              <w:t>Ability to carry out effective investigations following requests for service and statutory notifications.</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pPr>
            <w:r>
              <w:rPr/>
              <w:t>Interview</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bCs/>
              </w:rPr>
            </w:pPr>
            <w:r>
              <w:rPr>
                <w:bCs/>
              </w:rPr>
              <w:t xml:space="preserve">Ability and knowledge of proportionate use of enforcement options when dealing with trading standards work. </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pPr>
            <w:r>
              <w:rPr/>
              <w:t>Interview</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bCs/>
              </w:rPr>
            </w:pPr>
            <w:r>
              <w:rPr>
                <w:bCs/>
              </w:rPr>
              <w:t>Willingness to undertake appropriate training and development in order to meet any requirements of the post.</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pPr>
            <w:r>
              <w:rPr/>
              <w:t>Interview</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bCs/>
              </w:rPr>
            </w:pPr>
            <w:r>
              <w:rPr>
                <w:bCs/>
              </w:rPr>
              <w:t>Prepared to work outside normal office hours in line with service requirements.</w:t>
            </w:r>
          </w:p>
        </w:tc>
      </w:tr>
    </w:tbl>
    <w:p>
      <w:pPr>
        <w:pStyle w:val="Normal"/>
        <w:widowControl/>
        <w:bidi w:val="0"/>
        <w:spacing w:lineRule="auto" w:line="276" w:before="0" w:after="200"/>
        <w:jc w:val="left"/>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Franklin Gothic Dem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Univers">
    <w:charset w:val="00"/>
    <w:family w:val="swiss"/>
    <w:pitch w:val="variable"/>
  </w:font>
  <w:font w:name="Wingding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suff w:val="space"/>
      <w:lvlText w:val=""/>
      <w:lvlJc w:val="left"/>
      <w:pPr>
        <w:ind w:left="0" w:hanging="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decimal"/>
      <w:suff w:val="space"/>
      <w:lvlText w:val="%1."/>
      <w:lvlJc w:val="left"/>
      <w:pPr>
        <w:ind w:left="0" w:hanging="0"/>
      </w:pPr>
      <w:rPr>
        <w:sz w:val="23"/>
        <w:szCs w:val="23"/>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erdana"/>
      <w:color w:val="auto"/>
      <w:kern w:val="0"/>
      <w:sz w:val="22"/>
      <w:szCs w:val="22"/>
      <w:lang w:val="en-GB" w:eastAsia="en-US" w:bidi="ar-SA"/>
    </w:rPr>
  </w:style>
  <w:style w:type="paragraph" w:styleId="Heading3">
    <w:name w:val="Heading 3"/>
    <w:basedOn w:val="Normal"/>
    <w:next w:val="Normal"/>
    <w:qFormat/>
    <w:pPr>
      <w:keepNext w:val="true"/>
      <w:keepLines/>
      <w:numPr>
        <w:ilvl w:val="2"/>
        <w:numId w:val="1"/>
      </w:numPr>
      <w:spacing w:before="200" w:after="0"/>
      <w:outlineLvl w:val="2"/>
    </w:pPr>
    <w:rPr>
      <w:rFonts w:ascii="Franklin Gothic Demi" w:hAnsi="Franklin Gothic Demi" w:eastAsia="Times New Roman" w:cs="Franklin Gothic Demi"/>
      <w:bCs/>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z w:val="23"/>
      <w:szCs w:val="23"/>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3Char">
    <w:name w:val="Heading 3 Char"/>
    <w:qFormat/>
    <w:rPr>
      <w:rFonts w:ascii="Franklin Gothic Demi" w:hAnsi="Franklin Gothic Demi" w:eastAsia="Times New Roman" w:cs="Vrinda"/>
      <w:bCs/>
      <w:sz w:val="24"/>
      <w:szCs w:val="24"/>
    </w:rPr>
  </w:style>
  <w:style w:type="character" w:styleId="BalloonTextChar">
    <w:name w:val="Balloon Text Char"/>
    <w:qFormat/>
    <w:rPr>
      <w:rFonts w:ascii="Tahoma" w:hAnsi="Tahoma" w:eastAsia="Calibri"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sonospacing">
    <w:name w:val="msonospacing"/>
    <w:basedOn w:val="Normal"/>
    <w:qFormat/>
    <w:pPr>
      <w:spacing w:lineRule="auto" w:line="240" w:before="0" w:after="0"/>
    </w:pPr>
    <w:rPr>
      <w:rFonts w:ascii="Calibri" w:hAnsi="Calibri" w:cs="Calibri"/>
      <w:lang w:eastAsia="en-GB"/>
    </w:rPr>
  </w:style>
  <w:style w:type="paragraph" w:styleId="ListParagraph">
    <w:name w:val="List Paragraph"/>
    <w:basedOn w:val="Normal"/>
    <w:qFormat/>
    <w:pPr>
      <w:widowControl w:val="false"/>
      <w:spacing w:lineRule="auto" w:line="240" w:before="0" w:after="0"/>
      <w:ind w:left="720" w:right="0" w:hanging="0"/>
      <w:contextualSpacing/>
    </w:pPr>
    <w:rPr>
      <w:rFonts w:ascii="Univers" w:hAnsi="Univers" w:eastAsia="Times New Roman" w:cs="Times New Roman"/>
      <w:sz w:val="24"/>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226</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2025-07-07T14:26:00Z</dcterms:created>
  <dc:creator>Bury Council</dc:creator>
  <dc:description>Appendix 1 - Job Description &amp; Person Specification WORD Template (with stmts as amended 10.16))</dc:description>
  <dc:language>en-US</dc:language>
  <cp:lastModifiedBy>Halligan, Kelly J</cp:lastModifiedBy>
  <cp:lastPrinted>1995-11-21T17:41:00Z</cp:lastPrinted>
  <dcterms:modified xsi:type="dcterms:W3CDTF">2026-04-13T13:25:00Z</dcterms:modified>
  <cp:revision>9</cp:revision>
  <dc:subject/>
  <dc:title>Appendix 1 - Job Description &amp; Person Specification WORD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DocSecurity">
    <vt:i4>0</vt:i4>
  </property>
  <property fmtid="{D5CDD505-2E9C-101B-9397-08002B2CF9AE}" pid="5" name="GrammarlyDocumentId">
    <vt:lpwstr>1b03e0d6-9996-48bc-936d-19c3d671c888</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