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200" w:right="0" w:firstLine="720"/>
        <w:rPr>
          <w:rFonts w:ascii="Verdana" w:hAnsi="Verdana" w:cs="Verdana"/>
          <w:sz w:val="22"/>
          <w:szCs w:val="22"/>
        </w:rPr>
      </w:pPr>
      <w:r>
        <w:rPr/>
        <w:drawing>
          <wp:inline distT="0" distB="0" distL="0" distR="0">
            <wp:extent cx="1485900" cy="6096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85900" cy="609600"/>
                    </a:xfrm>
                    <a:prstGeom prst="rect">
                      <a:avLst/>
                    </a:prstGeom>
                  </pic:spPr>
                </pic:pic>
              </a:graphicData>
            </a:graphic>
          </wp:inline>
        </w:drawing>
      </w:r>
    </w:p>
    <w:p>
      <w:pPr>
        <w:pStyle w:val="Normal"/>
        <w:rPr>
          <w:rFonts w:ascii="Verdana" w:hAnsi="Verdana" w:cs="Verdana"/>
          <w:sz w:val="22"/>
          <w:szCs w:val="22"/>
        </w:rPr>
      </w:pPr>
      <w:r>
        <w:rPr>
          <w:rFonts w:cs="Verdana" w:ascii="Verdana" w:hAnsi="Verdana"/>
          <w:sz w:val="22"/>
          <w:szCs w:val="22"/>
        </w:rPr>
      </w:r>
    </w:p>
    <w:p>
      <w:pPr>
        <w:pStyle w:val="Normal"/>
        <w:jc w:val="center"/>
        <w:rPr>
          <w:rFonts w:ascii="Verdana" w:hAnsi="Verdana" w:cs="Verdana"/>
          <w:b/>
          <w:b/>
          <w:sz w:val="22"/>
          <w:szCs w:val="22"/>
        </w:rPr>
      </w:pPr>
      <w:r>
        <w:rPr>
          <w:rFonts w:cs="Verdana" w:ascii="Verdana" w:hAnsi="Verdana"/>
          <w:b/>
          <w:sz w:val="22"/>
          <w:szCs w:val="22"/>
        </w:rPr>
        <w:t>JOB DESCRIPTION</w:t>
      </w:r>
    </w:p>
    <w:p>
      <w:pPr>
        <w:pStyle w:val="Normal"/>
        <w:jc w:val="center"/>
        <w:rPr>
          <w:rFonts w:ascii="Verdana" w:hAnsi="Verdana" w:cs="Verdana"/>
          <w:b/>
          <w:b/>
          <w:sz w:val="22"/>
          <w:szCs w:val="22"/>
        </w:rPr>
      </w:pPr>
      <w:r>
        <w:rPr>
          <w:rFonts w:cs="Verdana" w:ascii="Verdana" w:hAnsi="Verdana"/>
          <w:b/>
          <w:sz w:val="22"/>
          <w:szCs w:val="22"/>
        </w:rPr>
      </w:r>
    </w:p>
    <w:tbl>
      <w:tblPr>
        <w:tblW w:w="10146" w:type="dxa"/>
        <w:jc w:val="left"/>
        <w:tblInd w:w="-34" w:type="dxa"/>
        <w:tblCellMar>
          <w:top w:w="0" w:type="dxa"/>
          <w:left w:w="108" w:type="dxa"/>
          <w:bottom w:w="0" w:type="dxa"/>
          <w:right w:w="108" w:type="dxa"/>
        </w:tblCellMar>
      </w:tblPr>
      <w:tblGrid>
        <w:gridCol w:w="34"/>
        <w:gridCol w:w="4916"/>
        <w:gridCol w:w="5115"/>
        <w:gridCol w:w="6"/>
        <w:gridCol w:w="17"/>
        <w:gridCol w:w="58"/>
      </w:tblGrid>
      <w:tr>
        <w:trPr>
          <w:trHeight w:val="639" w:hRule="atLeast"/>
          <w:cantSplit w:val="true"/>
        </w:trPr>
        <w:tc>
          <w:tcPr>
            <w:tcW w:w="34" w:type="dxa"/>
            <w:tcBorders/>
            <w:shd w:fill="auto" w:val="clear"/>
          </w:tcPr>
          <w:p>
            <w:pPr>
              <w:pStyle w:val="Normal"/>
              <w:snapToGrid w:val="false"/>
              <w:jc w:val="center"/>
              <w:rPr>
                <w:rFonts w:ascii="Verdana" w:hAnsi="Verdana" w:cs="Verdana"/>
                <w:b/>
                <w:b/>
                <w:sz w:val="22"/>
                <w:szCs w:val="22"/>
              </w:rPr>
            </w:pPr>
            <w:r>
              <w:rPr>
                <w:rFonts w:cs="Verdana" w:ascii="Verdana" w:hAnsi="Verdana"/>
                <w:b/>
                <w:sz w:val="22"/>
                <w:szCs w:val="22"/>
              </w:rPr>
            </w:r>
          </w:p>
        </w:tc>
        <w:tc>
          <w:tcPr>
            <w:tcW w:w="10037" w:type="dxa"/>
            <w:gridSpan w:val="3"/>
            <w:tcBorders>
              <w:top w:val="sing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Post Title</w:t>
            </w:r>
            <w:r>
              <w:rPr>
                <w:rFonts w:cs="Verdana" w:ascii="Verdana" w:hAnsi="Verdana"/>
                <w:sz w:val="22"/>
                <w:szCs w:val="22"/>
              </w:rPr>
              <w:t>:  Advanced Social Work Practitioner – Adult Learning Disabilities</w:t>
            </w:r>
          </w:p>
        </w:tc>
        <w:tc>
          <w:tcPr>
            <w:tcW w:w="75" w:type="dxa"/>
            <w:gridSpan w:val="2"/>
            <w:tcBorders>
              <w:left w:val="single" w:sz="6" w:space="0" w:color="000000"/>
            </w:tcBorders>
            <w:shd w:fill="auto" w:val="clear"/>
          </w:tcPr>
          <w:p>
            <w:pPr>
              <w:pStyle w:val="Normal"/>
              <w:snapToGrid w:val="false"/>
              <w:rPr/>
            </w:pPr>
            <w:r>
              <w:rPr/>
            </w:r>
          </w:p>
        </w:tc>
      </w:tr>
      <w:tr>
        <w:trPr>
          <w:trHeight w:val="803" w:hRule="atLeast"/>
          <w:cantSplit w:val="true"/>
        </w:trPr>
        <w:tc>
          <w:tcPr>
            <w:tcW w:w="34" w:type="dxa"/>
            <w:tcBorders/>
            <w:shd w:fill="auto" w:val="clear"/>
          </w:tcPr>
          <w:p>
            <w:pPr>
              <w:pStyle w:val="Normal"/>
              <w:snapToGrid w:val="false"/>
              <w:rPr/>
            </w:pPr>
            <w:r>
              <w:rPr/>
            </w:r>
          </w:p>
        </w:tc>
        <w:tc>
          <w:tcPr>
            <w:tcW w:w="4916" w:type="dxa"/>
            <w:tcBorders>
              <w:top w:val="doub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Department</w:t>
            </w:r>
            <w:r>
              <w:rPr>
                <w:rFonts w:cs="Verdana" w:ascii="Verdana" w:hAnsi="Verdana"/>
                <w:sz w:val="22"/>
                <w:szCs w:val="22"/>
              </w:rPr>
              <w:t>: Health and Adult Care</w:t>
            </w:r>
          </w:p>
        </w:tc>
        <w:tc>
          <w:tcPr>
            <w:tcW w:w="5121"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Establishment/Post No</w:t>
            </w:r>
            <w:r>
              <w:rPr>
                <w:rFonts w:cs="Verdana" w:ascii="Verdana" w:hAnsi="Verdana"/>
                <w:sz w:val="22"/>
                <w:szCs w:val="22"/>
              </w:rPr>
              <w:t xml:space="preserve">: </w:t>
            </w:r>
          </w:p>
        </w:tc>
        <w:tc>
          <w:tcPr>
            <w:tcW w:w="75" w:type="dxa"/>
            <w:gridSpan w:val="2"/>
            <w:tcBorders>
              <w:left w:val="single" w:sz="6" w:space="0" w:color="000000"/>
            </w:tcBorders>
            <w:shd w:fill="auto" w:val="clear"/>
          </w:tcPr>
          <w:p>
            <w:pPr>
              <w:pStyle w:val="Normal"/>
              <w:snapToGrid w:val="false"/>
              <w:rPr/>
            </w:pPr>
            <w:r>
              <w:rPr/>
            </w:r>
          </w:p>
        </w:tc>
      </w:tr>
      <w:tr>
        <w:trPr>
          <w:trHeight w:val="844" w:hRule="atLeast"/>
          <w:cantSplit w:val="true"/>
        </w:trPr>
        <w:tc>
          <w:tcPr>
            <w:tcW w:w="34" w:type="dxa"/>
            <w:tcBorders/>
            <w:shd w:fill="auto" w:val="clear"/>
          </w:tcPr>
          <w:p>
            <w:pPr>
              <w:pStyle w:val="Normal"/>
              <w:snapToGrid w:val="false"/>
              <w:rPr/>
            </w:pPr>
            <w:r>
              <w:rPr/>
            </w:r>
          </w:p>
        </w:tc>
        <w:tc>
          <w:tcPr>
            <w:tcW w:w="4916" w:type="dxa"/>
            <w:tcBorders>
              <w:top w:val="double" w:sz="6" w:space="0" w:color="000000"/>
              <w:left w:val="single" w:sz="6" w:space="0" w:color="000000"/>
            </w:tcBorders>
            <w:shd w:fill="auto" w:val="clear"/>
          </w:tcPr>
          <w:p>
            <w:pPr>
              <w:pStyle w:val="Normal"/>
              <w:spacing w:before="120" w:after="240"/>
              <w:rPr/>
            </w:pPr>
            <w:r>
              <w:rPr>
                <w:rFonts w:cs="Verdana" w:ascii="Verdana" w:hAnsi="Verdana"/>
                <w:b/>
                <w:sz w:val="22"/>
                <w:szCs w:val="22"/>
              </w:rPr>
              <w:t>Division/Section</w:t>
            </w:r>
            <w:r>
              <w:rPr>
                <w:rFonts w:cs="Verdana" w:ascii="Verdana" w:hAnsi="Verdana"/>
                <w:sz w:val="22"/>
                <w:szCs w:val="22"/>
              </w:rPr>
              <w:t xml:space="preserve">: Operations /Adult Learning Disability </w:t>
            </w:r>
          </w:p>
        </w:tc>
        <w:tc>
          <w:tcPr>
            <w:tcW w:w="5121"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Post Grade</w:t>
            </w:r>
            <w:r>
              <w:rPr>
                <w:rFonts w:cs="Verdana" w:ascii="Verdana" w:hAnsi="Verdana"/>
                <w:sz w:val="22"/>
                <w:szCs w:val="22"/>
              </w:rPr>
              <w:t>: 13</w:t>
            </w:r>
          </w:p>
        </w:tc>
        <w:tc>
          <w:tcPr>
            <w:tcW w:w="75" w:type="dxa"/>
            <w:gridSpan w:val="2"/>
            <w:tcBorders>
              <w:left w:val="single" w:sz="6" w:space="0" w:color="000000"/>
            </w:tcBorders>
            <w:shd w:fill="auto" w:val="clear"/>
          </w:tcPr>
          <w:p>
            <w:pPr>
              <w:pStyle w:val="Normal"/>
              <w:snapToGrid w:val="false"/>
              <w:rPr/>
            </w:pPr>
            <w:r>
              <w:rPr/>
            </w:r>
          </w:p>
        </w:tc>
      </w:tr>
      <w:tr>
        <w:trPr>
          <w:trHeight w:val="772" w:hRule="atLeast"/>
          <w:cantSplit w:val="true"/>
        </w:trPr>
        <w:tc>
          <w:tcPr>
            <w:tcW w:w="34" w:type="dxa"/>
            <w:tcBorders/>
            <w:shd w:fill="auto" w:val="clear"/>
          </w:tcPr>
          <w:p>
            <w:pPr>
              <w:pStyle w:val="Normal"/>
              <w:snapToGrid w:val="false"/>
              <w:rPr/>
            </w:pPr>
            <w:r>
              <w:rPr/>
            </w:r>
          </w:p>
        </w:tc>
        <w:tc>
          <w:tcPr>
            <w:tcW w:w="4916" w:type="dxa"/>
            <w:tcBorders>
              <w:top w:val="doub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Location</w:t>
            </w:r>
            <w:r>
              <w:rPr>
                <w:rFonts w:cs="Verdana" w:ascii="Verdana" w:hAnsi="Verdana"/>
                <w:sz w:val="22"/>
                <w:szCs w:val="22"/>
              </w:rPr>
              <w:t>:   3 Knowsley Place, Bury BL9 0EL</w:t>
            </w:r>
          </w:p>
        </w:tc>
        <w:tc>
          <w:tcPr>
            <w:tcW w:w="5121" w:type="dxa"/>
            <w:gridSpan w:val="2"/>
            <w:tcBorders>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Post Hours</w:t>
            </w:r>
            <w:r>
              <w:rPr>
                <w:rFonts w:cs="Verdana" w:ascii="Verdana" w:hAnsi="Verdana"/>
                <w:sz w:val="22"/>
                <w:szCs w:val="22"/>
              </w:rPr>
              <w:t>:   37</w:t>
            </w:r>
          </w:p>
        </w:tc>
        <w:tc>
          <w:tcPr>
            <w:tcW w:w="75" w:type="dxa"/>
            <w:gridSpan w:val="2"/>
            <w:tcBorders>
              <w:left w:val="single" w:sz="6" w:space="0" w:color="000000"/>
            </w:tcBorders>
            <w:shd w:fill="auto" w:val="clear"/>
          </w:tcPr>
          <w:p>
            <w:pPr>
              <w:pStyle w:val="Normal"/>
              <w:snapToGrid w:val="false"/>
              <w:rPr/>
            </w:pPr>
            <w:r>
              <w:rPr/>
            </w:r>
          </w:p>
        </w:tc>
      </w:tr>
      <w:tr>
        <w:trPr>
          <w:trHeight w:val="3650" w:hRule="atLeast"/>
          <w:cantSplit w:val="true"/>
        </w:trPr>
        <w:tc>
          <w:tcPr>
            <w:tcW w:w="34" w:type="dxa"/>
            <w:tcBorders/>
            <w:shd w:fill="auto" w:val="clear"/>
          </w:tcPr>
          <w:p>
            <w:pPr>
              <w:pStyle w:val="Normal"/>
              <w:snapToGrid w:val="false"/>
              <w:rPr/>
            </w:pPr>
            <w:r>
              <w:rPr/>
            </w:r>
          </w:p>
        </w:tc>
        <w:tc>
          <w:tcPr>
            <w:tcW w:w="10037" w:type="dxa"/>
            <w:gridSpan w:val="3"/>
            <w:tcBorders>
              <w:top w:val="doub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Special Conditions of Service</w:t>
            </w:r>
            <w:r>
              <w:rPr>
                <w:rFonts w:cs="Verdana" w:ascii="Verdana" w:hAnsi="Verdana"/>
                <w:sz w:val="22"/>
                <w:szCs w:val="22"/>
              </w:rPr>
              <w:t xml:space="preserve">:   </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 xml:space="preserve">The Learning Disability Team provides a 5-day service – Monday to Friday. </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However, at times the nature of this post is not always predictable and may require the post holder to work flexibly and outside of normal working hours to meet unplanned service requirements.</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Ability to travel inside and outside the Borough, on occasion transporting people or colleagues as required in line with corporate care user policy for which expenses will be payable in accordance with the council’s conditions of service.</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Satisfactory DBS disclosure at the enhanced level to be renewed in line with the authority’s timescales.</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To maintain registration and compliance with Social Work England.</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Participate in all team arrangements for effectively managing the workflow.</w:t>
            </w:r>
          </w:p>
        </w:tc>
        <w:tc>
          <w:tcPr>
            <w:tcW w:w="75" w:type="dxa"/>
            <w:gridSpan w:val="2"/>
            <w:tcBorders>
              <w:left w:val="single" w:sz="6" w:space="0" w:color="000000"/>
            </w:tcBorders>
            <w:shd w:fill="auto" w:val="clear"/>
          </w:tcPr>
          <w:p>
            <w:pPr>
              <w:pStyle w:val="Normal"/>
              <w:snapToGrid w:val="false"/>
              <w:rPr/>
            </w:pPr>
            <w:r>
              <w:rPr/>
            </w:r>
          </w:p>
        </w:tc>
      </w:tr>
      <w:tr>
        <w:trPr>
          <w:trHeight w:val="2477" w:hRule="atLeast"/>
          <w:cantSplit w:val="true"/>
        </w:trPr>
        <w:tc>
          <w:tcPr>
            <w:tcW w:w="10146" w:type="dxa"/>
            <w:gridSpan w:val="6"/>
            <w:tcBorders/>
            <w:shd w:fill="auto" w:val="clear"/>
          </w:tcPr>
          <w:p>
            <w:pPr>
              <w:pStyle w:val="ListParagraph"/>
              <w:numPr>
                <w:ilvl w:val="0"/>
                <w:numId w:val="4"/>
              </w:numPr>
              <w:tabs>
                <w:tab w:val="clear" w:pos="720"/>
                <w:tab w:val="left" w:pos="567" w:leader="none"/>
              </w:tabs>
              <w:spacing w:lineRule="auto" w:line="360" w:before="40" w:after="40"/>
              <w:rPr>
                <w:rFonts w:ascii="Verdana" w:hAnsi="Verdana" w:cs="Verdana"/>
                <w:b/>
                <w:b/>
                <w:sz w:val="22"/>
                <w:szCs w:val="22"/>
              </w:rPr>
            </w:pPr>
            <w:r>
              <w:rPr>
                <w:rFonts w:cs="Verdana" w:ascii="Verdana" w:hAnsi="Verdana"/>
                <w:b/>
                <w:sz w:val="22"/>
                <w:szCs w:val="22"/>
              </w:rPr>
              <w:t>Purpose and Objectives of Post:</w:t>
            </w:r>
          </w:p>
          <w:p>
            <w:pPr>
              <w:pStyle w:val="Normal"/>
              <w:tabs>
                <w:tab w:val="clear" w:pos="720"/>
                <w:tab w:val="left" w:pos="567" w:leader="none"/>
              </w:tabs>
              <w:spacing w:lineRule="auto" w:line="360" w:before="40" w:after="40"/>
              <w:rPr>
                <w:rFonts w:ascii="Verdana" w:hAnsi="Verdana" w:cs="Verdana"/>
              </w:rPr>
            </w:pPr>
            <w:r>
              <w:rPr>
                <w:rFonts w:cs="Verdana" w:ascii="Verdana" w:hAnsi="Verdana"/>
              </w:rPr>
            </w:r>
          </w:p>
          <w:p>
            <w:pPr>
              <w:pStyle w:val="ListParagraph"/>
              <w:numPr>
                <w:ilvl w:val="0"/>
                <w:numId w:val="4"/>
              </w:numPr>
              <w:spacing w:lineRule="auto" w:line="360"/>
              <w:rPr>
                <w:rFonts w:ascii="Verdana" w:hAnsi="Verdana" w:cs="Verdana"/>
                <w:sz w:val="22"/>
                <w:szCs w:val="22"/>
              </w:rPr>
            </w:pPr>
            <w:r>
              <w:rPr>
                <w:rFonts w:cs="Verdana" w:ascii="Verdana" w:hAnsi="Verdana"/>
                <w:sz w:val="22"/>
                <w:szCs w:val="22"/>
              </w:rPr>
              <w:t>To provide a professional Social Work service to Adults across Adult Operations and Learning Disability Services as required.</w:t>
            </w:r>
          </w:p>
          <w:p>
            <w:pPr>
              <w:pStyle w:val="ListParagraph"/>
              <w:numPr>
                <w:ilvl w:val="0"/>
                <w:numId w:val="4"/>
              </w:numPr>
              <w:spacing w:lineRule="auto" w:line="360"/>
              <w:rPr>
                <w:rFonts w:ascii="Verdana" w:hAnsi="Verdana" w:cs="Verdana"/>
                <w:sz w:val="22"/>
                <w:szCs w:val="22"/>
              </w:rPr>
            </w:pPr>
            <w:r>
              <w:rPr>
                <w:rFonts w:cs="Verdana" w:ascii="Verdana" w:hAnsi="Verdana"/>
                <w:sz w:val="22"/>
                <w:szCs w:val="22"/>
              </w:rPr>
              <w:t>To promote people in maintaining choice and control of their lives.</w:t>
            </w:r>
          </w:p>
          <w:p>
            <w:pPr>
              <w:pStyle w:val="ListParagraph"/>
              <w:numPr>
                <w:ilvl w:val="0"/>
                <w:numId w:val="4"/>
              </w:numPr>
              <w:spacing w:lineRule="auto" w:line="360"/>
              <w:rPr>
                <w:rFonts w:ascii="Verdana" w:hAnsi="Verdana" w:cs="Verdana"/>
                <w:sz w:val="22"/>
                <w:szCs w:val="22"/>
              </w:rPr>
            </w:pPr>
            <w:r>
              <w:rPr>
                <w:rFonts w:cs="Verdana" w:ascii="Verdana" w:hAnsi="Verdana"/>
                <w:sz w:val="22"/>
                <w:szCs w:val="22"/>
              </w:rPr>
              <w:t xml:space="preserve">To lead on strength-based practice and provide leadership around strength-based huddles, reflective discussions and peer support. </w:t>
            </w:r>
          </w:p>
          <w:p>
            <w:pPr>
              <w:pStyle w:val="ListParagraph"/>
              <w:numPr>
                <w:ilvl w:val="0"/>
                <w:numId w:val="4"/>
              </w:numPr>
              <w:spacing w:lineRule="auto" w:line="360"/>
              <w:rPr>
                <w:rFonts w:ascii="Verdana" w:hAnsi="Verdana" w:cs="Verdana"/>
                <w:sz w:val="22"/>
                <w:szCs w:val="22"/>
              </w:rPr>
            </w:pPr>
            <w:r>
              <w:rPr>
                <w:rFonts w:cs="Verdana" w:ascii="Verdana" w:hAnsi="Verdana"/>
                <w:sz w:val="22"/>
                <w:szCs w:val="22"/>
              </w:rPr>
              <w:t>To consistently demonstrate social work practice in a wide range of tasks and roles and be effective in social work interventions, earning the confidence of others.</w:t>
            </w:r>
          </w:p>
          <w:p>
            <w:pPr>
              <w:pStyle w:val="ListParagraph"/>
              <w:numPr>
                <w:ilvl w:val="0"/>
                <w:numId w:val="4"/>
              </w:numPr>
              <w:tabs>
                <w:tab w:val="clear" w:pos="720"/>
                <w:tab w:val="left" w:pos="567" w:leader="none"/>
              </w:tabs>
              <w:spacing w:lineRule="auto" w:line="360" w:before="40" w:after="40"/>
              <w:rPr>
                <w:rFonts w:ascii="Verdana" w:hAnsi="Verdana" w:cs="Verdana"/>
                <w:sz w:val="22"/>
                <w:szCs w:val="22"/>
              </w:rPr>
            </w:pPr>
            <w:r>
              <w:rPr>
                <w:rFonts w:cs="Verdana" w:ascii="Verdana" w:hAnsi="Verdana"/>
                <w:sz w:val="22"/>
                <w:szCs w:val="22"/>
              </w:rPr>
              <w:t>To demonstrate the ability to work effectively in more complex situations, seek support in supervision whilst starting to exercise initiative and evaluate own practice.</w:t>
            </w:r>
          </w:p>
          <w:p>
            <w:pPr>
              <w:pStyle w:val="ListParagraph"/>
              <w:numPr>
                <w:ilvl w:val="0"/>
                <w:numId w:val="4"/>
              </w:numPr>
              <w:tabs>
                <w:tab w:val="clear" w:pos="720"/>
                <w:tab w:val="left" w:pos="567" w:leader="none"/>
              </w:tabs>
              <w:spacing w:lineRule="auto" w:line="360" w:before="40" w:after="40"/>
              <w:rPr>
                <w:rFonts w:ascii="Verdana" w:hAnsi="Verdana" w:cs="Verdana"/>
                <w:sz w:val="22"/>
                <w:szCs w:val="22"/>
              </w:rPr>
            </w:pPr>
            <w:r>
              <w:rPr>
                <w:rFonts w:cs="Verdana" w:ascii="Verdana" w:hAnsi="Verdana"/>
                <w:sz w:val="22"/>
                <w:szCs w:val="22"/>
              </w:rPr>
              <w:t>To have a greater depth and knowledge of working with Adults with a Learning disability with significant experience. ( minimum of 3 years)</w:t>
            </w:r>
          </w:p>
          <w:p>
            <w:pPr>
              <w:pStyle w:val="ListParagraph"/>
              <w:numPr>
                <w:ilvl w:val="0"/>
                <w:numId w:val="4"/>
              </w:numPr>
              <w:spacing w:lineRule="auto" w:line="360"/>
              <w:rPr/>
            </w:pPr>
            <w:r>
              <w:rPr>
                <w:rFonts w:cs="Verdana" w:ascii="Verdana" w:hAnsi="Verdana"/>
                <w:sz w:val="22"/>
                <w:szCs w:val="22"/>
              </w:rPr>
              <w:t>To reflect strong leadership skills and the ability, To provide constructive challenge    to enhance practice, procedures and policies, promote innovation, and introduce new ways of working from recognised sites of excellence.</w:t>
            </w:r>
          </w:p>
          <w:p>
            <w:pPr>
              <w:pStyle w:val="ListParagraph"/>
              <w:numPr>
                <w:ilvl w:val="0"/>
                <w:numId w:val="4"/>
              </w:numPr>
              <w:spacing w:lineRule="auto" w:line="360"/>
              <w:rPr>
                <w:rFonts w:ascii="Verdana" w:hAnsi="Verdana" w:cs="Verdana"/>
                <w:sz w:val="22"/>
                <w:szCs w:val="22"/>
              </w:rPr>
            </w:pPr>
            <w:r>
              <w:rPr>
                <w:rFonts w:cs="Verdana" w:ascii="Verdana" w:hAnsi="Verdana"/>
                <w:sz w:val="22"/>
                <w:szCs w:val="22"/>
              </w:rPr>
              <w:t>To have a strong knowledge of the Mental Capacity Act and significant experience of Court of protection applications.</w:t>
            </w:r>
          </w:p>
          <w:p>
            <w:pPr>
              <w:pStyle w:val="ListParagraph"/>
              <w:numPr>
                <w:ilvl w:val="0"/>
                <w:numId w:val="4"/>
              </w:numPr>
              <w:spacing w:lineRule="auto" w:line="360"/>
              <w:rPr>
                <w:rFonts w:ascii="Verdana" w:hAnsi="Verdana" w:cs="Verdana"/>
                <w:sz w:val="22"/>
                <w:szCs w:val="22"/>
              </w:rPr>
            </w:pPr>
            <w:r>
              <w:rPr>
                <w:rFonts w:cs="Verdana" w:ascii="Verdana" w:hAnsi="Verdana"/>
                <w:sz w:val="22"/>
                <w:szCs w:val="22"/>
              </w:rPr>
              <w:t>To have a robust understanding of Care Act duties and how they can be met in a variety of ways.</w:t>
            </w:r>
          </w:p>
          <w:p>
            <w:pPr>
              <w:pStyle w:val="Heading1"/>
              <w:keepNext w:val="false"/>
              <w:keepLines/>
              <w:numPr>
                <w:ilvl w:val="0"/>
                <w:numId w:val="4"/>
              </w:numPr>
              <w:tabs>
                <w:tab w:val="clear" w:pos="720"/>
                <w:tab w:val="left" w:pos="90" w:leader="none"/>
              </w:tabs>
              <w:spacing w:lineRule="auto" w:line="360"/>
              <w:jc w:val="left"/>
              <w:rPr>
                <w:rFonts w:ascii="Verdana" w:hAnsi="Verdana" w:cs="Verdana"/>
                <w:b w:val="false"/>
                <w:b w:val="false"/>
                <w:sz w:val="22"/>
                <w:szCs w:val="22"/>
                <w:u w:val="none"/>
              </w:rPr>
            </w:pPr>
            <w:r>
              <w:rPr>
                <w:rFonts w:cs="Verdana" w:ascii="Verdana" w:hAnsi="Verdana"/>
                <w:b w:val="false"/>
                <w:sz w:val="22"/>
                <w:szCs w:val="22"/>
                <w:u w:val="none"/>
              </w:rPr>
              <w:t xml:space="preserve">To act as a practice assessor for ASYE newly qualified social workers as required. </w:t>
            </w:r>
          </w:p>
          <w:p>
            <w:pPr>
              <w:pStyle w:val="Heading1"/>
              <w:keepNext w:val="false"/>
              <w:keepLines/>
              <w:numPr>
                <w:ilvl w:val="0"/>
                <w:numId w:val="4"/>
              </w:numPr>
              <w:tabs>
                <w:tab w:val="clear" w:pos="720"/>
                <w:tab w:val="left" w:pos="90" w:leader="none"/>
              </w:tabs>
              <w:spacing w:lineRule="auto" w:line="360"/>
              <w:jc w:val="left"/>
              <w:rPr>
                <w:rFonts w:ascii="Verdana" w:hAnsi="Verdana" w:cs="Verdana"/>
                <w:b w:val="false"/>
                <w:b w:val="false"/>
                <w:sz w:val="22"/>
                <w:szCs w:val="22"/>
                <w:u w:val="none"/>
              </w:rPr>
            </w:pPr>
            <w:r>
              <w:rPr>
                <w:rFonts w:cs="Verdana" w:ascii="Verdana" w:hAnsi="Verdana"/>
                <w:b w:val="false"/>
                <w:sz w:val="22"/>
                <w:szCs w:val="22"/>
                <w:u w:val="none"/>
              </w:rPr>
              <w:t>To line manage a small number of staff and pick up appropriate management duties when appropriate to meet the needs of the services.</w:t>
            </w:r>
          </w:p>
          <w:p>
            <w:pPr>
              <w:pStyle w:val="ListParagraph"/>
              <w:keepLines/>
              <w:numPr>
                <w:ilvl w:val="0"/>
                <w:numId w:val="4"/>
              </w:numPr>
              <w:spacing w:lineRule="auto" w:line="360" w:before="40" w:after="40"/>
              <w:rPr>
                <w:rFonts w:ascii="Verdana" w:hAnsi="Verdana" w:cs="Verdana"/>
                <w:sz w:val="22"/>
                <w:szCs w:val="22"/>
              </w:rPr>
            </w:pPr>
            <w:r>
              <w:rPr>
                <w:rFonts w:cs="Verdana" w:ascii="Verdana" w:hAnsi="Verdana"/>
                <w:sz w:val="22"/>
                <w:szCs w:val="22"/>
              </w:rPr>
              <w:t>Under the direction of the Service Lead/line manager to assist in the recruitment, conflict resolution and discipline of staff within the team.</w:t>
            </w:r>
          </w:p>
          <w:p>
            <w:pPr>
              <w:pStyle w:val="ListParagraph"/>
              <w:numPr>
                <w:ilvl w:val="0"/>
                <w:numId w:val="4"/>
              </w:numPr>
              <w:spacing w:lineRule="auto" w:line="360"/>
              <w:rPr>
                <w:rFonts w:ascii="Verdana" w:hAnsi="Verdana" w:cs="Verdana"/>
                <w:sz w:val="22"/>
                <w:szCs w:val="22"/>
              </w:rPr>
            </w:pPr>
            <w:r>
              <w:rPr>
                <w:rFonts w:cs="Verdana" w:ascii="Verdana" w:hAnsi="Verdana"/>
                <w:sz w:val="22"/>
                <w:szCs w:val="22"/>
              </w:rPr>
              <w:t>Under the direction of the Service Lead/line manager to ensure that a safe working environment is provided for all employees with your area of service.</w:t>
            </w:r>
          </w:p>
          <w:p>
            <w:pPr>
              <w:pStyle w:val="ListParagraph"/>
              <w:numPr>
                <w:ilvl w:val="0"/>
                <w:numId w:val="4"/>
              </w:numPr>
              <w:spacing w:lineRule="auto" w:line="360"/>
              <w:rPr>
                <w:rFonts w:ascii="Verdana" w:hAnsi="Verdana" w:cs="Verdana"/>
                <w:iCs/>
                <w:sz w:val="22"/>
                <w:szCs w:val="22"/>
              </w:rPr>
            </w:pPr>
            <w:r>
              <w:rPr>
                <w:rFonts w:cs="Verdana" w:ascii="Verdana" w:hAnsi="Verdana"/>
                <w:iCs/>
                <w:sz w:val="22"/>
                <w:szCs w:val="22"/>
              </w:rPr>
              <w:t>As an employee of Bury Council you have a responsibility for, and must be committed to, safeguarding and promoting the welfare of children, young people and vulnerable adults and for ensuring that they are protected from harm.</w:t>
            </w:r>
          </w:p>
          <w:p>
            <w:pPr>
              <w:pStyle w:val="ListParagraph"/>
              <w:numPr>
                <w:ilvl w:val="0"/>
                <w:numId w:val="4"/>
              </w:numPr>
              <w:spacing w:lineRule="auto" w:line="360" w:before="0" w:after="240"/>
              <w:rPr>
                <w:rFonts w:ascii="Verdana" w:hAnsi="Verdana" w:cs="Verdana"/>
                <w:iCs/>
                <w:sz w:val="22"/>
                <w:szCs w:val="22"/>
              </w:rPr>
            </w:pPr>
            <w:r>
              <w:rPr>
                <w:rFonts w:cs="Verdana" w:ascii="Verdana" w:hAnsi="Verdana"/>
                <w:iCs/>
                <w:sz w:val="22"/>
                <w:szCs w:val="22"/>
              </w:rPr>
              <w:t>Be able to demonstrate meeting the required PCF and KSS competencies for this level of SW post.</w:t>
            </w:r>
          </w:p>
        </w:tc>
      </w:tr>
      <w:tr>
        <w:trPr>
          <w:trHeight w:val="772" w:hRule="atLeast"/>
          <w:cantSplit w:val="true"/>
        </w:trPr>
        <w:tc>
          <w:tcPr>
            <w:tcW w:w="34" w:type="dxa"/>
            <w:tcBorders/>
            <w:shd w:fill="auto" w:val="clear"/>
          </w:tcPr>
          <w:p>
            <w:pPr>
              <w:pStyle w:val="Normal"/>
              <w:snapToGrid w:val="false"/>
              <w:rPr/>
            </w:pPr>
            <w:r>
              <w:rPr/>
            </w:r>
          </w:p>
        </w:tc>
        <w:tc>
          <w:tcPr>
            <w:tcW w:w="10031"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 xml:space="preserve">Accountable to: </w:t>
            </w:r>
            <w:r>
              <w:rPr>
                <w:rFonts w:cs="Verdana" w:ascii="Verdana" w:hAnsi="Verdana"/>
                <w:sz w:val="22"/>
                <w:szCs w:val="22"/>
              </w:rPr>
              <w:t xml:space="preserve"> Director of Department of OCO  </w:t>
            </w:r>
          </w:p>
        </w:tc>
        <w:tc>
          <w:tcPr>
            <w:tcW w:w="23" w:type="dxa"/>
            <w:gridSpan w:val="2"/>
            <w:tcBorders>
              <w:left w:val="single" w:sz="6" w:space="0" w:color="000000"/>
            </w:tcBorders>
            <w:shd w:fill="auto" w:val="clear"/>
          </w:tcPr>
          <w:p>
            <w:pPr>
              <w:pStyle w:val="Normal"/>
              <w:snapToGrid w:val="false"/>
              <w:rPr/>
            </w:pPr>
            <w:r>
              <w:rPr/>
            </w:r>
          </w:p>
        </w:tc>
        <w:tc>
          <w:tcPr>
            <w:tcW w:w="58" w:type="dxa"/>
            <w:tcBorders/>
            <w:shd w:fill="auto" w:val="clear"/>
          </w:tcPr>
          <w:p>
            <w:pPr>
              <w:pStyle w:val="Normal"/>
              <w:snapToGrid w:val="false"/>
              <w:rPr/>
            </w:pPr>
            <w:r>
              <w:rPr/>
            </w:r>
          </w:p>
        </w:tc>
      </w:tr>
      <w:tr>
        <w:trPr>
          <w:trHeight w:val="847" w:hRule="atLeast"/>
          <w:cantSplit w:val="true"/>
        </w:trPr>
        <w:tc>
          <w:tcPr>
            <w:tcW w:w="34" w:type="dxa"/>
            <w:tcBorders/>
            <w:shd w:fill="auto" w:val="clear"/>
          </w:tcPr>
          <w:p>
            <w:pPr>
              <w:pStyle w:val="Normal"/>
              <w:snapToGrid w:val="false"/>
              <w:rPr/>
            </w:pPr>
            <w:r>
              <w:rPr/>
            </w:r>
          </w:p>
        </w:tc>
        <w:tc>
          <w:tcPr>
            <w:tcW w:w="10031"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Immediately Responsible to</w:t>
            </w:r>
            <w:r>
              <w:rPr>
                <w:rFonts w:cs="Verdana" w:ascii="Verdana" w:hAnsi="Verdana"/>
                <w:sz w:val="22"/>
                <w:szCs w:val="22"/>
              </w:rPr>
              <w:t xml:space="preserve">: </w:t>
            </w:r>
            <w:r>
              <w:rPr>
                <w:rFonts w:cs="Verdana" w:ascii="Verdana" w:hAnsi="Verdana"/>
                <w:b/>
                <w:sz w:val="22"/>
                <w:szCs w:val="22"/>
              </w:rPr>
              <w:t xml:space="preserve"> </w:t>
            </w:r>
            <w:r>
              <w:rPr>
                <w:rFonts w:cs="Verdana" w:ascii="Verdana" w:hAnsi="Verdana"/>
                <w:sz w:val="22"/>
                <w:szCs w:val="22"/>
              </w:rPr>
              <w:t>Team Manager/Assistant Team Manager</w:t>
            </w:r>
          </w:p>
        </w:tc>
        <w:tc>
          <w:tcPr>
            <w:tcW w:w="23" w:type="dxa"/>
            <w:gridSpan w:val="2"/>
            <w:tcBorders>
              <w:left w:val="single" w:sz="6" w:space="0" w:color="000000"/>
            </w:tcBorders>
            <w:shd w:fill="auto" w:val="clear"/>
          </w:tcPr>
          <w:p>
            <w:pPr>
              <w:pStyle w:val="Normal"/>
              <w:snapToGrid w:val="false"/>
              <w:rPr/>
            </w:pPr>
            <w:r>
              <w:rPr/>
            </w:r>
          </w:p>
        </w:tc>
        <w:tc>
          <w:tcPr>
            <w:tcW w:w="58" w:type="dxa"/>
            <w:tcBorders/>
            <w:shd w:fill="auto" w:val="clear"/>
          </w:tcPr>
          <w:p>
            <w:pPr>
              <w:pStyle w:val="Normal"/>
              <w:snapToGrid w:val="false"/>
              <w:rPr/>
            </w:pPr>
            <w:r>
              <w:rPr/>
            </w:r>
          </w:p>
        </w:tc>
      </w:tr>
      <w:tr>
        <w:trPr>
          <w:trHeight w:val="2661" w:hRule="atLeast"/>
          <w:cantSplit w:val="true"/>
        </w:trPr>
        <w:tc>
          <w:tcPr>
            <w:tcW w:w="34" w:type="dxa"/>
            <w:tcBorders/>
            <w:shd w:fill="auto" w:val="clear"/>
          </w:tcPr>
          <w:p>
            <w:pPr>
              <w:pStyle w:val="Normal"/>
              <w:snapToGrid w:val="false"/>
              <w:rPr/>
            </w:pPr>
            <w:r>
              <w:rPr/>
            </w:r>
          </w:p>
        </w:tc>
        <w:tc>
          <w:tcPr>
            <w:tcW w:w="10031" w:type="dxa"/>
            <w:gridSpan w:val="2"/>
            <w:tcBorders>
              <w:top w:val="double" w:sz="6" w:space="0" w:color="000000"/>
              <w:left w:val="single" w:sz="6" w:space="0" w:color="000000"/>
            </w:tcBorders>
            <w:shd w:fill="auto" w:val="clear"/>
          </w:tcPr>
          <w:p>
            <w:pPr>
              <w:pStyle w:val="Normal"/>
              <w:tabs>
                <w:tab w:val="clear" w:pos="720"/>
                <w:tab w:val="left" w:pos="4320" w:leader="none"/>
              </w:tabs>
              <w:spacing w:before="120" w:after="120"/>
              <w:rPr>
                <w:rFonts w:ascii="Verdana" w:hAnsi="Verdana" w:cs="Verdana"/>
                <w:b/>
                <w:b/>
                <w:sz w:val="22"/>
                <w:szCs w:val="22"/>
              </w:rPr>
            </w:pPr>
            <w:r>
              <w:rPr>
                <w:rFonts w:cs="Verdana" w:ascii="Verdana" w:hAnsi="Verdana"/>
                <w:b/>
                <w:sz w:val="22"/>
                <w:szCs w:val="22"/>
              </w:rPr>
              <w:t>Relationships: (Internal and External)</w:t>
            </w:r>
          </w:p>
          <w:p>
            <w:pPr>
              <w:pStyle w:val="Normal"/>
              <w:keepLines/>
              <w:numPr>
                <w:ilvl w:val="0"/>
                <w:numId w:val="3"/>
              </w:numPr>
              <w:tabs>
                <w:tab w:val="clear" w:pos="720"/>
                <w:tab w:val="left" w:pos="4320" w:leader="none"/>
              </w:tabs>
              <w:spacing w:lineRule="exact" w:line="240"/>
              <w:rPr>
                <w:rFonts w:ascii="Verdana" w:hAnsi="Verdana" w:cs="Verdana"/>
                <w:sz w:val="22"/>
                <w:szCs w:val="22"/>
              </w:rPr>
            </w:pPr>
            <w:r>
              <w:rPr>
                <w:rFonts w:cs="Verdana" w:ascii="Verdana" w:hAnsi="Verdana"/>
                <w:sz w:val="22"/>
                <w:szCs w:val="22"/>
              </w:rPr>
              <w:t>All staff within the Department and across the Council.</w:t>
            </w:r>
          </w:p>
          <w:p>
            <w:pPr>
              <w:pStyle w:val="Normal"/>
              <w:tabs>
                <w:tab w:val="clear" w:pos="720"/>
                <w:tab w:val="left" w:pos="4320" w:leader="none"/>
              </w:tabs>
              <w:rPr>
                <w:rFonts w:ascii="Verdana" w:hAnsi="Verdana" w:cs="Verdana"/>
              </w:rPr>
            </w:pPr>
            <w:r>
              <w:rPr>
                <w:rFonts w:cs="Verdana" w:ascii="Verdana" w:hAnsi="Verdana"/>
              </w:rPr>
            </w:r>
          </w:p>
          <w:p>
            <w:pPr>
              <w:pStyle w:val="Normal"/>
              <w:keepLines/>
              <w:numPr>
                <w:ilvl w:val="0"/>
                <w:numId w:val="3"/>
              </w:numPr>
              <w:tabs>
                <w:tab w:val="clear" w:pos="720"/>
                <w:tab w:val="left" w:pos="4320" w:leader="none"/>
              </w:tabs>
              <w:spacing w:lineRule="exact" w:line="240"/>
              <w:rPr/>
            </w:pPr>
            <w:r>
              <w:rPr>
                <w:rFonts w:cs="Verdana" w:ascii="Verdana" w:hAnsi="Verdana"/>
                <w:sz w:val="22"/>
                <w:szCs w:val="22"/>
              </w:rPr>
              <w:t>Pennine Care, Pennine Acute, 3</w:t>
            </w:r>
            <w:r>
              <w:rPr>
                <w:rFonts w:cs="Verdana" w:ascii="Verdana" w:hAnsi="Verdana"/>
                <w:sz w:val="22"/>
                <w:szCs w:val="22"/>
                <w:vertAlign w:val="superscript"/>
              </w:rPr>
              <w:t>rd</w:t>
            </w:r>
            <w:r>
              <w:rPr>
                <w:rFonts w:cs="Verdana" w:ascii="Verdana" w:hAnsi="Verdana"/>
                <w:sz w:val="22"/>
                <w:szCs w:val="22"/>
              </w:rPr>
              <w:t xml:space="preserve"> Sector and independent organisations, Police, and other statutory organisations.</w:t>
            </w:r>
          </w:p>
          <w:p>
            <w:pPr>
              <w:pStyle w:val="Normal"/>
              <w:tabs>
                <w:tab w:val="clear" w:pos="720"/>
                <w:tab w:val="left" w:pos="4320" w:leader="none"/>
              </w:tabs>
              <w:rPr>
                <w:rFonts w:ascii="Verdana" w:hAnsi="Verdana" w:cs="Verdana"/>
              </w:rPr>
            </w:pPr>
            <w:r>
              <w:rPr>
                <w:rFonts w:cs="Verdana" w:ascii="Verdana" w:hAnsi="Verdana"/>
              </w:rPr>
            </w:r>
          </w:p>
          <w:p>
            <w:pPr>
              <w:pStyle w:val="Normal"/>
              <w:keepLines/>
              <w:numPr>
                <w:ilvl w:val="0"/>
                <w:numId w:val="3"/>
              </w:numPr>
              <w:tabs>
                <w:tab w:val="clear" w:pos="720"/>
                <w:tab w:val="left" w:pos="4320" w:leader="none"/>
              </w:tabs>
              <w:spacing w:lineRule="exact" w:line="240"/>
              <w:rPr>
                <w:rFonts w:ascii="Verdana" w:hAnsi="Verdana" w:cs="Verdana"/>
                <w:sz w:val="22"/>
                <w:szCs w:val="22"/>
              </w:rPr>
            </w:pPr>
            <w:r>
              <w:rPr>
                <w:rFonts w:cs="Verdana" w:ascii="Verdana" w:hAnsi="Verdana"/>
                <w:sz w:val="22"/>
                <w:szCs w:val="22"/>
              </w:rPr>
              <w:t>Customers and members of the public.</w:t>
            </w:r>
          </w:p>
          <w:p>
            <w:pPr>
              <w:pStyle w:val="ListParagraph"/>
              <w:rPr>
                <w:rFonts w:ascii="Verdana" w:hAnsi="Verdana" w:cs="Verdana"/>
              </w:rPr>
            </w:pPr>
            <w:r>
              <w:rPr>
                <w:rFonts w:cs="Verdana" w:ascii="Verdana" w:hAnsi="Verdana"/>
              </w:rPr>
            </w:r>
          </w:p>
          <w:p>
            <w:pPr>
              <w:pStyle w:val="Normal"/>
              <w:keepLines/>
              <w:tabs>
                <w:tab w:val="clear" w:pos="720"/>
                <w:tab w:val="left" w:pos="4320" w:leader="none"/>
              </w:tabs>
              <w:spacing w:lineRule="exact" w:line="240"/>
              <w:ind w:left="720" w:right="0" w:hanging="0"/>
              <w:rPr>
                <w:rFonts w:ascii="Verdana" w:hAnsi="Verdana" w:cs="Verdana"/>
              </w:rPr>
            </w:pPr>
            <w:r>
              <w:rPr>
                <w:rFonts w:cs="Verdana" w:ascii="Verdana" w:hAnsi="Verdana"/>
              </w:rPr>
            </w:r>
          </w:p>
        </w:tc>
        <w:tc>
          <w:tcPr>
            <w:tcW w:w="23" w:type="dxa"/>
            <w:gridSpan w:val="2"/>
            <w:tcBorders>
              <w:left w:val="single" w:sz="6" w:space="0" w:color="000000"/>
            </w:tcBorders>
            <w:shd w:fill="auto" w:val="clear"/>
          </w:tcPr>
          <w:p>
            <w:pPr>
              <w:pStyle w:val="Normal"/>
              <w:snapToGrid w:val="false"/>
              <w:rPr>
                <w:rFonts w:ascii="Verdana" w:hAnsi="Verdana" w:cs="Verdana"/>
              </w:rPr>
            </w:pPr>
            <w:r>
              <w:rPr>
                <w:rFonts w:cs="Verdana" w:ascii="Verdana" w:hAnsi="Verdana"/>
              </w:rPr>
            </w:r>
          </w:p>
        </w:tc>
        <w:tc>
          <w:tcPr>
            <w:tcW w:w="58" w:type="dxa"/>
            <w:tcBorders/>
            <w:shd w:fill="auto" w:val="clear"/>
          </w:tcPr>
          <w:p>
            <w:pPr>
              <w:pStyle w:val="Normal"/>
              <w:snapToGrid w:val="false"/>
              <w:rPr/>
            </w:pPr>
            <w:r>
              <w:rPr/>
            </w:r>
          </w:p>
        </w:tc>
      </w:tr>
      <w:tr>
        <w:trPr>
          <w:trHeight w:val="2150" w:hRule="atLeast"/>
          <w:cantSplit w:val="true"/>
        </w:trPr>
        <w:tc>
          <w:tcPr>
            <w:tcW w:w="34" w:type="dxa"/>
            <w:tcBorders/>
            <w:shd w:fill="auto" w:val="clear"/>
          </w:tcPr>
          <w:p>
            <w:pPr>
              <w:pStyle w:val="Normal"/>
              <w:snapToGrid w:val="false"/>
              <w:rPr/>
            </w:pPr>
            <w:r>
              <w:rPr/>
            </w:r>
          </w:p>
        </w:tc>
        <w:tc>
          <w:tcPr>
            <w:tcW w:w="10031" w:type="dxa"/>
            <w:gridSpan w:val="2"/>
            <w:tcBorders>
              <w:top w:val="double" w:sz="6" w:space="0" w:color="000000"/>
              <w:left w:val="single" w:sz="6" w:space="0" w:color="000000"/>
              <w:bottom w:val="double" w:sz="6" w:space="0" w:color="000000"/>
            </w:tcBorders>
            <w:shd w:fill="auto" w:val="clear"/>
          </w:tcPr>
          <w:p>
            <w:pPr>
              <w:pStyle w:val="Normal"/>
              <w:tabs>
                <w:tab w:val="clear" w:pos="720"/>
                <w:tab w:val="left" w:pos="1440" w:leader="none"/>
                <w:tab w:val="left" w:pos="1980" w:leader="none"/>
              </w:tabs>
              <w:spacing w:before="120" w:after="120"/>
              <w:rPr/>
            </w:pPr>
            <w:r>
              <w:rPr>
                <w:rFonts w:cs="Verdana" w:ascii="Verdana" w:hAnsi="Verdana"/>
                <w:b/>
                <w:sz w:val="22"/>
                <w:szCs w:val="22"/>
              </w:rPr>
              <w:t>Control of Resources</w:t>
            </w:r>
            <w:r>
              <w:rPr>
                <w:rFonts w:cs="Verdana" w:ascii="Verdana" w:hAnsi="Verdana"/>
                <w:sz w:val="22"/>
                <w:szCs w:val="22"/>
              </w:rPr>
              <w:t xml:space="preserve">: </w:t>
            </w:r>
          </w:p>
          <w:p>
            <w:pPr>
              <w:pStyle w:val="Normal"/>
              <w:numPr>
                <w:ilvl w:val="0"/>
                <w:numId w:val="5"/>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 xml:space="preserve">Mobile phones </w:t>
            </w:r>
          </w:p>
          <w:p>
            <w:pPr>
              <w:pStyle w:val="Normal"/>
              <w:tabs>
                <w:tab w:val="clear" w:pos="720"/>
                <w:tab w:val="left" w:pos="567" w:leader="none"/>
              </w:tabs>
              <w:spacing w:before="40" w:after="40"/>
              <w:ind w:left="360" w:right="0" w:hanging="0"/>
              <w:jc w:val="both"/>
              <w:rPr>
                <w:rFonts w:ascii="Verdana" w:hAnsi="Verdana" w:cs="Verdana"/>
              </w:rPr>
            </w:pPr>
            <w:r>
              <w:rPr>
                <w:rFonts w:cs="Verdana" w:ascii="Verdana" w:hAnsi="Verdana"/>
              </w:rPr>
            </w:r>
          </w:p>
          <w:p>
            <w:pPr>
              <w:pStyle w:val="Normal"/>
              <w:numPr>
                <w:ilvl w:val="0"/>
                <w:numId w:val="5"/>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ICT equipment</w:t>
            </w:r>
          </w:p>
          <w:p>
            <w:pPr>
              <w:pStyle w:val="Normal"/>
              <w:tabs>
                <w:tab w:val="clear" w:pos="720"/>
                <w:tab w:val="left" w:pos="567" w:leader="none"/>
              </w:tabs>
              <w:spacing w:before="40" w:after="40"/>
              <w:ind w:left="360" w:right="0" w:hanging="0"/>
              <w:jc w:val="both"/>
              <w:rPr>
                <w:rFonts w:ascii="Verdana" w:hAnsi="Verdana" w:cs="Verdana"/>
              </w:rPr>
            </w:pPr>
            <w:r>
              <w:rPr>
                <w:rFonts w:cs="Verdana" w:ascii="Verdana" w:hAnsi="Verdana"/>
              </w:rPr>
            </w:r>
          </w:p>
          <w:p>
            <w:pPr>
              <w:pStyle w:val="Normal"/>
              <w:numPr>
                <w:ilvl w:val="0"/>
                <w:numId w:val="5"/>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 xml:space="preserve">Other resources delegated to the post holder. </w:t>
            </w:r>
          </w:p>
          <w:p>
            <w:pPr>
              <w:pStyle w:val="Normal"/>
              <w:keepLines/>
              <w:tabs>
                <w:tab w:val="clear" w:pos="720"/>
                <w:tab w:val="left" w:pos="1440" w:leader="none"/>
                <w:tab w:val="left" w:pos="1980" w:leader="none"/>
              </w:tabs>
              <w:spacing w:lineRule="exact" w:line="240"/>
              <w:ind w:left="502" w:right="0" w:hanging="0"/>
              <w:rPr>
                <w:rFonts w:ascii="Verdana" w:hAnsi="Verdana" w:cs="Verdana"/>
              </w:rPr>
            </w:pPr>
            <w:r>
              <w:rPr>
                <w:rFonts w:cs="Verdana" w:ascii="Verdana" w:hAnsi="Verdana"/>
              </w:rPr>
            </w:r>
          </w:p>
        </w:tc>
        <w:tc>
          <w:tcPr>
            <w:tcW w:w="23" w:type="dxa"/>
            <w:gridSpan w:val="2"/>
            <w:tcBorders>
              <w:left w:val="single" w:sz="6" w:space="0" w:color="000000"/>
            </w:tcBorders>
            <w:shd w:fill="auto" w:val="clear"/>
          </w:tcPr>
          <w:p>
            <w:pPr>
              <w:pStyle w:val="Normal"/>
              <w:snapToGrid w:val="false"/>
              <w:rPr>
                <w:rFonts w:ascii="Verdana" w:hAnsi="Verdana" w:cs="Verdana"/>
              </w:rPr>
            </w:pPr>
            <w:r>
              <w:rPr>
                <w:rFonts w:cs="Verdana" w:ascii="Verdana" w:hAnsi="Verdana"/>
              </w:rPr>
            </w:r>
          </w:p>
        </w:tc>
        <w:tc>
          <w:tcPr>
            <w:tcW w:w="58" w:type="dxa"/>
            <w:tcBorders/>
            <w:shd w:fill="auto" w:val="clear"/>
          </w:tcPr>
          <w:p>
            <w:pPr>
              <w:pStyle w:val="Normal"/>
              <w:snapToGrid w:val="false"/>
              <w:rPr/>
            </w:pPr>
            <w:r>
              <w:rPr/>
            </w:r>
          </w:p>
        </w:tc>
      </w:tr>
      <w:tr>
        <w:trPr>
          <w:trHeight w:val="2150" w:hRule="atLeast"/>
          <w:cantSplit w:val="true"/>
        </w:trPr>
        <w:tc>
          <w:tcPr>
            <w:tcW w:w="34" w:type="dxa"/>
            <w:tcBorders/>
            <w:shd w:fill="auto" w:val="clear"/>
          </w:tcPr>
          <w:p>
            <w:pPr>
              <w:pStyle w:val="Normal"/>
              <w:snapToGrid w:val="false"/>
              <w:rPr/>
            </w:pPr>
            <w:r>
              <w:rPr/>
            </w:r>
          </w:p>
        </w:tc>
        <w:tc>
          <w:tcPr>
            <w:tcW w:w="10031" w:type="dxa"/>
            <w:gridSpan w:val="2"/>
            <w:tcBorders>
              <w:top w:val="double" w:sz="6" w:space="0" w:color="000000"/>
              <w:left w:val="single" w:sz="6" w:space="0" w:color="000000"/>
              <w:bottom w:val="double" w:sz="6" w:space="0" w:color="000000"/>
            </w:tcBorders>
            <w:shd w:fill="auto" w:val="clear"/>
          </w:tcPr>
          <w:p>
            <w:pPr>
              <w:pStyle w:val="Normal"/>
              <w:rPr>
                <w:rFonts w:ascii="Verdana" w:hAnsi="Verdana" w:cs="Verdana"/>
                <w:b/>
                <w:b/>
                <w:sz w:val="22"/>
                <w:szCs w:val="22"/>
                <w:u w:val="single"/>
              </w:rPr>
            </w:pPr>
            <w:r>
              <w:rPr>
                <w:rFonts w:cs="Verdana" w:ascii="Verdana" w:hAnsi="Verdana"/>
                <w:b/>
                <w:sz w:val="22"/>
                <w:szCs w:val="22"/>
                <w:u w:val="single"/>
              </w:rPr>
              <w:t>Duties/Responsibilities</w:t>
            </w:r>
          </w:p>
          <w:p>
            <w:pPr>
              <w:pStyle w:val="Normal"/>
              <w:rPr>
                <w:rFonts w:ascii="Verdana" w:hAnsi="Verdana" w:cs="Verdana"/>
                <w:b/>
                <w:b/>
                <w:u w:val="single"/>
              </w:rPr>
            </w:pPr>
            <w:r>
              <w:rPr>
                <w:rFonts w:cs="Verdana" w:ascii="Verdana" w:hAnsi="Verdana"/>
                <w:b/>
                <w:u w:val="single"/>
              </w:rPr>
            </w:r>
          </w:p>
          <w:p>
            <w:pPr>
              <w:pStyle w:val="Normal"/>
              <w:numPr>
                <w:ilvl w:val="0"/>
                <w:numId w:val="2"/>
              </w:numPr>
              <w:tabs>
                <w:tab w:val="clear" w:pos="720"/>
                <w:tab w:val="left" w:pos="0" w:leader="none"/>
              </w:tabs>
              <w:spacing w:before="0" w:after="240"/>
              <w:ind w:left="284" w:right="0" w:hanging="357"/>
              <w:rPr>
                <w:rFonts w:ascii="Verdana" w:hAnsi="Verdana" w:cs="Verdana"/>
                <w:b/>
                <w:b/>
                <w:sz w:val="22"/>
                <w:szCs w:val="22"/>
              </w:rPr>
            </w:pPr>
            <w:r>
              <w:rPr>
                <w:rFonts w:cs="Verdana" w:ascii="Verdana" w:hAnsi="Verdana"/>
                <w:b/>
                <w:sz w:val="22"/>
                <w:szCs w:val="22"/>
              </w:rPr>
              <w:t>Professionalism</w:t>
            </w:r>
          </w:p>
          <w:p>
            <w:pPr>
              <w:pStyle w:val="Default"/>
              <w:rPr>
                <w:rFonts w:ascii="Verdana" w:hAnsi="Verdana" w:cs="Verdana"/>
                <w:b/>
                <w:b/>
                <w:color w:val="auto"/>
                <w:sz w:val="22"/>
                <w:szCs w:val="22"/>
              </w:rPr>
            </w:pPr>
            <w:r>
              <w:rPr>
                <w:rFonts w:cs="Verdana" w:ascii="Verdana" w:hAnsi="Verdana"/>
                <w:b/>
                <w:color w:val="auto"/>
                <w:sz w:val="22"/>
                <w:szCs w:val="22"/>
              </w:rPr>
              <w:t xml:space="preserve">Social workers are members of an internationally recognised profession, a title protected in UK law. Social workers demonstrate professional commitment by taking responsibility for their conduct, practice and learning, with support through supervision. As representatives of the social work profession they safeguard its reputation and are accountable to the professional regulator. </w:t>
            </w:r>
          </w:p>
          <w:p>
            <w:pPr>
              <w:pStyle w:val="Default"/>
              <w:rPr>
                <w:rFonts w:ascii="Verdana" w:hAnsi="Verdana" w:cs="Verdana"/>
                <w:b/>
                <w:b/>
                <w:color w:val="auto"/>
                <w:sz w:val="22"/>
                <w:szCs w:val="22"/>
              </w:rPr>
            </w:pPr>
            <w:r>
              <w:rPr>
                <w:rFonts w:cs="Verdana" w:ascii="Verdana" w:hAnsi="Verdana"/>
                <w:b/>
                <w:color w:val="auto"/>
                <w:sz w:val="22"/>
                <w:szCs w:val="22"/>
              </w:rPr>
            </w:r>
          </w:p>
          <w:p>
            <w:pPr>
              <w:pStyle w:val="ListParagraph"/>
              <w:numPr>
                <w:ilvl w:val="0"/>
                <w:numId w:val="6"/>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Be able to explain the role of the social worker in a range of contexts, and uphold the reputation of the profession. </w:t>
            </w:r>
          </w:p>
          <w:p>
            <w:pPr>
              <w:pStyle w:val="ListParagraph"/>
              <w:numPr>
                <w:ilvl w:val="0"/>
                <w:numId w:val="6"/>
              </w:numPr>
              <w:rPr>
                <w:rFonts w:ascii="Verdana" w:hAnsi="Verdana" w:eastAsia="Calibri" w:cs="Verdana"/>
                <w:sz w:val="22"/>
                <w:szCs w:val="22"/>
                <w:lang w:eastAsia="en-US"/>
              </w:rPr>
            </w:pPr>
            <w:r>
              <w:rPr>
                <w:rFonts w:eastAsia="Calibri" w:cs="Verdana" w:ascii="Verdana" w:hAnsi="Verdana"/>
                <w:sz w:val="22"/>
                <w:szCs w:val="22"/>
                <w:lang w:eastAsia="en-US"/>
              </w:rPr>
              <w:t xml:space="preserve">Make pro active use of supervision to reflect critically on practice, explore different approaches to your work, support your development across the nine capabilities and understand the boundaries of professional accountability. </w:t>
            </w:r>
          </w:p>
          <w:p>
            <w:pPr>
              <w:pStyle w:val="ListParagraph"/>
              <w:numPr>
                <w:ilvl w:val="0"/>
                <w:numId w:val="6"/>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Demonstrate professionalism in terms of presentation, demeanour, reliability, honesty and respectfulness. </w:t>
            </w:r>
          </w:p>
          <w:p>
            <w:pPr>
              <w:pStyle w:val="ListParagraph"/>
              <w:numPr>
                <w:ilvl w:val="0"/>
                <w:numId w:val="6"/>
              </w:numPr>
              <w:rPr>
                <w:rFonts w:ascii="Verdana" w:hAnsi="Verdana" w:eastAsia="Calibri" w:cs="Verdana"/>
                <w:sz w:val="22"/>
                <w:szCs w:val="22"/>
                <w:lang w:eastAsia="en-US"/>
              </w:rPr>
            </w:pPr>
            <w:r>
              <w:rPr>
                <w:rFonts w:eastAsia="Calibri" w:cs="Verdana" w:ascii="Verdana" w:hAnsi="Verdana"/>
                <w:sz w:val="22"/>
                <w:szCs w:val="22"/>
                <w:lang w:eastAsia="en-US"/>
              </w:rPr>
              <w:t xml:space="preserve">Demonstrate workload management skills and develop the ability to prioritise. </w:t>
            </w:r>
          </w:p>
          <w:p>
            <w:pPr>
              <w:pStyle w:val="ListParagraph"/>
              <w:numPr>
                <w:ilvl w:val="0"/>
                <w:numId w:val="6"/>
              </w:numPr>
              <w:rPr>
                <w:rFonts w:ascii="Verdana" w:hAnsi="Verdana" w:eastAsia="Calibri" w:cs="Verdana"/>
                <w:sz w:val="22"/>
                <w:szCs w:val="22"/>
                <w:lang w:eastAsia="en-US"/>
              </w:rPr>
            </w:pPr>
            <w:r>
              <w:rPr>
                <w:rFonts w:eastAsia="Calibri" w:cs="Verdana" w:ascii="Verdana" w:hAnsi="Verdana"/>
                <w:sz w:val="22"/>
                <w:szCs w:val="22"/>
                <w:lang w:eastAsia="en-US"/>
              </w:rPr>
              <w:t xml:space="preserve">Recognise and balance your own personal/professional boundaries in response to changing and more complex contexts. </w:t>
            </w:r>
          </w:p>
          <w:p>
            <w:pPr>
              <w:pStyle w:val="ListParagraph"/>
              <w:numPr>
                <w:ilvl w:val="0"/>
                <w:numId w:val="6"/>
              </w:numPr>
              <w:rPr/>
            </w:pPr>
            <w:r>
              <w:rPr>
                <w:rFonts w:eastAsia="Calibri" w:cs="Verdana" w:ascii="Verdana" w:hAnsi="Verdana"/>
                <w:iCs/>
                <w:sz w:val="22"/>
                <w:szCs w:val="22"/>
                <w:lang w:eastAsia="en-US"/>
              </w:rPr>
              <w:t>Recognise your own professional limitations, and how to seek advice.</w:t>
            </w:r>
            <w:r>
              <w:rPr>
                <w:rFonts w:eastAsia="Calibri" w:cs="Verdana" w:ascii="Verdana" w:hAnsi="Verdana"/>
                <w:i/>
                <w:iCs/>
                <w:sz w:val="22"/>
                <w:szCs w:val="22"/>
                <w:lang w:eastAsia="en-US"/>
              </w:rPr>
              <w:t xml:space="preserve"> </w:t>
            </w:r>
          </w:p>
          <w:p>
            <w:pPr>
              <w:pStyle w:val="ListParagraph"/>
              <w:numPr>
                <w:ilvl w:val="0"/>
                <w:numId w:val="6"/>
              </w:numPr>
              <w:rPr>
                <w:rFonts w:ascii="Verdana" w:hAnsi="Verdana" w:eastAsia="Calibri" w:cs="Verdana"/>
                <w:sz w:val="22"/>
                <w:szCs w:val="22"/>
                <w:lang w:eastAsia="en-US"/>
              </w:rPr>
            </w:pPr>
            <w:r>
              <w:rPr>
                <w:rFonts w:eastAsia="Calibri" w:cs="Verdana" w:ascii="Verdana" w:hAnsi="Verdana"/>
                <w:sz w:val="22"/>
                <w:szCs w:val="22"/>
                <w:lang w:eastAsia="en-US"/>
              </w:rPr>
              <w:t>Identify your learning needs; assume responsibility for improving your practice through appropriate professional development.</w:t>
            </w:r>
          </w:p>
          <w:p>
            <w:pPr>
              <w:pStyle w:val="ListParagraph"/>
              <w:numPr>
                <w:ilvl w:val="0"/>
                <w:numId w:val="6"/>
              </w:numPr>
              <w:rPr>
                <w:rFonts w:ascii="Verdana" w:hAnsi="Verdana" w:eastAsia="Calibri" w:cs="Verdana"/>
                <w:sz w:val="22"/>
                <w:szCs w:val="22"/>
                <w:lang w:eastAsia="en-US"/>
              </w:rPr>
            </w:pPr>
            <w:r>
              <w:rPr>
                <w:rFonts w:eastAsia="Calibri" w:cs="Verdana" w:ascii="Verdana" w:hAnsi="Verdana"/>
                <w:sz w:val="22"/>
                <w:szCs w:val="22"/>
                <w:lang w:eastAsia="en-US"/>
              </w:rPr>
              <w:t xml:space="preserve">Develop ways to promote wellbeing at work, identifying strategies to protect and promote your own well being and the well being of others. </w:t>
            </w:r>
          </w:p>
          <w:p>
            <w:pPr>
              <w:pStyle w:val="ListParagraph"/>
              <w:numPr>
                <w:ilvl w:val="0"/>
                <w:numId w:val="6"/>
              </w:numPr>
              <w:rPr>
                <w:rFonts w:ascii="Verdana" w:hAnsi="Verdana" w:eastAsia="Calibri" w:cs="Verdana"/>
                <w:sz w:val="22"/>
                <w:szCs w:val="22"/>
                <w:lang w:eastAsia="en-US"/>
              </w:rPr>
            </w:pPr>
            <w:r>
              <w:rPr>
                <w:rFonts w:eastAsia="Calibri" w:cs="Verdana" w:ascii="Verdana" w:hAnsi="Verdana"/>
                <w:sz w:val="22"/>
                <w:szCs w:val="22"/>
                <w:lang w:eastAsia="en-US"/>
              </w:rPr>
              <w:t>Identify and implement strategies for responding appropriately to concerns about practice or procedures, seeking guidance if required.</w:t>
            </w:r>
          </w:p>
          <w:p>
            <w:pPr>
              <w:pStyle w:val="ListParagraph"/>
              <w:numPr>
                <w:ilvl w:val="0"/>
                <w:numId w:val="15"/>
              </w:numPr>
              <w:tabs>
                <w:tab w:val="left" w:pos="720" w:leader="none"/>
              </w:tabs>
              <w:spacing w:before="0" w:after="240"/>
              <w:rPr/>
            </w:pPr>
            <w:r>
              <w:rPr>
                <w:rFonts w:cs="Verdana" w:ascii="Verdana" w:hAnsi="Verdana"/>
                <w:sz w:val="22"/>
                <w:szCs w:val="22"/>
              </w:rPr>
              <w:t>To be responsible for your own health and safety and that of customers and/or ca</w:t>
            </w:r>
            <w:r>
              <w:rPr>
                <w:rFonts w:cs="Verdana" w:ascii="Verdana" w:hAnsi="Verdana"/>
                <w:iCs/>
                <w:color w:val="002060"/>
                <w:sz w:val="22"/>
                <w:szCs w:val="22"/>
              </w:rPr>
              <w:t xml:space="preserve"> </w:t>
            </w:r>
            <w:r>
              <w:rPr>
                <w:rFonts w:cs="Verdana" w:ascii="Verdana" w:hAnsi="Verdana"/>
                <w:sz w:val="22"/>
                <w:szCs w:val="22"/>
              </w:rPr>
              <w:t>rers by adhering to policies and procedures.</w:t>
            </w:r>
          </w:p>
          <w:p>
            <w:pPr>
              <w:pStyle w:val="ListParagraph"/>
              <w:numPr>
                <w:ilvl w:val="0"/>
                <w:numId w:val="15"/>
              </w:numPr>
              <w:tabs>
                <w:tab w:val="left" w:pos="720" w:leader="none"/>
              </w:tabs>
              <w:spacing w:before="0" w:after="240"/>
              <w:rPr>
                <w:rFonts w:ascii="Verdana" w:hAnsi="Verdana" w:cs="Verdana"/>
                <w:iCs/>
                <w:color w:val="002060"/>
                <w:sz w:val="22"/>
                <w:szCs w:val="22"/>
              </w:rPr>
            </w:pPr>
            <w:r>
              <w:rPr>
                <w:rFonts w:cs="Verdana" w:ascii="Verdana" w:hAnsi="Verdana"/>
                <w:iCs/>
                <w:color w:val="002060"/>
                <w:sz w:val="22"/>
                <w:szCs w:val="22"/>
              </w:rPr>
              <w:t>As an employee of Bury Council you have a responsibility for, and must be committed to, safeguarding and promoting the welfare of children, young people and vulnerable adults and for ensuring that they are protected from harm.</w:t>
            </w:r>
          </w:p>
          <w:p>
            <w:pPr>
              <w:pStyle w:val="Normal"/>
              <w:spacing w:before="0" w:after="240"/>
              <w:ind w:left="357" w:right="0" w:hanging="0"/>
              <w:rPr>
                <w:rFonts w:ascii="Verdana" w:hAnsi="Verdana" w:cs="Verdana"/>
              </w:rPr>
            </w:pPr>
            <w:r>
              <w:rPr>
                <w:rFonts w:cs="Verdana" w:ascii="Verdana" w:hAnsi="Verdana"/>
              </w:rPr>
            </w:r>
          </w:p>
          <w:p>
            <w:pPr>
              <w:pStyle w:val="Normal"/>
              <w:ind w:left="360" w:right="0" w:hanging="0"/>
              <w:rPr>
                <w:rFonts w:ascii="Verdana" w:hAnsi="Verdana" w:eastAsia="Calibri" w:cs="Verdana"/>
                <w:lang w:eastAsia="en-US"/>
              </w:rPr>
            </w:pPr>
            <w:r>
              <w:rPr>
                <w:rFonts w:eastAsia="Calibri" w:cs="Verdana" w:ascii="Verdana" w:hAnsi="Verdana"/>
                <w:lang w:eastAsia="en-US"/>
              </w:rPr>
            </w:r>
          </w:p>
          <w:p>
            <w:pPr>
              <w:pStyle w:val="Normal"/>
              <w:tabs>
                <w:tab w:val="clear" w:pos="720"/>
                <w:tab w:val="left" w:pos="1440" w:leader="none"/>
                <w:tab w:val="left" w:pos="1980" w:leader="none"/>
              </w:tabs>
              <w:spacing w:before="120" w:after="120"/>
              <w:rPr>
                <w:rFonts w:ascii="Verdana" w:hAnsi="Verdana" w:eastAsia="Calibri" w:cs="Verdana"/>
                <w:b/>
                <w:b/>
                <w:lang w:eastAsia="en-US"/>
              </w:rPr>
            </w:pPr>
            <w:r>
              <w:rPr>
                <w:rFonts w:eastAsia="Calibri" w:cs="Verdana" w:ascii="Verdana" w:hAnsi="Verdana"/>
                <w:b/>
                <w:lang w:eastAsia="en-US"/>
              </w:rPr>
            </w:r>
          </w:p>
        </w:tc>
        <w:tc>
          <w:tcPr>
            <w:tcW w:w="23" w:type="dxa"/>
            <w:gridSpan w:val="2"/>
            <w:tcBorders>
              <w:left w:val="single" w:sz="6" w:space="0" w:color="000000"/>
            </w:tcBorders>
            <w:shd w:fill="auto" w:val="clear"/>
          </w:tcPr>
          <w:p>
            <w:pPr>
              <w:pStyle w:val="Normal"/>
              <w:snapToGrid w:val="false"/>
              <w:rPr>
                <w:rFonts w:ascii="Verdana" w:hAnsi="Verdana" w:cs="Verdana"/>
                <w:b/>
                <w:b/>
              </w:rPr>
            </w:pPr>
            <w:r>
              <w:rPr>
                <w:rFonts w:cs="Verdana" w:ascii="Verdana" w:hAnsi="Verdana"/>
                <w:b/>
              </w:rPr>
            </w:r>
          </w:p>
        </w:tc>
        <w:tc>
          <w:tcPr>
            <w:tcW w:w="58" w:type="dxa"/>
            <w:tcBorders/>
            <w:shd w:fill="auto" w:val="clear"/>
          </w:tcPr>
          <w:p>
            <w:pPr>
              <w:pStyle w:val="Normal"/>
              <w:snapToGrid w:val="false"/>
              <w:rPr/>
            </w:pPr>
            <w:r>
              <w:rPr/>
            </w:r>
          </w:p>
        </w:tc>
      </w:tr>
      <w:tr>
        <w:trPr>
          <w:trHeight w:val="2150" w:hRule="atLeast"/>
          <w:cantSplit w:val="true"/>
        </w:trPr>
        <w:tc>
          <w:tcPr>
            <w:tcW w:w="34" w:type="dxa"/>
            <w:tcBorders/>
            <w:shd w:fill="auto" w:val="clear"/>
          </w:tcPr>
          <w:p>
            <w:pPr>
              <w:pStyle w:val="Normal"/>
              <w:snapToGrid w:val="false"/>
              <w:rPr/>
            </w:pPr>
            <w:r>
              <w:rPr/>
            </w:r>
          </w:p>
        </w:tc>
        <w:tc>
          <w:tcPr>
            <w:tcW w:w="10031" w:type="dxa"/>
            <w:gridSpan w:val="2"/>
            <w:tcBorders>
              <w:top w:val="double" w:sz="6" w:space="0" w:color="000000"/>
              <w:left w:val="single" w:sz="6" w:space="0" w:color="000000"/>
              <w:bottom w:val="double" w:sz="6" w:space="0" w:color="000000"/>
            </w:tcBorders>
            <w:shd w:fill="auto" w:val="clear"/>
          </w:tcPr>
          <w:p>
            <w:pPr>
              <w:pStyle w:val="Normal"/>
              <w:numPr>
                <w:ilvl w:val="0"/>
                <w:numId w:val="2"/>
              </w:numPr>
              <w:tabs>
                <w:tab w:val="clear" w:pos="720"/>
                <w:tab w:val="left" w:pos="0" w:leader="none"/>
              </w:tabs>
              <w:spacing w:before="0" w:after="240"/>
              <w:ind w:left="284" w:right="0" w:hanging="357"/>
              <w:rPr>
                <w:rFonts w:ascii="Verdana" w:hAnsi="Verdana" w:cs="Verdana"/>
                <w:b/>
                <w:b/>
                <w:sz w:val="22"/>
                <w:szCs w:val="22"/>
              </w:rPr>
            </w:pPr>
            <w:r>
              <w:rPr>
                <w:rFonts w:cs="Verdana" w:ascii="Verdana" w:hAnsi="Verdana"/>
                <w:b/>
                <w:sz w:val="22"/>
                <w:szCs w:val="22"/>
              </w:rPr>
              <w:t>Values and Ethics</w:t>
            </w:r>
          </w:p>
          <w:p>
            <w:pPr>
              <w:pStyle w:val="Normal"/>
              <w:spacing w:before="0" w:after="240"/>
              <w:ind w:left="-73" w:right="0" w:hanging="0"/>
              <w:rPr>
                <w:rFonts w:ascii="Verdana" w:hAnsi="Verdana" w:cs="Verdana"/>
                <w:b/>
                <w:b/>
                <w:sz w:val="22"/>
                <w:szCs w:val="22"/>
              </w:rPr>
            </w:pPr>
            <w:r>
              <w:rPr>
                <w:rFonts w:cs="Verdana" w:ascii="Verdana" w:hAnsi="Verdana"/>
                <w:b/>
                <w:sz w:val="22"/>
                <w:szCs w:val="22"/>
              </w:rPr>
              <w:t>Social workers have an obligation to conduct themselves ethically and to engage in ethical decision-making, including through partnership with people who use their services. Social workers are knowledgeable about the value base of their profession, its ethical standards and relevant law.</w:t>
            </w:r>
          </w:p>
          <w:p>
            <w:pPr>
              <w:pStyle w:val="Normal"/>
              <w:rPr>
                <w:rFonts w:ascii="Verdana" w:hAnsi="Verdana" w:eastAsia="Calibri" w:cs="Verdana"/>
                <w:lang w:eastAsia="en-US"/>
              </w:rPr>
            </w:pPr>
            <w:r>
              <w:rPr>
                <w:rFonts w:eastAsia="Calibri" w:cs="Verdana" w:ascii="Verdana" w:hAnsi="Verdana"/>
                <w:lang w:eastAsia="en-US"/>
              </w:rPr>
            </w:r>
          </w:p>
          <w:p>
            <w:pPr>
              <w:pStyle w:val="ListParagraph"/>
              <w:numPr>
                <w:ilvl w:val="0"/>
                <w:numId w:val="7"/>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Understand and apply the profession’s ethical principles and legislation, taking account of these in reaching decisions. </w:t>
            </w:r>
          </w:p>
          <w:p>
            <w:pPr>
              <w:pStyle w:val="ListParagraph"/>
              <w:numPr>
                <w:ilvl w:val="0"/>
                <w:numId w:val="7"/>
              </w:numPr>
              <w:rPr>
                <w:rFonts w:ascii="Verdana" w:hAnsi="Verdana" w:eastAsia="Calibri" w:cs="Verdana"/>
                <w:sz w:val="22"/>
                <w:szCs w:val="22"/>
                <w:lang w:eastAsia="en-US"/>
              </w:rPr>
            </w:pPr>
            <w:r>
              <w:rPr>
                <w:rFonts w:eastAsia="Calibri" w:cs="Verdana" w:ascii="Verdana" w:hAnsi="Verdana"/>
                <w:sz w:val="22"/>
                <w:szCs w:val="22"/>
                <w:lang w:eastAsia="en-US"/>
              </w:rPr>
              <w:t xml:space="preserve">Recognise, and manage the impact of your own values on professional practice. </w:t>
            </w:r>
          </w:p>
          <w:p>
            <w:pPr>
              <w:pStyle w:val="ListParagraph"/>
              <w:numPr>
                <w:ilvl w:val="0"/>
                <w:numId w:val="7"/>
              </w:numPr>
              <w:rPr>
                <w:rFonts w:ascii="Verdana" w:hAnsi="Verdana" w:eastAsia="Calibri" w:cs="Verdana"/>
                <w:sz w:val="22"/>
                <w:szCs w:val="22"/>
                <w:lang w:eastAsia="en-US"/>
              </w:rPr>
            </w:pPr>
            <w:r>
              <w:rPr>
                <w:rFonts w:eastAsia="Calibri" w:cs="Verdana" w:ascii="Verdana" w:hAnsi="Verdana"/>
                <w:sz w:val="22"/>
                <w:szCs w:val="22"/>
                <w:lang w:eastAsia="en-US"/>
              </w:rPr>
              <w:t xml:space="preserve">Recognise and manage conflicting values and ethical dilemmas to arrive at principled decisions. </w:t>
            </w:r>
          </w:p>
          <w:p>
            <w:pPr>
              <w:pStyle w:val="ListParagraph"/>
              <w:numPr>
                <w:ilvl w:val="0"/>
                <w:numId w:val="7"/>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Demonstrate respectful partnership work with service users and carers, eliciting and respecting their needs and views, and promoting their participation in decision-making wherever possible. </w:t>
            </w:r>
          </w:p>
          <w:p>
            <w:pPr>
              <w:pStyle w:val="ListParagraph"/>
              <w:numPr>
                <w:ilvl w:val="0"/>
                <w:numId w:val="7"/>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Recognise and promote individuals’ rights to autonomy and self-determination. </w:t>
            </w:r>
          </w:p>
          <w:p>
            <w:pPr>
              <w:pStyle w:val="ListParagraph"/>
              <w:numPr>
                <w:ilvl w:val="0"/>
                <w:numId w:val="7"/>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Promote and protect the privacy of individuals within and outside their families and networks, recognising the requirements of professional accountability and information sharing. </w:t>
            </w:r>
          </w:p>
          <w:p>
            <w:pPr>
              <w:pStyle w:val="Normal"/>
              <w:rPr>
                <w:rFonts w:ascii="Verdana" w:hAnsi="Verdana" w:cs="Verdana"/>
                <w:b/>
                <w:b/>
                <w:u w:val="single"/>
              </w:rPr>
            </w:pPr>
            <w:r>
              <w:rPr>
                <w:rFonts w:cs="Verdana" w:ascii="Verdana" w:hAnsi="Verdana"/>
                <w:b/>
                <w:u w:val="single"/>
              </w:rPr>
            </w:r>
          </w:p>
          <w:p>
            <w:pPr>
              <w:pStyle w:val="Normal"/>
              <w:numPr>
                <w:ilvl w:val="0"/>
                <w:numId w:val="2"/>
              </w:numPr>
              <w:tabs>
                <w:tab w:val="clear" w:pos="720"/>
                <w:tab w:val="left" w:pos="0" w:leader="none"/>
              </w:tabs>
              <w:spacing w:before="0" w:after="240"/>
              <w:ind w:left="284" w:right="0" w:hanging="357"/>
              <w:rPr>
                <w:rFonts w:ascii="Verdana" w:hAnsi="Verdana" w:cs="Verdana"/>
                <w:b/>
                <w:b/>
                <w:sz w:val="22"/>
                <w:szCs w:val="22"/>
              </w:rPr>
            </w:pPr>
            <w:r>
              <w:rPr>
                <w:rFonts w:cs="Verdana" w:ascii="Verdana" w:hAnsi="Verdana"/>
                <w:b/>
                <w:sz w:val="22"/>
                <w:szCs w:val="22"/>
              </w:rPr>
              <w:t>Diversity</w:t>
            </w:r>
          </w:p>
          <w:p>
            <w:pPr>
              <w:pStyle w:val="Default"/>
              <w:rPr>
                <w:rFonts w:ascii="Verdana" w:hAnsi="Verdana" w:cs="Verdana"/>
                <w:b/>
                <w:b/>
                <w:color w:val="auto"/>
                <w:sz w:val="22"/>
                <w:szCs w:val="22"/>
              </w:rPr>
            </w:pPr>
            <w:r>
              <w:rPr>
                <w:rFonts w:cs="Verdana" w:ascii="Verdana" w:hAnsi="Verdana"/>
                <w:b/>
                <w:color w:val="auto"/>
                <w:sz w:val="22"/>
                <w:szCs w:val="22"/>
              </w:rPr>
              <w:t xml:space="preserve">Social workers understand that diversity characterises and shapes human experience and is critical to the formation of identity. Diversity is multi-dimensional and includes race, disability, class, economic status, age, sexuality, gender and transgender, faith and belief. Social workers appreciate that, as a consequence of difference, a person’s life experience may include oppression, marginalisation and alienation as well as privilege, power and acclaim, and are able to challenge appropriately. </w:t>
            </w:r>
          </w:p>
          <w:p>
            <w:pPr>
              <w:pStyle w:val="Normal"/>
              <w:rPr>
                <w:rFonts w:ascii="Verdana" w:hAnsi="Verdana" w:eastAsia="Calibri" w:cs="Verdana"/>
                <w:lang w:eastAsia="en-US"/>
              </w:rPr>
            </w:pPr>
            <w:r>
              <w:rPr>
                <w:rFonts w:eastAsia="Calibri" w:cs="Verdana" w:ascii="Verdana" w:hAnsi="Verdana"/>
                <w:lang w:eastAsia="en-US"/>
              </w:rPr>
            </w:r>
          </w:p>
          <w:p>
            <w:pPr>
              <w:pStyle w:val="ListParagraph"/>
              <w:numPr>
                <w:ilvl w:val="0"/>
                <w:numId w:val="8"/>
              </w:numPr>
              <w:rPr>
                <w:rFonts w:ascii="Verdana" w:hAnsi="Verdana" w:eastAsia="Calibri" w:cs="Verdana"/>
                <w:sz w:val="22"/>
                <w:szCs w:val="22"/>
                <w:lang w:eastAsia="en-US"/>
              </w:rPr>
            </w:pPr>
            <w:r>
              <w:rPr>
                <w:rFonts w:eastAsia="Calibri" w:cs="Verdana" w:ascii="Verdana" w:hAnsi="Verdana"/>
                <w:sz w:val="22"/>
                <w:szCs w:val="22"/>
                <w:lang w:eastAsia="en-US"/>
              </w:rPr>
              <w:t xml:space="preserve">Identify and take account of the significance of diversity and discrimination on the lives of people, and show application of this understanding in your practice. </w:t>
            </w:r>
          </w:p>
          <w:p>
            <w:pPr>
              <w:pStyle w:val="ListParagraph"/>
              <w:numPr>
                <w:ilvl w:val="0"/>
                <w:numId w:val="8"/>
              </w:numPr>
              <w:rPr>
                <w:rFonts w:ascii="Verdana" w:hAnsi="Verdana" w:eastAsia="Calibri" w:cs="Verdana"/>
                <w:sz w:val="22"/>
                <w:szCs w:val="22"/>
                <w:lang w:eastAsia="en-US"/>
              </w:rPr>
            </w:pPr>
            <w:r>
              <w:rPr>
                <w:rFonts w:eastAsia="Calibri" w:cs="Verdana" w:ascii="Verdana" w:hAnsi="Verdana"/>
                <w:sz w:val="22"/>
                <w:szCs w:val="22"/>
                <w:lang w:eastAsia="en-US"/>
              </w:rPr>
              <w:t xml:space="preserve">Recognise oppression and discrimination by individuals or organisations and implement appropriate strategies to challenge. </w:t>
            </w:r>
          </w:p>
          <w:p>
            <w:pPr>
              <w:pStyle w:val="ListParagraph"/>
              <w:numPr>
                <w:ilvl w:val="0"/>
                <w:numId w:val="8"/>
              </w:numPr>
              <w:rPr>
                <w:rFonts w:ascii="Verdana" w:hAnsi="Verdana" w:eastAsia="Calibri" w:cs="Verdana"/>
                <w:sz w:val="22"/>
                <w:szCs w:val="22"/>
                <w:lang w:eastAsia="en-US"/>
              </w:rPr>
            </w:pPr>
            <w:r>
              <w:rPr>
                <w:rFonts w:eastAsia="Calibri" w:cs="Verdana" w:ascii="Verdana" w:hAnsi="Verdana"/>
                <w:sz w:val="22"/>
                <w:szCs w:val="22"/>
                <w:lang w:eastAsia="en-US"/>
              </w:rPr>
              <w:t>Identify the impact of the power invested in your role on relationships and your intervention, and be able to adapt your practice accordingly.</w:t>
            </w:r>
          </w:p>
          <w:p>
            <w:pPr>
              <w:pStyle w:val="ListParagraph"/>
              <w:rPr>
                <w:rFonts w:ascii="Verdana" w:hAnsi="Verdana" w:eastAsia="Calibri" w:cs="Verdana"/>
                <w:lang w:eastAsia="en-US"/>
              </w:rPr>
            </w:pPr>
            <w:r>
              <w:rPr>
                <w:rFonts w:eastAsia="Calibri" w:cs="Verdana" w:ascii="Verdana" w:hAnsi="Verdana"/>
                <w:lang w:eastAsia="en-US"/>
              </w:rPr>
            </w:r>
          </w:p>
          <w:p>
            <w:pPr>
              <w:pStyle w:val="Normal"/>
              <w:numPr>
                <w:ilvl w:val="0"/>
                <w:numId w:val="2"/>
              </w:numPr>
              <w:tabs>
                <w:tab w:val="clear" w:pos="720"/>
                <w:tab w:val="left" w:pos="0" w:leader="none"/>
              </w:tabs>
              <w:spacing w:before="0" w:after="240"/>
              <w:ind w:left="284" w:right="0" w:hanging="357"/>
              <w:rPr>
                <w:rFonts w:ascii="Verdana" w:hAnsi="Verdana" w:cs="Verdana"/>
                <w:b/>
                <w:b/>
                <w:sz w:val="22"/>
                <w:szCs w:val="22"/>
              </w:rPr>
            </w:pPr>
            <w:r>
              <w:rPr>
                <w:rFonts w:cs="Verdana" w:ascii="Verdana" w:hAnsi="Verdana"/>
                <w:b/>
                <w:sz w:val="22"/>
                <w:szCs w:val="22"/>
              </w:rPr>
              <w:t>Rights , Justice and Economic Wellbeing</w:t>
            </w:r>
          </w:p>
          <w:p>
            <w:pPr>
              <w:pStyle w:val="Normal"/>
              <w:spacing w:before="0" w:after="240"/>
              <w:ind w:left="-73" w:right="0" w:hanging="0"/>
              <w:rPr>
                <w:rFonts w:ascii="Verdana" w:hAnsi="Verdana" w:cs="Verdana"/>
                <w:b/>
                <w:b/>
                <w:sz w:val="22"/>
                <w:szCs w:val="22"/>
              </w:rPr>
            </w:pPr>
            <w:r>
              <w:rPr>
                <w:rFonts w:cs="Verdana" w:ascii="Verdana" w:hAnsi="Verdana"/>
                <w:b/>
                <w:sz w:val="22"/>
                <w:szCs w:val="22"/>
              </w:rPr>
              <w:t>Social workers recognise the fundamental principles of human rights and equality, and that these are protected in national and international law, conventions and policies. They ensure these principles underpin their practice. Social workers understand the importance of using and contributing to case law and applying these rights in their own practice. They understand the effects of oppression, discrimination and poverty.</w:t>
            </w:r>
          </w:p>
          <w:p>
            <w:pPr>
              <w:pStyle w:val="Normal"/>
              <w:rPr>
                <w:rFonts w:ascii="Verdana" w:hAnsi="Verdana" w:cs="Verdana"/>
                <w:b/>
                <w:b/>
                <w:u w:val="single"/>
              </w:rPr>
            </w:pPr>
            <w:r>
              <w:rPr>
                <w:rFonts w:cs="Verdana" w:ascii="Verdana" w:hAnsi="Verdana"/>
                <w:b/>
                <w:u w:val="single"/>
              </w:rPr>
            </w:r>
          </w:p>
        </w:tc>
        <w:tc>
          <w:tcPr>
            <w:tcW w:w="23" w:type="dxa"/>
            <w:gridSpan w:val="2"/>
            <w:tcBorders>
              <w:left w:val="single" w:sz="6" w:space="0" w:color="000000"/>
            </w:tcBorders>
            <w:shd w:fill="auto" w:val="clear"/>
          </w:tcPr>
          <w:p>
            <w:pPr>
              <w:pStyle w:val="Normal"/>
              <w:snapToGrid w:val="false"/>
              <w:rPr>
                <w:rFonts w:ascii="Verdana" w:hAnsi="Verdana" w:cs="Verdana"/>
                <w:b/>
                <w:b/>
                <w:u w:val="single"/>
              </w:rPr>
            </w:pPr>
            <w:r>
              <w:rPr>
                <w:rFonts w:cs="Verdana" w:ascii="Verdana" w:hAnsi="Verdana"/>
                <w:b/>
                <w:u w:val="single"/>
              </w:rPr>
            </w:r>
          </w:p>
        </w:tc>
        <w:tc>
          <w:tcPr>
            <w:tcW w:w="58" w:type="dxa"/>
            <w:tcBorders/>
            <w:shd w:fill="auto" w:val="clear"/>
          </w:tcPr>
          <w:p>
            <w:pPr>
              <w:pStyle w:val="Normal"/>
              <w:snapToGrid w:val="false"/>
              <w:rPr/>
            </w:pPr>
            <w:r>
              <w:rPr/>
            </w:r>
          </w:p>
        </w:tc>
      </w:tr>
      <w:tr>
        <w:trPr>
          <w:trHeight w:val="2150" w:hRule="atLeast"/>
          <w:cantSplit w:val="true"/>
        </w:trPr>
        <w:tc>
          <w:tcPr>
            <w:tcW w:w="34" w:type="dxa"/>
            <w:tcBorders/>
            <w:shd w:fill="auto" w:val="clear"/>
          </w:tcPr>
          <w:p>
            <w:pPr>
              <w:pStyle w:val="Normal"/>
              <w:snapToGrid w:val="false"/>
              <w:rPr/>
            </w:pPr>
            <w:r>
              <w:rPr/>
            </w:r>
          </w:p>
        </w:tc>
        <w:tc>
          <w:tcPr>
            <w:tcW w:w="10031" w:type="dxa"/>
            <w:gridSpan w:val="2"/>
            <w:tcBorders>
              <w:top w:val="double" w:sz="6" w:space="0" w:color="000000"/>
              <w:left w:val="single" w:sz="6" w:space="0" w:color="000000"/>
              <w:bottom w:val="double" w:sz="6" w:space="0" w:color="000000"/>
            </w:tcBorders>
            <w:shd w:fill="auto" w:val="clear"/>
          </w:tcPr>
          <w:p>
            <w:pPr>
              <w:pStyle w:val="ListParagraph"/>
              <w:numPr>
                <w:ilvl w:val="0"/>
                <w:numId w:val="9"/>
              </w:numPr>
              <w:rPr>
                <w:rFonts w:ascii="Verdana" w:hAnsi="Verdana" w:eastAsia="Calibri" w:cs="Verdana"/>
                <w:sz w:val="22"/>
                <w:szCs w:val="22"/>
                <w:lang w:eastAsia="en-US"/>
              </w:rPr>
            </w:pPr>
            <w:r>
              <w:rPr>
                <w:rFonts w:eastAsia="Calibri" w:cs="Verdana" w:ascii="Verdana" w:hAnsi="Verdana"/>
                <w:sz w:val="22"/>
                <w:szCs w:val="22"/>
                <w:lang w:eastAsia="en-US"/>
              </w:rPr>
              <w:t xml:space="preserve">Begin to integrate principles of and entitlements to social justice, social inclusion and equality in your analysis and practice, by identifying factors that contribute to inequality and exclusion, and supporting people to pursue options to enhance their well being. </w:t>
            </w:r>
          </w:p>
          <w:p>
            <w:pPr>
              <w:pStyle w:val="ListParagraph"/>
              <w:numPr>
                <w:ilvl w:val="0"/>
                <w:numId w:val="9"/>
              </w:numPr>
              <w:rPr>
                <w:rFonts w:ascii="Verdana" w:hAnsi="Verdana" w:eastAsia="Calibri" w:cs="Verdana"/>
                <w:sz w:val="22"/>
                <w:szCs w:val="22"/>
                <w:lang w:eastAsia="en-US"/>
              </w:rPr>
            </w:pPr>
            <w:r>
              <w:rPr>
                <w:rFonts w:eastAsia="Calibri" w:cs="Verdana" w:ascii="Verdana" w:hAnsi="Verdana"/>
                <w:sz w:val="22"/>
                <w:szCs w:val="22"/>
                <w:lang w:eastAsia="en-US"/>
              </w:rPr>
              <w:t xml:space="preserve">Address oppression and discrimination applying the law to protect and advance people’s rights, recognising how legislation can constrain or advance these rights. </w:t>
            </w:r>
          </w:p>
          <w:p>
            <w:pPr>
              <w:pStyle w:val="ListParagraph"/>
              <w:numPr>
                <w:ilvl w:val="0"/>
                <w:numId w:val="9"/>
              </w:numPr>
              <w:rPr>
                <w:rFonts w:ascii="Verdana" w:hAnsi="Verdana" w:eastAsia="Calibri" w:cs="Verdana"/>
                <w:sz w:val="22"/>
                <w:szCs w:val="22"/>
                <w:lang w:eastAsia="en-US"/>
              </w:rPr>
            </w:pPr>
            <w:r>
              <w:rPr>
                <w:rFonts w:eastAsia="Calibri" w:cs="Verdana" w:ascii="Verdana" w:hAnsi="Verdana"/>
                <w:sz w:val="22"/>
                <w:szCs w:val="22"/>
                <w:lang w:eastAsia="en-US"/>
              </w:rPr>
              <w:t xml:space="preserve">Apply in practice principles of human, civil rights and equalities legislation, and manage competing rights, differing needs and perspectives. </w:t>
            </w:r>
          </w:p>
          <w:p>
            <w:pPr>
              <w:pStyle w:val="ListParagraph"/>
              <w:numPr>
                <w:ilvl w:val="0"/>
                <w:numId w:val="9"/>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Recognise the impact of poverty and social exclusion and promote enhanced economic status through access to education, work, housing, health services and welfare benefit. </w:t>
            </w:r>
          </w:p>
          <w:p>
            <w:pPr>
              <w:pStyle w:val="ListParagraph"/>
              <w:numPr>
                <w:ilvl w:val="0"/>
                <w:numId w:val="9"/>
              </w:numPr>
              <w:rPr>
                <w:rFonts w:ascii="Verdana" w:hAnsi="Verdana" w:eastAsia="Calibri" w:cs="Verdana"/>
                <w:sz w:val="22"/>
                <w:szCs w:val="22"/>
                <w:lang w:eastAsia="en-US"/>
              </w:rPr>
            </w:pPr>
            <w:r>
              <w:rPr>
                <w:rFonts w:eastAsia="Calibri" w:cs="Verdana" w:ascii="Verdana" w:hAnsi="Verdana"/>
                <w:sz w:val="22"/>
                <w:szCs w:val="22"/>
                <w:lang w:eastAsia="en-US"/>
              </w:rPr>
              <w:t xml:space="preserve">Empower service users and carers through recognising their rights and enable access where appropriate to independent advocacy. </w:t>
            </w:r>
          </w:p>
          <w:p>
            <w:pPr>
              <w:pStyle w:val="ListParagraph"/>
              <w:rPr>
                <w:rFonts w:ascii="Verdana" w:hAnsi="Verdana" w:eastAsia="Calibri" w:cs="Verdana"/>
                <w:lang w:eastAsia="en-US"/>
              </w:rPr>
            </w:pPr>
            <w:r>
              <w:rPr>
                <w:rFonts w:eastAsia="Calibri" w:cs="Verdana" w:ascii="Verdana" w:hAnsi="Verdana"/>
                <w:lang w:eastAsia="en-US"/>
              </w:rPr>
            </w:r>
          </w:p>
          <w:p>
            <w:pPr>
              <w:pStyle w:val="Normal"/>
              <w:numPr>
                <w:ilvl w:val="0"/>
                <w:numId w:val="2"/>
              </w:numPr>
              <w:tabs>
                <w:tab w:val="clear" w:pos="720"/>
                <w:tab w:val="left" w:pos="0" w:leader="none"/>
              </w:tabs>
              <w:spacing w:before="0" w:after="240"/>
              <w:ind w:left="284" w:right="0" w:hanging="357"/>
              <w:rPr>
                <w:rFonts w:ascii="Verdana" w:hAnsi="Verdana" w:cs="Verdana"/>
                <w:b/>
                <w:b/>
                <w:sz w:val="22"/>
                <w:szCs w:val="22"/>
              </w:rPr>
            </w:pPr>
            <w:r>
              <w:rPr>
                <w:rFonts w:cs="Verdana" w:ascii="Verdana" w:hAnsi="Verdana"/>
                <w:b/>
                <w:sz w:val="22"/>
                <w:szCs w:val="22"/>
              </w:rPr>
              <w:t>Knowledge</w:t>
            </w:r>
          </w:p>
          <w:p>
            <w:pPr>
              <w:pStyle w:val="Normal"/>
              <w:spacing w:before="0" w:after="240"/>
              <w:ind w:left="-73" w:right="0" w:hanging="0"/>
              <w:rPr>
                <w:rFonts w:ascii="Verdana" w:hAnsi="Verdana" w:cs="Verdana"/>
                <w:b/>
                <w:b/>
                <w:sz w:val="22"/>
                <w:szCs w:val="22"/>
              </w:rPr>
            </w:pPr>
            <w:r>
              <w:rPr>
                <w:rFonts w:cs="Verdana" w:ascii="Verdana" w:hAnsi="Verdana"/>
                <w:b/>
                <w:sz w:val="22"/>
                <w:szCs w:val="22"/>
              </w:rPr>
              <w:t>Social workers understand psychological, social, cultural, spiritual and physical influences on people; human development throughout the life span and the legal framework for practice. They apply this knowledge in their work with individuals, families and communities. They know and use theories and methods of social work practice.</w:t>
            </w:r>
          </w:p>
          <w:p>
            <w:pPr>
              <w:pStyle w:val="Normal"/>
              <w:rPr>
                <w:rFonts w:ascii="Verdana" w:hAnsi="Verdana" w:eastAsia="Calibri" w:cs="Verdana"/>
                <w:lang w:eastAsia="en-US"/>
              </w:rPr>
            </w:pPr>
            <w:r>
              <w:rPr>
                <w:rFonts w:eastAsia="Calibri" w:cs="Verdana" w:ascii="Verdana" w:hAnsi="Verdana"/>
                <w:lang w:eastAsia="en-US"/>
              </w:rPr>
            </w:r>
          </w:p>
          <w:p>
            <w:pPr>
              <w:pStyle w:val="ListParagraph"/>
              <w:numPr>
                <w:ilvl w:val="0"/>
                <w:numId w:val="10"/>
              </w:numPr>
              <w:rPr>
                <w:rFonts w:ascii="Verdana" w:hAnsi="Verdana" w:eastAsia="Calibri" w:cs="Verdana"/>
                <w:sz w:val="22"/>
                <w:szCs w:val="22"/>
                <w:lang w:eastAsia="en-US"/>
              </w:rPr>
            </w:pPr>
            <w:r>
              <w:rPr>
                <w:rFonts w:eastAsia="Calibri" w:cs="Verdana" w:ascii="Verdana" w:hAnsi="Verdana"/>
                <w:sz w:val="22"/>
                <w:szCs w:val="22"/>
                <w:lang w:eastAsia="en-US"/>
              </w:rPr>
              <w:t xml:space="preserve">Consolidate, develop and demonstrate comprehensive understanding and application of the knowledge gained in your initial training, and knowledge related to your specialist area of practice, including critical awareness of current issues and new evidence-based practice research. </w:t>
            </w:r>
          </w:p>
          <w:p>
            <w:pPr>
              <w:pStyle w:val="ListParagraph"/>
              <w:numPr>
                <w:ilvl w:val="0"/>
                <w:numId w:val="10"/>
              </w:numPr>
              <w:rPr>
                <w:rFonts w:ascii="Verdana" w:hAnsi="Verdana" w:eastAsia="Calibri" w:cs="Verdana"/>
                <w:sz w:val="22"/>
                <w:szCs w:val="22"/>
                <w:lang w:eastAsia="en-US"/>
              </w:rPr>
            </w:pPr>
            <w:r>
              <w:rPr>
                <w:rFonts w:eastAsia="Calibri" w:cs="Verdana" w:ascii="Verdana" w:hAnsi="Verdana"/>
                <w:sz w:val="22"/>
                <w:szCs w:val="22"/>
                <w:lang w:eastAsia="en-US"/>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pPr>
              <w:pStyle w:val="ListParagraph"/>
              <w:numPr>
                <w:ilvl w:val="0"/>
                <w:numId w:val="10"/>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Demonstrate and apply to practice a working knowledge of human growth and development throughout the life course. </w:t>
            </w:r>
          </w:p>
          <w:p>
            <w:pPr>
              <w:pStyle w:val="ListParagraph"/>
              <w:numPr>
                <w:ilvl w:val="0"/>
                <w:numId w:val="10"/>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Recognise the short and long term impact of psychological, socio-economic, environmental and physiological factors on people’s lives, taking into account age and development, and how this informs practice. </w:t>
            </w:r>
          </w:p>
          <w:p>
            <w:pPr>
              <w:pStyle w:val="ListParagraph"/>
              <w:numPr>
                <w:ilvl w:val="0"/>
                <w:numId w:val="10"/>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Recognise how systemic approaches can be used to understand the person-in-the-environment and inform your practice. </w:t>
            </w:r>
          </w:p>
          <w:p>
            <w:pPr>
              <w:pStyle w:val="ListParagraph"/>
              <w:numPr>
                <w:ilvl w:val="0"/>
                <w:numId w:val="10"/>
              </w:numPr>
              <w:rPr>
                <w:rFonts w:ascii="Verdana" w:hAnsi="Verdana" w:eastAsia="Calibri" w:cs="Verdana"/>
                <w:iCs/>
                <w:sz w:val="22"/>
                <w:szCs w:val="22"/>
                <w:lang w:eastAsia="en-US"/>
              </w:rPr>
            </w:pPr>
            <w:r>
              <w:rPr>
                <w:rFonts w:eastAsia="Calibri" w:cs="Verdana" w:ascii="Verdana" w:hAnsi="Verdana"/>
                <w:iCs/>
                <w:sz w:val="22"/>
                <w:szCs w:val="22"/>
                <w:lang w:eastAsia="en-US"/>
              </w:rPr>
              <w:t>Acknowledge the centrality of relationships for people and the key concepts of attachment, separation, loss, change and resilience.</w:t>
            </w:r>
          </w:p>
          <w:p>
            <w:pPr>
              <w:pStyle w:val="ListParagraph"/>
              <w:numPr>
                <w:ilvl w:val="0"/>
                <w:numId w:val="10"/>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Understand forms of harm and their impact on people, and the implications for practice, drawing on concepts of strength, resilience, vulnerability, risk and resistance, and apply to practice. </w:t>
            </w:r>
          </w:p>
          <w:p>
            <w:pPr>
              <w:pStyle w:val="ListParagraph"/>
              <w:numPr>
                <w:ilvl w:val="0"/>
                <w:numId w:val="10"/>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Demonstrate a critical knowledge of the range of theories and models for social work intervention with individuals, families, groups and communities, and the methods derived from them. </w:t>
            </w:r>
          </w:p>
          <w:p>
            <w:pPr>
              <w:pStyle w:val="ListParagraph"/>
              <w:numPr>
                <w:ilvl w:val="0"/>
                <w:numId w:val="10"/>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Demonstrate a critical understanding of social welfare policy, its evolution, implementation and impact on people, social work, other professions, and inter-agency working. </w:t>
            </w:r>
          </w:p>
          <w:p>
            <w:pPr>
              <w:pStyle w:val="ListParagraph"/>
              <w:numPr>
                <w:ilvl w:val="0"/>
                <w:numId w:val="10"/>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Recognise the contribution, and begin to make use, of research to inform practice </w:t>
            </w:r>
          </w:p>
          <w:p>
            <w:pPr>
              <w:pStyle w:val="ListParagraph"/>
              <w:numPr>
                <w:ilvl w:val="0"/>
                <w:numId w:val="10"/>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Demonstrate a critical understanding of research methods. </w:t>
            </w:r>
          </w:p>
          <w:p>
            <w:pPr>
              <w:pStyle w:val="ListParagraph"/>
              <w:numPr>
                <w:ilvl w:val="0"/>
                <w:numId w:val="10"/>
              </w:numPr>
              <w:jc w:val="both"/>
              <w:rPr>
                <w:rFonts w:ascii="Verdana" w:hAnsi="Verdana" w:eastAsia="Calibri" w:cs="Verdana"/>
                <w:iCs/>
                <w:sz w:val="22"/>
                <w:szCs w:val="22"/>
                <w:lang w:eastAsia="en-US"/>
              </w:rPr>
            </w:pPr>
            <w:r>
              <w:rPr>
                <w:rFonts w:eastAsia="Calibri" w:cs="Verdana" w:ascii="Verdana" w:hAnsi="Verdana"/>
                <w:iCs/>
                <w:sz w:val="22"/>
                <w:szCs w:val="22"/>
                <w:lang w:eastAsia="en-US"/>
              </w:rPr>
              <w:t xml:space="preserve">Value and take account of the expertise of service users, carers and professionals. </w:t>
            </w:r>
          </w:p>
        </w:tc>
        <w:tc>
          <w:tcPr>
            <w:tcW w:w="23" w:type="dxa"/>
            <w:gridSpan w:val="2"/>
            <w:tcBorders>
              <w:left w:val="single" w:sz="6" w:space="0" w:color="000000"/>
            </w:tcBorders>
            <w:shd w:fill="auto" w:val="clear"/>
          </w:tcPr>
          <w:p>
            <w:pPr>
              <w:pStyle w:val="Normal"/>
              <w:snapToGrid w:val="false"/>
              <w:rPr/>
            </w:pPr>
            <w:r>
              <w:rPr/>
            </w:r>
          </w:p>
        </w:tc>
        <w:tc>
          <w:tcPr>
            <w:tcW w:w="58" w:type="dxa"/>
            <w:tcBorders/>
            <w:shd w:fill="auto" w:val="clear"/>
          </w:tcPr>
          <w:p>
            <w:pPr>
              <w:pStyle w:val="Normal"/>
              <w:snapToGrid w:val="false"/>
              <w:rPr/>
            </w:pPr>
            <w:r>
              <w:rPr/>
            </w:r>
          </w:p>
        </w:tc>
      </w:tr>
      <w:tr>
        <w:trPr>
          <w:trHeight w:val="2150" w:hRule="atLeast"/>
          <w:cantSplit w:val="true"/>
        </w:trPr>
        <w:tc>
          <w:tcPr>
            <w:tcW w:w="34" w:type="dxa"/>
            <w:tcBorders/>
            <w:shd w:fill="auto" w:val="clear"/>
          </w:tcPr>
          <w:p>
            <w:pPr>
              <w:pStyle w:val="Normal"/>
              <w:snapToGrid w:val="false"/>
              <w:rPr/>
            </w:pPr>
            <w:r>
              <w:rPr/>
            </w:r>
          </w:p>
        </w:tc>
        <w:tc>
          <w:tcPr>
            <w:tcW w:w="10031" w:type="dxa"/>
            <w:gridSpan w:val="2"/>
            <w:tcBorders>
              <w:top w:val="double" w:sz="6" w:space="0" w:color="000000"/>
              <w:left w:val="single" w:sz="6" w:space="0" w:color="000000"/>
              <w:bottom w:val="double" w:sz="6" w:space="0" w:color="000000"/>
            </w:tcBorders>
            <w:shd w:fill="auto" w:val="clear"/>
          </w:tcPr>
          <w:p>
            <w:pPr>
              <w:pStyle w:val="Normal"/>
              <w:numPr>
                <w:ilvl w:val="0"/>
                <w:numId w:val="2"/>
              </w:numPr>
              <w:tabs>
                <w:tab w:val="clear" w:pos="720"/>
                <w:tab w:val="left" w:pos="0" w:leader="none"/>
              </w:tabs>
              <w:spacing w:before="0" w:after="240"/>
              <w:ind w:left="284" w:right="0" w:hanging="357"/>
              <w:rPr>
                <w:rFonts w:ascii="Verdana" w:hAnsi="Verdana" w:cs="Verdana"/>
                <w:b/>
                <w:b/>
                <w:sz w:val="22"/>
                <w:szCs w:val="22"/>
              </w:rPr>
            </w:pPr>
            <w:r>
              <w:rPr>
                <w:rFonts w:cs="Verdana" w:ascii="Verdana" w:hAnsi="Verdana"/>
                <w:b/>
                <w:sz w:val="22"/>
                <w:szCs w:val="22"/>
              </w:rPr>
              <w:t xml:space="preserve">Critical reflection and analysis </w:t>
            </w:r>
          </w:p>
          <w:p>
            <w:pPr>
              <w:pStyle w:val="Default"/>
              <w:rPr>
                <w:rFonts w:ascii="Verdana" w:hAnsi="Verdana" w:cs="Verdana"/>
                <w:b/>
                <w:b/>
                <w:color w:val="auto"/>
                <w:sz w:val="22"/>
                <w:szCs w:val="22"/>
              </w:rPr>
            </w:pPr>
            <w:r>
              <w:rPr>
                <w:rFonts w:cs="Verdana" w:ascii="Verdana" w:hAnsi="Verdana"/>
                <w:b/>
                <w:color w:val="auto"/>
                <w:sz w:val="22"/>
                <w:szCs w:val="22"/>
              </w:rPr>
              <w:t>Social workers are knowledgeable about and apply the principles of critical thinking and reasoned discernment. They identify, distinguish, evaluate and integrate multiple sources of knowledge and evidence. These include practice evidence, their own practice experience, service user and carer experience together with research-based, organisational, policy and legal knowledge. They use critical thinking augmented by creativity and curiosity.</w:t>
            </w:r>
          </w:p>
          <w:p>
            <w:pPr>
              <w:pStyle w:val="Normal"/>
              <w:rPr>
                <w:rFonts w:ascii="Verdana" w:hAnsi="Verdana" w:eastAsia="Calibri" w:cs="Verdana"/>
                <w:lang w:eastAsia="en-US"/>
              </w:rPr>
            </w:pPr>
            <w:r>
              <w:rPr>
                <w:rFonts w:eastAsia="Calibri" w:cs="Verdana" w:ascii="Verdana" w:hAnsi="Verdana"/>
                <w:lang w:eastAsia="en-US"/>
              </w:rPr>
            </w:r>
          </w:p>
          <w:p>
            <w:pPr>
              <w:pStyle w:val="ListParagraph"/>
              <w:numPr>
                <w:ilvl w:val="0"/>
                <w:numId w:val="11"/>
              </w:numPr>
              <w:rPr>
                <w:rFonts w:ascii="Verdana" w:hAnsi="Verdana" w:eastAsia="Calibri" w:cs="Verdana"/>
                <w:sz w:val="22"/>
                <w:szCs w:val="22"/>
                <w:lang w:eastAsia="en-US"/>
              </w:rPr>
            </w:pPr>
            <w:r>
              <w:rPr>
                <w:rFonts w:eastAsia="Calibri" w:cs="Verdana" w:ascii="Verdana" w:hAnsi="Verdana"/>
                <w:sz w:val="22"/>
                <w:szCs w:val="22"/>
                <w:lang w:eastAsia="en-US"/>
              </w:rPr>
              <w:t xml:space="preserve">Show creativity in tackling and solving problems, by considering a range of options to solve dilemmas. </w:t>
            </w:r>
          </w:p>
          <w:p>
            <w:pPr>
              <w:pStyle w:val="ListParagraph"/>
              <w:numPr>
                <w:ilvl w:val="0"/>
                <w:numId w:val="11"/>
              </w:numPr>
              <w:rPr>
                <w:rFonts w:ascii="Verdana" w:hAnsi="Verdana" w:eastAsia="Calibri" w:cs="Verdana"/>
                <w:sz w:val="22"/>
                <w:szCs w:val="22"/>
                <w:lang w:eastAsia="en-US"/>
              </w:rPr>
            </w:pPr>
            <w:r>
              <w:rPr>
                <w:rFonts w:eastAsia="Calibri" w:cs="Verdana" w:ascii="Verdana" w:hAnsi="Verdana"/>
                <w:sz w:val="22"/>
                <w:szCs w:val="22"/>
                <w:lang w:eastAsia="en-US"/>
              </w:rPr>
              <w:t xml:space="preserve">Use reflective practice techniques to evaluate and critically analyse information, gained from a variety of sources, to construct and test hypotheses and make explicit evidence-informed decisions. </w:t>
            </w:r>
          </w:p>
          <w:p>
            <w:pPr>
              <w:pStyle w:val="ListParagraph"/>
              <w:rPr>
                <w:rFonts w:ascii="Verdana" w:hAnsi="Verdana" w:eastAsia="Calibri" w:cs="Verdana"/>
                <w:lang w:eastAsia="en-US"/>
              </w:rPr>
            </w:pPr>
            <w:r>
              <w:rPr>
                <w:rFonts w:eastAsia="Calibri" w:cs="Verdana" w:ascii="Verdana" w:hAnsi="Verdana"/>
                <w:lang w:eastAsia="en-US"/>
              </w:rPr>
            </w:r>
          </w:p>
          <w:p>
            <w:pPr>
              <w:pStyle w:val="Normal"/>
              <w:numPr>
                <w:ilvl w:val="0"/>
                <w:numId w:val="2"/>
              </w:numPr>
              <w:spacing w:before="0" w:after="240"/>
              <w:rPr>
                <w:rFonts w:ascii="Verdana" w:hAnsi="Verdana" w:cs="Verdana"/>
                <w:b/>
                <w:b/>
                <w:sz w:val="22"/>
                <w:szCs w:val="22"/>
              </w:rPr>
            </w:pPr>
            <w:r>
              <w:rPr>
                <w:rFonts w:cs="Verdana" w:ascii="Verdana" w:hAnsi="Verdana"/>
                <w:b/>
                <w:sz w:val="22"/>
                <w:szCs w:val="22"/>
              </w:rPr>
              <w:t>Intervention and Skills</w:t>
            </w:r>
          </w:p>
          <w:p>
            <w:pPr>
              <w:pStyle w:val="Normal"/>
              <w:spacing w:before="0" w:after="240"/>
              <w:rPr/>
            </w:pPr>
            <w:r>
              <w:rPr>
                <w:rFonts w:cs="Verdana" w:ascii="Verdana" w:hAnsi="Verdana"/>
                <w:b/>
                <w:sz w:val="22"/>
                <w:szCs w:val="22"/>
              </w:rPr>
              <w:t>Social workers engage with individuals, families, groups and communities, working alongside people to assess and intervene. They enable effective relationships and are effective communicators, using appropriate skills. Using their professional judgement, they employ a range of interventions: promoting independence, providing support and protection, taking preventative action and ensuring safety whilst balancing rights and risks</w:t>
            </w:r>
            <w:r>
              <w:rPr>
                <w:rFonts w:cs="Verdana" w:ascii="Verdana" w:hAnsi="Verdana"/>
                <w:b/>
                <w:bCs/>
                <w:sz w:val="22"/>
                <w:szCs w:val="22"/>
              </w:rPr>
              <w:t xml:space="preserve">. </w:t>
            </w:r>
            <w:r>
              <w:rPr>
                <w:rFonts w:cs="Verdana" w:ascii="Verdana" w:hAnsi="Verdana"/>
                <w:b/>
                <w:sz w:val="22"/>
                <w:szCs w:val="22"/>
              </w:rPr>
              <w:t>They understand and take account of differentials in power, and are able to use authority appropriately. They evaluate their own practice and the outcomes for those they work with.</w:t>
            </w:r>
          </w:p>
          <w:p>
            <w:pPr>
              <w:pStyle w:val="Normal"/>
              <w:rPr>
                <w:rFonts w:ascii="Verdana" w:hAnsi="Verdana" w:eastAsia="Calibri" w:cs="Verdana"/>
                <w:lang w:eastAsia="en-US"/>
              </w:rPr>
            </w:pPr>
            <w:r>
              <w:rPr>
                <w:rFonts w:eastAsia="Calibri" w:cs="Verdana" w:ascii="Verdana" w:hAnsi="Verdana"/>
                <w:lang w:eastAsia="en-US"/>
              </w:rPr>
            </w:r>
          </w:p>
          <w:p>
            <w:pPr>
              <w:pStyle w:val="ListParagraph"/>
              <w:numPr>
                <w:ilvl w:val="0"/>
                <w:numId w:val="12"/>
              </w:numPr>
              <w:rPr>
                <w:rFonts w:ascii="Verdana" w:hAnsi="Verdana" w:eastAsia="Calibri" w:cs="Verdana"/>
                <w:sz w:val="22"/>
                <w:szCs w:val="22"/>
                <w:lang w:eastAsia="en-US"/>
              </w:rPr>
            </w:pPr>
            <w:r>
              <w:rPr>
                <w:rFonts w:eastAsia="Calibri" w:cs="Verdana" w:ascii="Verdana" w:hAnsi="Verdana"/>
                <w:sz w:val="22"/>
                <w:szCs w:val="22"/>
                <w:lang w:eastAsia="en-US"/>
              </w:rPr>
              <w:t xml:space="preserve">Use a range of methods to engage and communicate effectively with service users, eliciting the needs, wishes and feelings of all those involved, taking account of situations where these are not explicitly expressed. </w:t>
            </w:r>
          </w:p>
          <w:p>
            <w:pPr>
              <w:pStyle w:val="ListParagraph"/>
              <w:numPr>
                <w:ilvl w:val="0"/>
                <w:numId w:val="12"/>
              </w:numPr>
              <w:rPr>
                <w:rFonts w:ascii="Verdana" w:hAnsi="Verdana" w:eastAsia="Calibri" w:cs="Verdana"/>
                <w:sz w:val="22"/>
                <w:szCs w:val="22"/>
                <w:lang w:eastAsia="en-US"/>
              </w:rPr>
            </w:pPr>
            <w:r>
              <w:rPr>
                <w:rFonts w:eastAsia="Calibri" w:cs="Verdana" w:ascii="Verdana" w:hAnsi="Verdana"/>
                <w:sz w:val="22"/>
                <w:szCs w:val="22"/>
                <w:lang w:eastAsia="en-US"/>
              </w:rPr>
              <w:t>Demonstrate clear communication of evidence-based professional reasoning, judgements and decisions, to professional and non-professional audiences.</w:t>
            </w:r>
          </w:p>
          <w:p>
            <w:pPr>
              <w:pStyle w:val="Normal"/>
              <w:rPr>
                <w:rFonts w:ascii="Verdana" w:hAnsi="Verdana" w:eastAsia="Calibri" w:cs="Verdana"/>
                <w:lang w:eastAsia="en-US"/>
              </w:rPr>
            </w:pPr>
            <w:r>
              <w:rPr>
                <w:rFonts w:eastAsia="Calibri" w:cs="Verdana" w:ascii="Verdana" w:hAnsi="Verdana"/>
                <w:lang w:eastAsia="en-US"/>
              </w:rPr>
            </w:r>
          </w:p>
          <w:p>
            <w:pPr>
              <w:pStyle w:val="ListParagraph"/>
              <w:numPr>
                <w:ilvl w:val="0"/>
                <w:numId w:val="12"/>
              </w:numPr>
              <w:rPr>
                <w:rFonts w:ascii="Verdana" w:hAnsi="Verdana" w:eastAsia="Calibri" w:cs="Verdana"/>
                <w:sz w:val="22"/>
                <w:szCs w:val="22"/>
                <w:lang w:eastAsia="en-US"/>
              </w:rPr>
            </w:pPr>
            <w:r>
              <w:rPr>
                <w:rFonts w:eastAsia="Calibri" w:cs="Verdana" w:ascii="Verdana" w:hAnsi="Verdana"/>
                <w:sz w:val="22"/>
                <w:szCs w:val="22"/>
                <w:lang w:eastAsia="en-US"/>
              </w:rPr>
              <w:t xml:space="preserve">Build and use effective relationships with a wide range of people, networks, communities and professionals to improve outcomes, showing an ability to manage resistance. </w:t>
            </w:r>
          </w:p>
          <w:p>
            <w:pPr>
              <w:pStyle w:val="ListParagraph"/>
              <w:numPr>
                <w:ilvl w:val="0"/>
                <w:numId w:val="12"/>
              </w:numPr>
              <w:rPr>
                <w:rFonts w:ascii="Verdana" w:hAnsi="Verdana" w:eastAsia="Calibri" w:cs="Verdana"/>
                <w:sz w:val="22"/>
                <w:szCs w:val="22"/>
                <w:lang w:eastAsia="en-US"/>
              </w:rPr>
            </w:pPr>
            <w:r>
              <w:rPr>
                <w:rFonts w:eastAsia="Calibri" w:cs="Verdana" w:ascii="Verdana" w:hAnsi="Verdana"/>
                <w:sz w:val="22"/>
                <w:szCs w:val="22"/>
                <w:lang w:eastAsia="en-US"/>
              </w:rPr>
              <w:t xml:space="preserve">Use appropriate assessment frameworks, applying information gathering skills to make and contribute to assessments, whilst continuing to build relationships and offer support. </w:t>
            </w:r>
          </w:p>
          <w:p>
            <w:pPr>
              <w:pStyle w:val="ListParagraph"/>
              <w:numPr>
                <w:ilvl w:val="0"/>
                <w:numId w:val="12"/>
              </w:numPr>
              <w:rPr>
                <w:rFonts w:ascii="Verdana" w:hAnsi="Verdana" w:eastAsia="Calibri" w:cs="Verdana"/>
                <w:sz w:val="22"/>
                <w:szCs w:val="22"/>
                <w:lang w:eastAsia="en-US"/>
              </w:rPr>
            </w:pPr>
            <w:r>
              <w:rPr>
                <w:rFonts w:eastAsia="Calibri" w:cs="Verdana" w:ascii="Verdana" w:hAnsi="Verdana"/>
                <w:sz w:val="22"/>
                <w:szCs w:val="22"/>
                <w:lang w:eastAsia="en-US"/>
              </w:rPr>
              <w:t xml:space="preserve">Select, use and review appropriate and timely social work interventions, informed by evidence of their effectiveness, that are best suited to the service user(s), family, carer, setting and self. </w:t>
            </w:r>
          </w:p>
          <w:p>
            <w:pPr>
              <w:pStyle w:val="ListParagraph"/>
              <w:numPr>
                <w:ilvl w:val="0"/>
                <w:numId w:val="12"/>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Use a planned and structured approach, informed by social work methods, models and tools, to promote positive change and independence and to prevent harm. </w:t>
            </w:r>
          </w:p>
          <w:p>
            <w:pPr>
              <w:pStyle w:val="ListParagraph"/>
              <w:numPr>
                <w:ilvl w:val="0"/>
                <w:numId w:val="12"/>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Recognise how the development of community resources, groups and networks enhance outcomes for individuals. </w:t>
            </w:r>
          </w:p>
          <w:p>
            <w:pPr>
              <w:pStyle w:val="ListParagraph"/>
              <w:numPr>
                <w:ilvl w:val="0"/>
                <w:numId w:val="12"/>
              </w:numPr>
              <w:rPr>
                <w:rFonts w:ascii="Verdana" w:hAnsi="Verdana" w:eastAsia="Calibri" w:cs="Verdana"/>
                <w:sz w:val="22"/>
                <w:szCs w:val="22"/>
                <w:lang w:eastAsia="en-US"/>
              </w:rPr>
            </w:pPr>
            <w:r>
              <w:rPr>
                <w:rFonts w:eastAsia="Calibri" w:cs="Verdana" w:ascii="Verdana" w:hAnsi="Verdana"/>
                <w:sz w:val="22"/>
                <w:szCs w:val="22"/>
                <w:lang w:eastAsia="en-US"/>
              </w:rPr>
              <w:t xml:space="preserve">Record information in a timely, respectful and accurate manner. Write records and reports, for a variety of purposes with language suited to function, using information management systems. Distinguish fact from opinion, and record conflicting views and perspectives. </w:t>
            </w:r>
          </w:p>
          <w:p>
            <w:pPr>
              <w:pStyle w:val="Normal"/>
              <w:rPr>
                <w:rFonts w:ascii="Verdana" w:hAnsi="Verdana" w:eastAsia="Calibri" w:cs="Verdana"/>
                <w:lang w:eastAsia="en-US"/>
              </w:rPr>
            </w:pPr>
            <w:r>
              <w:rPr>
                <w:rFonts w:eastAsia="Calibri" w:cs="Verdana" w:ascii="Verdana" w:hAnsi="Verdana"/>
                <w:lang w:eastAsia="en-US"/>
              </w:rPr>
            </w:r>
          </w:p>
        </w:tc>
        <w:tc>
          <w:tcPr>
            <w:tcW w:w="23" w:type="dxa"/>
            <w:gridSpan w:val="2"/>
            <w:tcBorders>
              <w:left w:val="single" w:sz="6" w:space="0" w:color="000000"/>
            </w:tcBorders>
            <w:shd w:fill="auto" w:val="clear"/>
          </w:tcPr>
          <w:p>
            <w:pPr>
              <w:pStyle w:val="Normal"/>
              <w:snapToGrid w:val="false"/>
              <w:rPr>
                <w:rFonts w:ascii="Verdana" w:hAnsi="Verdana" w:eastAsia="Calibri" w:cs="Verdana"/>
                <w:lang w:eastAsia="en-US"/>
              </w:rPr>
            </w:pPr>
            <w:r>
              <w:rPr>
                <w:rFonts w:eastAsia="Calibri" w:cs="Verdana" w:ascii="Verdana" w:hAnsi="Verdana"/>
                <w:lang w:eastAsia="en-US"/>
              </w:rPr>
            </w:r>
          </w:p>
        </w:tc>
        <w:tc>
          <w:tcPr>
            <w:tcW w:w="58" w:type="dxa"/>
            <w:tcBorders/>
            <w:shd w:fill="auto" w:val="clear"/>
          </w:tcPr>
          <w:p>
            <w:pPr>
              <w:pStyle w:val="Normal"/>
              <w:snapToGrid w:val="false"/>
              <w:rPr/>
            </w:pPr>
            <w:r>
              <w:rPr/>
            </w:r>
          </w:p>
        </w:tc>
      </w:tr>
      <w:tr>
        <w:trPr>
          <w:trHeight w:val="2150" w:hRule="atLeast"/>
          <w:cantSplit w:val="true"/>
        </w:trPr>
        <w:tc>
          <w:tcPr>
            <w:tcW w:w="34" w:type="dxa"/>
            <w:tcBorders/>
            <w:shd w:fill="auto" w:val="clear"/>
          </w:tcPr>
          <w:p>
            <w:pPr>
              <w:pStyle w:val="Normal"/>
              <w:snapToGrid w:val="false"/>
              <w:rPr/>
            </w:pPr>
            <w:r>
              <w:rPr/>
            </w:r>
          </w:p>
        </w:tc>
        <w:tc>
          <w:tcPr>
            <w:tcW w:w="10031" w:type="dxa"/>
            <w:gridSpan w:val="2"/>
            <w:tcBorders>
              <w:top w:val="double" w:sz="6" w:space="0" w:color="000000"/>
              <w:left w:val="single" w:sz="6" w:space="0" w:color="000000"/>
              <w:bottom w:val="double" w:sz="6" w:space="0" w:color="000000"/>
            </w:tcBorders>
            <w:shd w:fill="auto" w:val="clear"/>
          </w:tcPr>
          <w:p>
            <w:pPr>
              <w:pStyle w:val="ListParagraph"/>
              <w:numPr>
                <w:ilvl w:val="0"/>
                <w:numId w:val="12"/>
              </w:numPr>
              <w:jc w:val="both"/>
              <w:rPr>
                <w:rFonts w:ascii="Verdana" w:hAnsi="Verdana" w:eastAsia="Calibri" w:cs="Verdana"/>
                <w:sz w:val="22"/>
                <w:szCs w:val="22"/>
                <w:lang w:eastAsia="en-US"/>
              </w:rPr>
            </w:pPr>
            <w:r>
              <w:rPr>
                <w:rFonts w:eastAsia="Calibri" w:cs="Verdana" w:ascii="Verdana" w:hAnsi="Verdana"/>
                <w:sz w:val="22"/>
                <w:szCs w:val="22"/>
                <w:lang w:eastAsia="en-US"/>
              </w:rPr>
              <w:t xml:space="preserve">Share information consistently in ways that meet legal, ethical and agency requirements. </w:t>
            </w:r>
          </w:p>
          <w:p>
            <w:pPr>
              <w:pStyle w:val="ListParagraph"/>
              <w:numPr>
                <w:ilvl w:val="0"/>
                <w:numId w:val="12"/>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Recognise complexity, multiple factors, changing circumstances and uncertainty in people’s lives, be able to prioritise your intervention. </w:t>
            </w:r>
          </w:p>
          <w:p>
            <w:pPr>
              <w:pStyle w:val="ListParagraph"/>
              <w:numPr>
                <w:ilvl w:val="0"/>
                <w:numId w:val="12"/>
              </w:numPr>
              <w:rPr>
                <w:rFonts w:ascii="Verdana" w:hAnsi="Verdana" w:eastAsia="Calibri" w:cs="Verdana"/>
                <w:sz w:val="22"/>
                <w:szCs w:val="22"/>
                <w:lang w:eastAsia="en-US"/>
              </w:rPr>
            </w:pPr>
            <w:r>
              <w:rPr>
                <w:rFonts w:eastAsia="Calibri" w:cs="Verdana" w:ascii="Verdana" w:hAnsi="Verdana"/>
                <w:sz w:val="22"/>
                <w:szCs w:val="22"/>
                <w:lang w:eastAsia="en-US"/>
              </w:rPr>
              <w:t xml:space="preserve">Use authority appropriately in your role. </w:t>
            </w:r>
          </w:p>
          <w:p>
            <w:pPr>
              <w:pStyle w:val="ListParagraph"/>
              <w:numPr>
                <w:ilvl w:val="0"/>
                <w:numId w:val="12"/>
              </w:numPr>
              <w:rPr>
                <w:rFonts w:ascii="Verdana" w:hAnsi="Verdana" w:eastAsia="Calibri" w:cs="Verdana"/>
                <w:sz w:val="22"/>
                <w:szCs w:val="22"/>
                <w:lang w:eastAsia="en-US"/>
              </w:rPr>
            </w:pPr>
            <w:r>
              <w:rPr>
                <w:rFonts w:eastAsia="Calibri" w:cs="Verdana" w:ascii="Verdana" w:hAnsi="Verdana"/>
                <w:sz w:val="22"/>
                <w:szCs w:val="22"/>
                <w:lang w:eastAsia="en-US"/>
              </w:rPr>
              <w:t xml:space="preserve">Demonstrate understanding of and respond to risk factors in your practice. Contribute to the assessment and management of risk, including strategies for reducing risk, distinguishing levels of risk for different situations. </w:t>
            </w:r>
          </w:p>
          <w:p>
            <w:pPr>
              <w:pStyle w:val="ListParagraph"/>
              <w:numPr>
                <w:ilvl w:val="0"/>
                <w:numId w:val="12"/>
              </w:numPr>
              <w:rPr>
                <w:rFonts w:ascii="Verdana" w:hAnsi="Verdana" w:eastAsia="Calibri" w:cs="Verdana"/>
                <w:sz w:val="22"/>
                <w:szCs w:val="22"/>
                <w:lang w:eastAsia="en-US"/>
              </w:rPr>
            </w:pPr>
            <w:r>
              <w:rPr>
                <w:rFonts w:eastAsia="Calibri" w:cs="Verdana" w:ascii="Verdana" w:hAnsi="Verdana"/>
                <w:sz w:val="22"/>
                <w:szCs w:val="22"/>
                <w:lang w:eastAsia="en-US"/>
              </w:rPr>
              <w:t xml:space="preserve">Demonstrate application of principles and practice for safeguarding adults and children including consideration of potential abuse. </w:t>
            </w:r>
          </w:p>
          <w:p>
            <w:pPr>
              <w:pStyle w:val="ListParagraph"/>
              <w:numPr>
                <w:ilvl w:val="0"/>
                <w:numId w:val="12"/>
              </w:numPr>
              <w:rPr>
                <w:rFonts w:ascii="Verdana" w:hAnsi="Verdana" w:eastAsia="Calibri" w:cs="Verdana"/>
                <w:sz w:val="22"/>
                <w:szCs w:val="22"/>
                <w:lang w:eastAsia="en-US"/>
              </w:rPr>
            </w:pPr>
            <w:r>
              <w:rPr>
                <w:rFonts w:eastAsia="Calibri" w:cs="Verdana" w:ascii="Verdana" w:hAnsi="Verdana"/>
                <w:sz w:val="22"/>
                <w:szCs w:val="22"/>
                <w:lang w:eastAsia="en-US"/>
              </w:rPr>
              <w:t xml:space="preserve">Apply strategies that aim to reduce and prevent harm and abuse. </w:t>
            </w:r>
          </w:p>
          <w:p>
            <w:pPr>
              <w:pStyle w:val="Normal"/>
              <w:ind w:left="360" w:right="0" w:hanging="0"/>
              <w:rPr>
                <w:rFonts w:ascii="Verdana" w:hAnsi="Verdana" w:eastAsia="Calibri" w:cs="Verdana"/>
                <w:lang w:eastAsia="en-US"/>
              </w:rPr>
            </w:pPr>
            <w:r>
              <w:rPr>
                <w:rFonts w:eastAsia="Calibri" w:cs="Verdana" w:ascii="Verdana" w:hAnsi="Verdana"/>
                <w:lang w:eastAsia="en-US"/>
              </w:rPr>
            </w:r>
          </w:p>
          <w:p>
            <w:pPr>
              <w:pStyle w:val="Normal"/>
              <w:numPr>
                <w:ilvl w:val="0"/>
                <w:numId w:val="2"/>
              </w:numPr>
              <w:tabs>
                <w:tab w:val="clear" w:pos="720"/>
                <w:tab w:val="left" w:pos="0" w:leader="none"/>
              </w:tabs>
              <w:spacing w:before="0" w:after="240"/>
              <w:ind w:left="284" w:right="0" w:hanging="357"/>
              <w:rPr>
                <w:rFonts w:ascii="Verdana" w:hAnsi="Verdana" w:cs="Verdana"/>
                <w:b/>
                <w:b/>
                <w:sz w:val="22"/>
                <w:szCs w:val="22"/>
              </w:rPr>
            </w:pPr>
            <w:r>
              <w:rPr>
                <w:rFonts w:cs="Verdana" w:ascii="Verdana" w:hAnsi="Verdana"/>
                <w:b/>
                <w:sz w:val="22"/>
                <w:szCs w:val="22"/>
              </w:rPr>
              <w:t>Contexts and organisations</w:t>
            </w:r>
          </w:p>
          <w:p>
            <w:pPr>
              <w:pStyle w:val="Normal"/>
              <w:spacing w:before="0" w:after="240"/>
              <w:ind w:left="284" w:right="0" w:hanging="0"/>
              <w:rPr>
                <w:rFonts w:ascii="Verdana" w:hAnsi="Verdana" w:cs="Verdana"/>
                <w:b/>
                <w:b/>
                <w:sz w:val="22"/>
                <w:szCs w:val="22"/>
              </w:rPr>
            </w:pPr>
            <w:r>
              <w:rPr>
                <w:rFonts w:cs="Verdana" w:ascii="Verdana" w:hAnsi="Verdana"/>
                <w:b/>
                <w:sz w:val="22"/>
                <w:szCs w:val="22"/>
              </w:rPr>
              <w:t>Social workers are informed about and pro-actively responsive to the challenges and opportunities that come with changing social contexts and constructs. They fulfil this responsibility in accordance with their professional values and ethics, both as individual professionals and as members of the organisation in which they work. They collaborate, inform and are informed by their work with others, inter-professionally and with communities.</w:t>
            </w:r>
          </w:p>
          <w:p>
            <w:pPr>
              <w:pStyle w:val="Normal"/>
              <w:rPr>
                <w:rFonts w:ascii="Verdana" w:hAnsi="Verdana" w:eastAsia="Calibri" w:cs="Verdana"/>
                <w:lang w:eastAsia="en-US"/>
              </w:rPr>
            </w:pPr>
            <w:r>
              <w:rPr>
                <w:rFonts w:eastAsia="Calibri" w:cs="Verdana" w:ascii="Verdana" w:hAnsi="Verdana"/>
                <w:lang w:eastAsia="en-US"/>
              </w:rPr>
            </w:r>
          </w:p>
          <w:p>
            <w:pPr>
              <w:pStyle w:val="ListParagraph"/>
              <w:numPr>
                <w:ilvl w:val="0"/>
                <w:numId w:val="13"/>
              </w:numPr>
              <w:rPr>
                <w:rFonts w:ascii="Verdana" w:hAnsi="Verdana" w:eastAsia="Calibri" w:cs="Verdana"/>
                <w:sz w:val="22"/>
                <w:szCs w:val="22"/>
                <w:lang w:eastAsia="en-US"/>
              </w:rPr>
            </w:pPr>
            <w:r>
              <w:rPr>
                <w:rFonts w:eastAsia="Calibri" w:cs="Verdana" w:ascii="Verdana" w:hAnsi="Verdana"/>
                <w:sz w:val="22"/>
                <w:szCs w:val="22"/>
                <w:lang w:eastAsia="en-US"/>
              </w:rPr>
              <w:t xml:space="preserve">Taking account of legal, operational and policy contexts, proactively engage with your own organisation and contribute to its evaluation and development. </w:t>
            </w:r>
          </w:p>
          <w:p>
            <w:pPr>
              <w:pStyle w:val="ListParagraph"/>
              <w:numPr>
                <w:ilvl w:val="0"/>
                <w:numId w:val="13"/>
              </w:numPr>
              <w:rPr>
                <w:rFonts w:ascii="Verdana" w:hAnsi="Verdana" w:eastAsia="Calibri" w:cs="Verdana"/>
                <w:sz w:val="22"/>
                <w:szCs w:val="22"/>
                <w:lang w:eastAsia="en-US"/>
              </w:rPr>
            </w:pPr>
            <w:r>
              <w:rPr>
                <w:rFonts w:eastAsia="Calibri" w:cs="Verdana" w:ascii="Verdana" w:hAnsi="Verdana"/>
                <w:sz w:val="22"/>
                <w:szCs w:val="22"/>
                <w:lang w:eastAsia="en-US"/>
              </w:rPr>
              <w:t xml:space="preserve">Proactively engage with colleagues, and a range of organisations to identify, assess, plan and support to the needs of service users and communities. </w:t>
            </w:r>
          </w:p>
          <w:p>
            <w:pPr>
              <w:pStyle w:val="ListParagraph"/>
              <w:numPr>
                <w:ilvl w:val="0"/>
                <w:numId w:val="13"/>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Understand legal obligations, structures and behaviours within organisations and how these impact on policy, procedure and practice. </w:t>
            </w:r>
          </w:p>
          <w:p>
            <w:pPr>
              <w:pStyle w:val="ListParagraph"/>
              <w:numPr>
                <w:ilvl w:val="0"/>
                <w:numId w:val="13"/>
              </w:numPr>
              <w:rPr>
                <w:rFonts w:ascii="Verdana" w:hAnsi="Verdana" w:eastAsia="Calibri" w:cs="Verdana"/>
                <w:iCs/>
                <w:sz w:val="22"/>
                <w:szCs w:val="22"/>
                <w:lang w:eastAsia="en-US"/>
              </w:rPr>
            </w:pPr>
            <w:r>
              <w:rPr>
                <w:rFonts w:eastAsia="Calibri" w:cs="Verdana" w:ascii="Verdana" w:hAnsi="Verdana"/>
                <w:iCs/>
                <w:sz w:val="22"/>
                <w:szCs w:val="22"/>
                <w:lang w:eastAsia="en-US"/>
              </w:rPr>
              <w:t xml:space="preserve">Be able to work within an organisation’s remit and contribute to its evaluation and development. </w:t>
            </w:r>
          </w:p>
          <w:p>
            <w:pPr>
              <w:pStyle w:val="ListParagraph"/>
              <w:numPr>
                <w:ilvl w:val="0"/>
                <w:numId w:val="13"/>
              </w:numPr>
              <w:rPr>
                <w:rFonts w:ascii="Verdana" w:hAnsi="Verdana" w:eastAsia="Calibri" w:cs="Verdana"/>
                <w:iCs/>
                <w:sz w:val="22"/>
                <w:szCs w:val="22"/>
                <w:lang w:eastAsia="en-US"/>
              </w:rPr>
            </w:pPr>
            <w:r>
              <w:rPr>
                <w:rFonts w:eastAsia="Calibri" w:cs="Verdana" w:ascii="Verdana" w:hAnsi="Verdana"/>
                <w:iCs/>
                <w:sz w:val="22"/>
                <w:szCs w:val="22"/>
                <w:lang w:eastAsia="en-US"/>
              </w:rPr>
              <w:t>Understand and respect the role of others within the organisation and work effectively with them.</w:t>
            </w:r>
          </w:p>
          <w:p>
            <w:pPr>
              <w:pStyle w:val="ListParagraph"/>
              <w:numPr>
                <w:ilvl w:val="0"/>
                <w:numId w:val="13"/>
              </w:numPr>
              <w:rPr>
                <w:rFonts w:ascii="Verdana" w:hAnsi="Verdana" w:eastAsia="Calibri" w:cs="Verdana"/>
                <w:sz w:val="22"/>
                <w:szCs w:val="22"/>
                <w:lang w:eastAsia="en-US"/>
              </w:rPr>
            </w:pPr>
            <w:r>
              <w:rPr>
                <w:rFonts w:eastAsia="Calibri" w:cs="Verdana" w:ascii="Verdana" w:hAnsi="Verdana"/>
                <w:sz w:val="22"/>
                <w:szCs w:val="22"/>
                <w:lang w:eastAsia="en-US"/>
              </w:rPr>
              <w:t xml:space="preserve">Work effectively as a member of a team, demonstrating the ability to develop and maintain appropriate professional and inter-professional relationships, managing challenge and conflict with support. </w:t>
            </w:r>
          </w:p>
          <w:p>
            <w:pPr>
              <w:pStyle w:val="ListParagraph"/>
              <w:rPr>
                <w:rFonts w:ascii="Verdana" w:hAnsi="Verdana" w:eastAsia="Calibri" w:cs="Verdana"/>
                <w:lang w:eastAsia="en-US"/>
              </w:rPr>
            </w:pPr>
            <w:r>
              <w:rPr>
                <w:rFonts w:eastAsia="Calibri" w:cs="Verdana" w:ascii="Verdana" w:hAnsi="Verdana"/>
                <w:lang w:eastAsia="en-US"/>
              </w:rPr>
            </w:r>
          </w:p>
          <w:p>
            <w:pPr>
              <w:pStyle w:val="Normal"/>
              <w:numPr>
                <w:ilvl w:val="0"/>
                <w:numId w:val="2"/>
              </w:numPr>
              <w:tabs>
                <w:tab w:val="clear" w:pos="720"/>
                <w:tab w:val="left" w:pos="0" w:leader="none"/>
              </w:tabs>
              <w:spacing w:before="0" w:after="240"/>
              <w:ind w:left="284" w:right="0" w:hanging="357"/>
              <w:rPr>
                <w:rFonts w:ascii="Verdana" w:hAnsi="Verdana" w:cs="Verdana"/>
                <w:b/>
                <w:b/>
                <w:sz w:val="22"/>
                <w:szCs w:val="22"/>
              </w:rPr>
            </w:pPr>
            <w:r>
              <w:rPr>
                <w:rFonts w:cs="Verdana" w:ascii="Verdana" w:hAnsi="Verdana"/>
                <w:b/>
                <w:sz w:val="22"/>
                <w:szCs w:val="22"/>
              </w:rPr>
              <w:t>Professional leadership</w:t>
            </w:r>
          </w:p>
          <w:p>
            <w:pPr>
              <w:pStyle w:val="Normal"/>
              <w:spacing w:before="0" w:after="240"/>
              <w:rPr>
                <w:rFonts w:ascii="Verdana" w:hAnsi="Verdana" w:cs="Verdana"/>
                <w:b/>
                <w:b/>
                <w:sz w:val="22"/>
                <w:szCs w:val="22"/>
              </w:rPr>
            </w:pPr>
            <w:r>
              <w:rPr>
                <w:rFonts w:cs="Verdana" w:ascii="Verdana" w:hAnsi="Verdana"/>
                <w:b/>
                <w:sz w:val="22"/>
                <w:szCs w:val="22"/>
              </w:rPr>
              <w:t>The social work profession evolves through the contribution of its members in activities such as practice research, supervision, assessment of practice, teaching and management. An individual’s contribution will gain influence when undertaken as part of a learning, practice-focused organisation. Learning may be facilitated with a wide range of people including social work colleagues, service users and carers, volunteers, foster carers and other professionals.</w:t>
            </w:r>
          </w:p>
          <w:p>
            <w:pPr>
              <w:pStyle w:val="Normal"/>
              <w:rPr>
                <w:rFonts w:ascii="Verdana" w:hAnsi="Verdana" w:eastAsia="Calibri" w:cs="Verdana"/>
                <w:lang w:eastAsia="en-US"/>
              </w:rPr>
            </w:pPr>
            <w:r>
              <w:rPr>
                <w:rFonts w:eastAsia="Calibri" w:cs="Verdana" w:ascii="Verdana" w:hAnsi="Verdana"/>
                <w:lang w:eastAsia="en-US"/>
              </w:rPr>
            </w:r>
          </w:p>
          <w:p>
            <w:pPr>
              <w:pStyle w:val="ListParagraph"/>
              <w:numPr>
                <w:ilvl w:val="0"/>
                <w:numId w:val="14"/>
              </w:numPr>
              <w:rPr>
                <w:rFonts w:ascii="Verdana" w:hAnsi="Verdana" w:eastAsia="Calibri" w:cs="Verdana"/>
                <w:sz w:val="22"/>
                <w:szCs w:val="22"/>
                <w:lang w:eastAsia="en-US"/>
              </w:rPr>
            </w:pPr>
            <w:r>
              <w:rPr>
                <w:rFonts w:eastAsia="Calibri" w:cs="Verdana" w:ascii="Verdana" w:hAnsi="Verdana"/>
                <w:sz w:val="22"/>
                <w:szCs w:val="22"/>
                <w:lang w:eastAsia="en-US"/>
              </w:rPr>
              <w:t xml:space="preserve">Show the capacity for leading practice through the manner in which you conduct your professional role, your contribution to supervision and to team meetings. </w:t>
            </w:r>
          </w:p>
          <w:p>
            <w:pPr>
              <w:pStyle w:val="ListParagraph"/>
              <w:numPr>
                <w:ilvl w:val="0"/>
                <w:numId w:val="14"/>
              </w:numPr>
              <w:rPr>
                <w:rFonts w:ascii="Verdana" w:hAnsi="Verdana" w:eastAsia="Calibri" w:cs="Verdana"/>
                <w:sz w:val="22"/>
                <w:szCs w:val="22"/>
                <w:lang w:eastAsia="en-US"/>
              </w:rPr>
            </w:pPr>
            <w:r>
              <w:rPr>
                <w:rFonts w:eastAsia="Calibri" w:cs="Verdana" w:ascii="Verdana" w:hAnsi="Verdana"/>
                <w:sz w:val="22"/>
                <w:szCs w:val="22"/>
                <w:lang w:eastAsia="en-US"/>
              </w:rPr>
              <w:t>Take steps to enable the learning and development of others.</w:t>
            </w:r>
          </w:p>
          <w:p>
            <w:pPr>
              <w:pStyle w:val="Normal"/>
              <w:spacing w:before="0" w:after="240"/>
              <w:rPr>
                <w:rFonts w:ascii="Verdana" w:hAnsi="Verdana" w:cs="Verdana"/>
                <w:b/>
                <w:b/>
              </w:rPr>
            </w:pPr>
            <w:r>
              <w:rPr>
                <w:rFonts w:cs="Verdana" w:ascii="Verdana" w:hAnsi="Verdana"/>
                <w:b/>
              </w:rPr>
            </w:r>
          </w:p>
        </w:tc>
        <w:tc>
          <w:tcPr>
            <w:tcW w:w="23" w:type="dxa"/>
            <w:gridSpan w:val="2"/>
            <w:tcBorders>
              <w:left w:val="single" w:sz="6" w:space="0" w:color="000000"/>
            </w:tcBorders>
            <w:shd w:fill="auto" w:val="clear"/>
          </w:tcPr>
          <w:p>
            <w:pPr>
              <w:pStyle w:val="Normal"/>
              <w:snapToGrid w:val="false"/>
              <w:rPr>
                <w:rFonts w:ascii="Verdana" w:hAnsi="Verdana" w:cs="Verdana"/>
                <w:b/>
                <w:b/>
              </w:rPr>
            </w:pPr>
            <w:r>
              <w:rPr>
                <w:rFonts w:cs="Verdana" w:ascii="Verdana" w:hAnsi="Verdana"/>
                <w:b/>
              </w:rPr>
            </w:r>
          </w:p>
        </w:tc>
        <w:tc>
          <w:tcPr>
            <w:tcW w:w="58" w:type="dxa"/>
            <w:tcBorders/>
            <w:shd w:fill="auto" w:val="clear"/>
          </w:tcPr>
          <w:p>
            <w:pPr>
              <w:pStyle w:val="Normal"/>
              <w:snapToGrid w:val="false"/>
              <w:rPr/>
            </w:pPr>
            <w:r>
              <w:rPr/>
            </w:r>
          </w:p>
        </w:tc>
      </w:tr>
    </w:tbl>
    <w:p>
      <w:pPr>
        <w:pStyle w:val="Normal"/>
        <w:rPr>
          <w:rFonts w:ascii="Verdana" w:hAnsi="Verdana" w:cs="Verdana"/>
          <w:sz w:val="22"/>
          <w:szCs w:val="22"/>
        </w:rPr>
      </w:pPr>
      <w:r>
        <w:rPr>
          <w:rFonts w:cs="Verdana" w:ascii="Verdana" w:hAnsi="Verdana"/>
          <w:sz w:val="22"/>
          <w:szCs w:val="22"/>
        </w:rPr>
      </w:r>
    </w:p>
    <w:p>
      <w:pPr>
        <w:pStyle w:val="Normal"/>
        <w:rPr>
          <w:rFonts w:ascii="Verdana" w:hAnsi="Verdana" w:eastAsia="Calibri" w:cs="Verdana"/>
          <w:sz w:val="22"/>
          <w:szCs w:val="22"/>
          <w:lang w:eastAsia="en-US"/>
        </w:rPr>
      </w:pPr>
      <w:r>
        <w:rPr>
          <w:rFonts w:eastAsia="Calibri" w:cs="Verdana" w:ascii="Verdana" w:hAnsi="Verdana"/>
          <w:sz w:val="22"/>
          <w:szCs w:val="22"/>
          <w:lang w:eastAsia="en-US"/>
        </w:rPr>
      </w:r>
    </w:p>
    <w:p>
      <w:pPr>
        <w:pStyle w:val="Normal"/>
        <w:jc w:val="center"/>
        <w:rPr/>
      </w:pPr>
      <w:r>
        <w:rPr>
          <w:rFonts w:eastAsia="Verdana" w:cs="Verdana" w:ascii="Verdana" w:hAnsi="Verdana"/>
          <w:sz w:val="22"/>
          <w:szCs w:val="22"/>
          <w:lang w:eastAsia="en-US"/>
        </w:rPr>
        <w:t xml:space="preserve"> </w:t>
      </w:r>
      <w:r>
        <w:rPr>
          <w:rFonts w:cs="Verdana" w:ascii="Verdana" w:hAnsi="Verdana"/>
          <w:b/>
          <w:sz w:val="22"/>
          <w:szCs w:val="22"/>
        </w:rPr>
        <w:t>Communities and WellBeing</w:t>
      </w:r>
    </w:p>
    <w:p>
      <w:pPr>
        <w:pStyle w:val="Normal"/>
        <w:jc w:val="center"/>
        <w:rPr>
          <w:rFonts w:ascii="Verdana" w:hAnsi="Verdana" w:cs="Verdana"/>
          <w:b/>
          <w:b/>
          <w:sz w:val="22"/>
          <w:szCs w:val="22"/>
        </w:rPr>
      </w:pPr>
      <w:r>
        <w:rPr>
          <w:rFonts w:cs="Verdana" w:ascii="Verdana" w:hAnsi="Verdana"/>
          <w:b/>
          <w:sz w:val="22"/>
          <w:szCs w:val="22"/>
        </w:rPr>
        <w:t>Person Specification</w:t>
      </w:r>
    </w:p>
    <w:p>
      <w:pPr>
        <w:pStyle w:val="Normal"/>
        <w:jc w:val="center"/>
        <w:rPr>
          <w:rFonts w:ascii="Verdana" w:hAnsi="Verdana" w:cs="Verdana"/>
          <w:b/>
          <w:b/>
          <w:sz w:val="22"/>
          <w:szCs w:val="22"/>
        </w:rPr>
      </w:pPr>
      <w:r>
        <w:rPr>
          <w:rFonts w:cs="Verdana" w:ascii="Verdana" w:hAnsi="Verdana"/>
          <w:b/>
          <w:sz w:val="22"/>
          <w:szCs w:val="22"/>
        </w:rPr>
      </w:r>
    </w:p>
    <w:p>
      <w:pPr>
        <w:pStyle w:val="Normal"/>
        <w:jc w:val="center"/>
        <w:rPr>
          <w:rFonts w:ascii="Verdana" w:hAnsi="Verdana" w:cs="Verdana"/>
          <w:b/>
          <w:b/>
          <w:sz w:val="22"/>
          <w:szCs w:val="22"/>
        </w:rPr>
      </w:pPr>
      <w:r>
        <w:rPr>
          <w:rFonts w:cs="Verdana" w:ascii="Verdana" w:hAnsi="Verdana"/>
          <w:b/>
          <w:sz w:val="22"/>
          <w:szCs w:val="22"/>
        </w:rPr>
        <w:t>Advanced Practitioner (Adults) - Learning Disability Team</w:t>
      </w:r>
    </w:p>
    <w:p>
      <w:pPr>
        <w:pStyle w:val="Normal"/>
        <w:jc w:val="center"/>
        <w:rPr>
          <w:rFonts w:ascii="Verdana" w:hAnsi="Verdana" w:cs="Verdana"/>
          <w:b/>
          <w:b/>
          <w:sz w:val="22"/>
          <w:szCs w:val="22"/>
        </w:rPr>
      </w:pPr>
      <w:r>
        <w:rPr>
          <w:rFonts w:cs="Verdana" w:ascii="Verdana" w:hAnsi="Verdana"/>
          <w:b/>
          <w:sz w:val="22"/>
          <w:szCs w:val="22"/>
        </w:rPr>
      </w:r>
    </w:p>
    <w:p>
      <w:pPr>
        <w:pStyle w:val="Normal"/>
        <w:jc w:val="center"/>
        <w:rPr>
          <w:rFonts w:ascii="Verdana" w:hAnsi="Verdana" w:cs="Verdana"/>
          <w:b/>
          <w:b/>
          <w:sz w:val="22"/>
          <w:szCs w:val="22"/>
        </w:rPr>
      </w:pPr>
      <w:r>
        <w:rPr>
          <w:rFonts w:cs="Verdana" w:ascii="Verdana" w:hAnsi="Verdana"/>
          <w:b/>
          <w:sz w:val="22"/>
          <w:szCs w:val="22"/>
        </w:rPr>
      </w:r>
    </w:p>
    <w:tbl>
      <w:tblPr>
        <w:tblW w:w="9360" w:type="dxa"/>
        <w:jc w:val="left"/>
        <w:tblInd w:w="0" w:type="dxa"/>
        <w:tblCellMar>
          <w:top w:w="0" w:type="dxa"/>
          <w:left w:w="108" w:type="dxa"/>
          <w:bottom w:w="0" w:type="dxa"/>
          <w:right w:w="108" w:type="dxa"/>
        </w:tblCellMar>
      </w:tblPr>
      <w:tblGrid>
        <w:gridCol w:w="5408"/>
        <w:gridCol w:w="1967"/>
        <w:gridCol w:w="1985"/>
      </w:tblGrid>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b/>
                <w:b/>
                <w:sz w:val="22"/>
                <w:szCs w:val="22"/>
                <w:lang w:eastAsia="en-GB"/>
              </w:rPr>
            </w:pPr>
            <w:r>
              <w:rPr>
                <w:rFonts w:eastAsia="Times New Roman" w:cs="Verdana" w:ascii="Verdana" w:hAnsi="Verdana"/>
                <w:b/>
                <w:sz w:val="22"/>
                <w:szCs w:val="22"/>
                <w:lang w:eastAsia="en-GB"/>
              </w:rPr>
              <w:t>SHORT LISTING CRITERIA</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b/>
                <w:b/>
                <w:sz w:val="22"/>
                <w:szCs w:val="22"/>
                <w:lang w:eastAsia="en-GB"/>
              </w:rPr>
            </w:pPr>
            <w:r>
              <w:rPr>
                <w:rFonts w:eastAsia="Times New Roman" w:cs="Verdana" w:ascii="Verdana" w:hAnsi="Verdana"/>
                <w:b/>
                <w:sz w:val="22"/>
                <w:szCs w:val="22"/>
                <w:lang w:eastAsia="en-GB"/>
              </w:rPr>
              <w:t>ESSENTIAL</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Verdana" w:hAnsi="Verdana" w:eastAsia="Times New Roman" w:cs="Verdana"/>
                <w:b/>
                <w:b/>
                <w:sz w:val="22"/>
                <w:szCs w:val="22"/>
                <w:lang w:eastAsia="en-GB"/>
              </w:rPr>
            </w:pPr>
            <w:r>
              <w:rPr>
                <w:rFonts w:eastAsia="Times New Roman" w:cs="Verdana" w:ascii="Verdana" w:hAnsi="Verdana"/>
                <w:b/>
                <w:sz w:val="22"/>
                <w:szCs w:val="22"/>
                <w:lang w:eastAsia="en-GB"/>
              </w:rPr>
              <w:t>DESIRABLE</w:t>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Possession of a recognised Social Work qualification (SW degree, DipSW, CQS,CSS or equivalent).</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Possession of a post qualifying award (AMHP, BIA, ASYE etc)</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Satisfactory disclosure at appropriate level with the Disclosure and Barring Council.</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Registration with or application to register with the Health and Care Professions Council.</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Understanding of health and social care legislation, guidance and policy.</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An understanding of the social care issues affecting adults (health, mental health, ageing process, carers issues etc).</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Ability to communicate complex information clearly and concisely both verbally and in written form to a range of different audiences.</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Ability to liaise effectively with relevant individuals, e.g., families, carers and working as part of a multidisciplinary team.</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Ability to maintain accurate records and use IT systems.</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Commitment to continuous self development, positive professional attitude to change, and commitment to compliance with the LD specific training.</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Knowledge of community resources.</w:t>
            </w:r>
          </w:p>
        </w:tc>
        <w:tc>
          <w:tcPr>
            <w:tcW w:w="196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Experience of writing reports and ability to analyse relevant factual information.</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Knowledge and understanding of safeguarding vulnerable adults.</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Ability to undertake comprehensive assessments, apply critical reflection and analysis prior to action planning.</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Ability to determine priorities and meet deadlines.</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r>
        <w:trPr/>
        <w:tc>
          <w:tcPr>
            <w:tcW w:w="54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Times New Roman" w:cs="Verdana"/>
                <w:sz w:val="22"/>
                <w:szCs w:val="22"/>
                <w:lang w:eastAsia="en-GB"/>
              </w:rPr>
            </w:pPr>
            <w:r>
              <w:rPr>
                <w:rFonts w:eastAsia="Times New Roman" w:cs="Verdana" w:ascii="Verdana" w:hAnsi="Verdana"/>
                <w:sz w:val="22"/>
                <w:szCs w:val="22"/>
                <w:lang w:eastAsia="en-GB"/>
              </w:rPr>
              <w:t>To work in an anti-discriminatory manor which promotes dignity and respect to customers and key stakeholders.</w:t>
            </w:r>
          </w:p>
        </w:tc>
        <w:tc>
          <w:tcPr>
            <w:tcW w:w="196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t>X</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sz w:val="22"/>
                <w:szCs w:val="22"/>
                <w:lang w:eastAsia="en-GB"/>
              </w:rPr>
            </w:pPr>
            <w:r>
              <w:rPr>
                <w:rFonts w:eastAsia="Times New Roman" w:cs="Verdana" w:ascii="Verdana" w:hAnsi="Verdana"/>
                <w:sz w:val="22"/>
                <w:szCs w:val="22"/>
                <w:lang w:eastAsia="en-GB"/>
              </w:rPr>
            </w:r>
          </w:p>
        </w:tc>
      </w:tr>
    </w:tbl>
    <w:p>
      <w:pPr>
        <w:pStyle w:val="Normal"/>
        <w:rPr>
          <w:rFonts w:ascii="Verdana" w:hAnsi="Verdana" w:eastAsia="Calibri" w:cs="Verdana"/>
          <w:sz w:val="22"/>
          <w:szCs w:val="22"/>
          <w:lang w:eastAsia="en-US"/>
        </w:rPr>
      </w:pPr>
      <w:r>
        <w:rPr>
          <w:rFonts w:eastAsia="Calibri" w:cs="Verdana" w:ascii="Verdana" w:hAnsi="Verdana"/>
          <w:sz w:val="22"/>
          <w:szCs w:val="22"/>
          <w:lang w:eastAsia="en-US"/>
        </w:rPr>
      </w:r>
    </w:p>
    <w:p>
      <w:pPr>
        <w:pStyle w:val="Normal"/>
        <w:spacing w:lineRule="auto" w:line="276" w:before="0" w:after="200"/>
        <w:rPr>
          <w:rFonts w:ascii="Verdana" w:hAnsi="Verdana" w:eastAsia="Calibri" w:cs="Verdana"/>
          <w:b/>
          <w:b/>
          <w:sz w:val="22"/>
          <w:szCs w:val="22"/>
          <w:lang w:eastAsia="en-US"/>
        </w:rPr>
      </w:pPr>
      <w:r>
        <w:rPr>
          <w:rFonts w:eastAsia="Calibri" w:cs="Verdana" w:ascii="Verdana" w:hAnsi="Verdana"/>
          <w:b/>
          <w:sz w:val="22"/>
          <w:szCs w:val="22"/>
          <w:lang w:eastAsia="en-US"/>
        </w:rPr>
      </w:r>
      <w:r>
        <w:br w:type="page"/>
      </w:r>
    </w:p>
    <w:p>
      <w:pPr>
        <w:pStyle w:val="Normal"/>
        <w:jc w:val="center"/>
        <w:rPr>
          <w:rFonts w:ascii="Verdana" w:hAnsi="Verdana" w:cs="Verdana"/>
          <w:b/>
          <w:b/>
          <w:sz w:val="22"/>
          <w:szCs w:val="22"/>
        </w:rPr>
      </w:pPr>
      <w:r>
        <w:rPr>
          <w:rFonts w:cs="Verdana" w:ascii="Verdana" w:hAnsi="Verdana"/>
          <w:b/>
          <w:sz w:val="22"/>
          <w:szCs w:val="22"/>
        </w:rPr>
        <w:t>CRITERIA FOR INTERVIEW AND OTHER ASSESSMENT METHODS</w:t>
      </w:r>
    </w:p>
    <w:p>
      <w:pPr>
        <w:pStyle w:val="Normal"/>
        <w:rPr>
          <w:rFonts w:ascii="Verdana" w:hAnsi="Verdana" w:cs="Verdana"/>
          <w:b/>
          <w:b/>
          <w:sz w:val="22"/>
          <w:szCs w:val="22"/>
        </w:rPr>
      </w:pPr>
      <w:r>
        <w:rPr>
          <w:rFonts w:cs="Verdana" w:ascii="Verdana" w:hAnsi="Verdana"/>
          <w:b/>
          <w:sz w:val="22"/>
          <w:szCs w:val="22"/>
        </w:rPr>
      </w:r>
    </w:p>
    <w:p>
      <w:pPr>
        <w:pStyle w:val="Normal"/>
        <w:jc w:val="center"/>
        <w:rPr>
          <w:rFonts w:ascii="Verdana" w:hAnsi="Verdana" w:cs="Verdana"/>
          <w:b/>
          <w:b/>
          <w:sz w:val="22"/>
          <w:szCs w:val="22"/>
        </w:rPr>
      </w:pPr>
      <w:r>
        <w:rPr>
          <w:rFonts w:cs="Verdana" w:ascii="Verdana" w:hAnsi="Verdana"/>
          <w:b/>
          <w:sz w:val="22"/>
          <w:szCs w:val="22"/>
        </w:rPr>
        <w:t>The short-listing criteria listed plus the following:</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bl>
      <w:tblPr>
        <w:tblW w:w="9756" w:type="dxa"/>
        <w:jc w:val="left"/>
        <w:tblInd w:w="0" w:type="dxa"/>
        <w:tblCellMar>
          <w:top w:w="0" w:type="dxa"/>
          <w:left w:w="108" w:type="dxa"/>
          <w:bottom w:w="0" w:type="dxa"/>
          <w:right w:w="108" w:type="dxa"/>
        </w:tblCellMar>
      </w:tblPr>
      <w:tblGrid>
        <w:gridCol w:w="2091"/>
        <w:gridCol w:w="7665"/>
      </w:tblGrid>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sz w:val="22"/>
                <w:szCs w:val="22"/>
              </w:rPr>
            </w:pPr>
            <w:r>
              <w:rPr>
                <w:rFonts w:cs="Verdana" w:ascii="Verdana" w:hAnsi="Verdana"/>
                <w:b/>
                <w:sz w:val="22"/>
                <w:szCs w:val="22"/>
              </w:rPr>
              <w:t>ASSESSMENT</w:t>
            </w:r>
          </w:p>
          <w:p>
            <w:pPr>
              <w:pStyle w:val="Normal"/>
              <w:jc w:val="center"/>
              <w:rPr>
                <w:rFonts w:ascii="Verdana" w:hAnsi="Verdana" w:cs="Verdana"/>
                <w:b/>
                <w:b/>
                <w:sz w:val="22"/>
                <w:szCs w:val="22"/>
              </w:rPr>
            </w:pPr>
            <w:r>
              <w:rPr>
                <w:rFonts w:cs="Verdana" w:ascii="Verdana" w:hAnsi="Verdana"/>
                <w:b/>
                <w:sz w:val="22"/>
                <w:szCs w:val="22"/>
              </w:rPr>
              <w:t>METHOD</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14" w:right="0" w:hanging="0"/>
              <w:jc w:val="center"/>
              <w:rPr>
                <w:rFonts w:ascii="Verdana" w:hAnsi="Verdana" w:cs="Verdana"/>
                <w:b/>
                <w:b/>
                <w:sz w:val="22"/>
                <w:szCs w:val="22"/>
              </w:rPr>
            </w:pPr>
            <w:r>
              <w:rPr>
                <w:rFonts w:cs="Verdana" w:ascii="Verdana" w:hAnsi="Verdana"/>
                <w:b/>
                <w:sz w:val="22"/>
                <w:szCs w:val="22"/>
              </w:rPr>
              <w:t>CRITERIA</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Application Form</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14" w:right="0" w:hanging="0"/>
              <w:rPr>
                <w:rFonts w:ascii="Verdana" w:hAnsi="Verdana" w:cs="Verdana"/>
                <w:sz w:val="22"/>
                <w:szCs w:val="22"/>
              </w:rPr>
            </w:pPr>
            <w:r>
              <w:rPr>
                <w:rFonts w:cs="Verdana" w:ascii="Verdana" w:hAnsi="Verdana"/>
                <w:sz w:val="22"/>
                <w:szCs w:val="22"/>
              </w:rPr>
              <w:t>Understanding of health and social care legislation, guidance and policy.</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Application Form</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14" w:right="0" w:hanging="0"/>
              <w:rPr>
                <w:rFonts w:ascii="Verdana" w:hAnsi="Verdana" w:cs="Verdana"/>
                <w:sz w:val="22"/>
                <w:szCs w:val="22"/>
              </w:rPr>
            </w:pPr>
            <w:r>
              <w:rPr>
                <w:rFonts w:cs="Verdana" w:ascii="Verdana" w:hAnsi="Verdana"/>
                <w:sz w:val="22"/>
                <w:szCs w:val="22"/>
              </w:rPr>
              <w:t>Ability to communicate complex information clearly and concisely both verbally and in written form to a range of different audiences.</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Application Form</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14" w:right="0" w:hanging="0"/>
              <w:rPr>
                <w:rFonts w:ascii="Verdana" w:hAnsi="Verdana" w:cs="Verdana"/>
                <w:sz w:val="22"/>
                <w:szCs w:val="22"/>
              </w:rPr>
            </w:pPr>
            <w:r>
              <w:rPr>
                <w:rFonts w:cs="Verdana" w:ascii="Verdana" w:hAnsi="Verdana"/>
                <w:sz w:val="22"/>
                <w:szCs w:val="22"/>
              </w:rPr>
              <w:t>Ability to maintain accurate records and use IT systems.</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14" w:right="0" w:hanging="0"/>
              <w:rPr>
                <w:rFonts w:ascii="Verdana" w:hAnsi="Verdana" w:cs="Verdana"/>
                <w:sz w:val="22"/>
                <w:szCs w:val="22"/>
              </w:rPr>
            </w:pPr>
            <w:r>
              <w:rPr>
                <w:rFonts w:cs="Verdana" w:ascii="Verdana" w:hAnsi="Verdana"/>
                <w:sz w:val="22"/>
                <w:szCs w:val="22"/>
              </w:rPr>
              <w:t>Negotiation skills to deal with conflict.</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14" w:right="0" w:hanging="0"/>
              <w:rPr>
                <w:rFonts w:ascii="Verdana" w:hAnsi="Verdana" w:cs="Verdana"/>
                <w:sz w:val="22"/>
                <w:szCs w:val="22"/>
              </w:rPr>
            </w:pPr>
            <w:r>
              <w:rPr>
                <w:rFonts w:cs="Verdana" w:ascii="Verdana" w:hAnsi="Verdana"/>
                <w:sz w:val="22"/>
                <w:szCs w:val="22"/>
              </w:rPr>
              <w:t>Ability to develop effective working relationships with services, colleagues, partners and other agency personnel.</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14" w:right="0" w:hanging="0"/>
              <w:rPr>
                <w:rFonts w:ascii="Verdana" w:hAnsi="Verdana" w:cs="Verdana"/>
                <w:sz w:val="22"/>
                <w:szCs w:val="22"/>
              </w:rPr>
            </w:pPr>
            <w:r>
              <w:rPr>
                <w:rFonts w:cs="Verdana" w:ascii="Verdana" w:hAnsi="Verdana"/>
                <w:sz w:val="22"/>
                <w:szCs w:val="22"/>
              </w:rPr>
              <w:t>Demonstrate the ability to manage, support and maintain the use of technology systems and soft wear.</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14" w:right="0" w:hanging="0"/>
              <w:rPr>
                <w:rFonts w:ascii="Verdana" w:hAnsi="Verdana" w:cs="Verdana"/>
                <w:sz w:val="22"/>
                <w:szCs w:val="22"/>
              </w:rPr>
            </w:pPr>
            <w:r>
              <w:rPr>
                <w:rFonts w:cs="Verdana" w:ascii="Verdana" w:hAnsi="Verdana"/>
                <w:sz w:val="22"/>
                <w:szCs w:val="22"/>
              </w:rPr>
              <w:t>Ability to work as part of a team and contribute to team development.</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14" w:right="0" w:hanging="0"/>
              <w:rPr>
                <w:rFonts w:ascii="Verdana" w:hAnsi="Verdana" w:cs="Verdana"/>
                <w:sz w:val="22"/>
                <w:szCs w:val="22"/>
              </w:rPr>
            </w:pPr>
            <w:r>
              <w:rPr>
                <w:rFonts w:cs="Verdana" w:ascii="Verdana" w:hAnsi="Verdana"/>
                <w:sz w:val="22"/>
                <w:szCs w:val="22"/>
              </w:rPr>
              <w:t>To work in an anti-discriminatory manor which promotes dignity and respect to customers and key stakeholders.</w:t>
            </w:r>
          </w:p>
        </w:tc>
      </w:tr>
    </w:tbl>
    <w:p>
      <w:pPr>
        <w:pStyle w:val="Default"/>
        <w:rPr>
          <w:rFonts w:ascii="Verdana" w:hAnsi="Verdana" w:cs="Verdana"/>
          <w:b/>
          <w:b/>
          <w:color w:val="auto"/>
          <w:sz w:val="22"/>
          <w:szCs w:val="22"/>
        </w:rPr>
      </w:pPr>
      <w:r>
        <w:rPr>
          <w:rFonts w:cs="Verdana" w:ascii="Verdana" w:hAnsi="Verdana"/>
          <w:b/>
          <w:color w:val="auto"/>
          <w:sz w:val="22"/>
          <w:szCs w:val="22"/>
        </w:rPr>
      </w:r>
    </w:p>
    <w:p>
      <w:pPr>
        <w:pStyle w:val="Normal"/>
        <w:spacing w:before="0" w:after="240"/>
        <w:ind w:left="360" w:right="0" w:hanging="0"/>
        <w:rPr>
          <w:rFonts w:ascii="Verdana" w:hAnsi="Verdana" w:cs="Verdana"/>
          <w:b/>
          <w:b/>
          <w:color w:val="auto"/>
          <w:sz w:val="22"/>
          <w:szCs w:val="22"/>
        </w:rPr>
      </w:pPr>
      <w:r>
        <w:rPr>
          <w:rFonts w:cs="Verdana" w:ascii="Verdana" w:hAnsi="Verdana"/>
          <w:b/>
          <w:color w:val="auto"/>
          <w:sz w:val="22"/>
          <w:szCs w:val="22"/>
        </w:rPr>
      </w:r>
    </w:p>
    <w:p>
      <w:pPr>
        <w:pStyle w:val="Normal"/>
        <w:spacing w:before="0" w:after="240"/>
        <w:ind w:left="-73" w:right="0" w:hanging="0"/>
        <w:rPr>
          <w:rFonts w:ascii="Verdana" w:hAnsi="Verdana" w:cs="Verdana"/>
          <w:b/>
          <w:b/>
          <w:sz w:val="22"/>
          <w:szCs w:val="22"/>
        </w:rPr>
      </w:pPr>
      <w:r>
        <w:rPr>
          <w:rFonts w:cs="Verdana" w:ascii="Verdana" w:hAnsi="Verdana"/>
          <w:b/>
          <w:sz w:val="22"/>
          <w:szCs w:val="22"/>
        </w:rPr>
      </w:r>
    </w:p>
    <w:p>
      <w:pPr>
        <w:pStyle w:val="Normal"/>
        <w:spacing w:before="0" w:after="240"/>
        <w:ind w:left="-73" w:right="0" w:hanging="0"/>
        <w:rPr>
          <w:rFonts w:ascii="Verdana" w:hAnsi="Verdana" w:cs="Verdana"/>
          <w:b/>
          <w:b/>
          <w:sz w:val="22"/>
          <w:szCs w:val="22"/>
        </w:rPr>
      </w:pPr>
      <w:r>
        <w:rPr>
          <w:rFonts w:cs="Verdana" w:ascii="Verdana" w:hAnsi="Verdana"/>
          <w:b/>
          <w:sz w:val="22"/>
          <w:szCs w:val="22"/>
        </w:rPr>
      </w:r>
    </w:p>
    <w:p>
      <w:pPr>
        <w:pStyle w:val="Normal"/>
        <w:spacing w:before="0" w:after="240"/>
        <w:ind w:left="-73" w:right="0" w:hanging="0"/>
        <w:rPr>
          <w:rFonts w:ascii="Verdana" w:hAnsi="Verdana" w:cs="Verdana"/>
          <w:b/>
          <w:b/>
          <w:sz w:val="22"/>
          <w:szCs w:val="22"/>
        </w:rPr>
      </w:pPr>
      <w:r>
        <w:rPr>
          <w:rFonts w:cs="Verdana" w:ascii="Verdana" w:hAnsi="Verdana"/>
          <w:b/>
          <w:sz w:val="22"/>
          <w:szCs w:val="22"/>
        </w:rPr>
      </w:r>
    </w:p>
    <w:p>
      <w:pPr>
        <w:pStyle w:val="Normal"/>
        <w:rPr>
          <w:rFonts w:ascii="Verdana" w:hAnsi="Verdana" w:eastAsia="Calibri" w:cs="Verdana"/>
          <w:b/>
          <w:b/>
          <w:sz w:val="22"/>
          <w:szCs w:val="22"/>
          <w:lang w:eastAsia="en-US"/>
        </w:rPr>
      </w:pPr>
      <w:r>
        <w:rPr>
          <w:rFonts w:eastAsia="Calibri" w:cs="Verdana" w:ascii="Verdana" w:hAnsi="Verdana"/>
          <w:b/>
          <w:sz w:val="22"/>
          <w:szCs w:val="22"/>
          <w:lang w:eastAsia="en-US"/>
        </w:rPr>
      </w:r>
    </w:p>
    <w:p>
      <w:pPr>
        <w:pStyle w:val="Normal"/>
        <w:spacing w:before="0" w:after="240"/>
        <w:ind w:left="-73" w:right="0" w:hanging="0"/>
        <w:rPr>
          <w:rFonts w:ascii="Verdana" w:hAnsi="Verdana" w:eastAsia="Calibri" w:cs="Verdana"/>
          <w:b/>
          <w:b/>
          <w:sz w:val="22"/>
          <w:szCs w:val="22"/>
          <w:lang w:eastAsia="en-US"/>
        </w:rPr>
      </w:pPr>
      <w:r>
        <w:rPr>
          <w:rFonts w:eastAsia="Calibri" w:cs="Verdana" w:ascii="Verdana" w:hAnsi="Verdana"/>
          <w:b/>
          <w:sz w:val="22"/>
          <w:szCs w:val="22"/>
          <w:lang w:eastAsia="en-US"/>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rPr>
          <w:rFonts w:ascii="Verdana" w:hAnsi="Verdana" w:eastAsia="Calibri" w:cs="Verdana"/>
          <w:b/>
          <w:b/>
          <w:bCs/>
          <w:sz w:val="22"/>
          <w:szCs w:val="22"/>
          <w:lang w:eastAsia="en-US"/>
        </w:rPr>
      </w:pPr>
      <w:r>
        <w:rPr>
          <w:rFonts w:eastAsia="Calibri" w:cs="Verdana" w:ascii="Verdana" w:hAnsi="Verdana"/>
          <w:b/>
          <w:bCs/>
          <w:sz w:val="22"/>
          <w:szCs w:val="22"/>
          <w:lang w:eastAsia="en-US"/>
        </w:rPr>
      </w:r>
    </w:p>
    <w:p>
      <w:pPr>
        <w:pStyle w:val="Normal"/>
        <w:spacing w:before="0" w:after="240"/>
        <w:rPr>
          <w:rFonts w:ascii="Verdana" w:hAnsi="Verdana" w:eastAsia="Calibri" w:cs="Verdana"/>
          <w:b/>
          <w:b/>
          <w:bCs/>
          <w:sz w:val="22"/>
          <w:szCs w:val="22"/>
          <w:lang w:eastAsia="en-US"/>
        </w:rPr>
      </w:pPr>
      <w:r>
        <w:rPr>
          <w:rFonts w:eastAsia="Calibri" w:cs="Verdana" w:ascii="Verdana" w:hAnsi="Verdana"/>
          <w:b/>
          <w:bCs/>
          <w:sz w:val="22"/>
          <w:szCs w:val="22"/>
          <w:lang w:eastAsia="en-US"/>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imes New Roman">
    <w:charset w:val="01"/>
    <w:family w:val="roman"/>
    <w:pitch w:val="variable"/>
  </w:font>
  <w:font w:name="Arial">
    <w:charset w:val="01"/>
    <w:family w:val="swiss"/>
    <w:pitch w:val="variable"/>
  </w:font>
  <w:font w:name="Tahoma">
    <w:charset w:val="00"/>
    <w:family w:val="roman"/>
    <w:pitch w:val="variable"/>
  </w:font>
  <w:font w:name="Liberation Sans">
    <w:altName w:val="Arial"/>
    <w:charset w:val="00"/>
    <w:family w:val="swiss"/>
    <w:pitch w:val="variable"/>
  </w:font>
  <w:font w:name="Verdan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3">
    <w:lvl w:ilvl="0">
      <w:start w:val="1"/>
      <w:numFmt w:val="bullet"/>
      <w:lvlText w:val=""/>
      <w:lvlJc w:val="left"/>
      <w:pPr>
        <w:tabs>
          <w:tab w:val="num" w:pos="502"/>
        </w:tabs>
        <w:ind w:left="502" w:hanging="360"/>
      </w:pPr>
      <w:rPr>
        <w:rFonts w:ascii="Symbol" w:hAnsi="Symbol" w:cs="Symbol" w:hint="default"/>
        <w:sz w:val="22"/>
        <w:szCs w:val="22"/>
        <w:rFonts w:cs="Symbol"/>
        <w:color w:val="auto"/>
      </w:rPr>
    </w:lvl>
    <w:lvl w:ilvl="1">
      <w:start w:val="1"/>
      <w:numFmt w:val="bullet"/>
      <w:lvlText w:val="o"/>
      <w:lvlJc w:val="left"/>
      <w:pPr>
        <w:tabs>
          <w:tab w:val="num" w:pos="1440"/>
        </w:tabs>
        <w:ind w:left="1440" w:hanging="360"/>
      </w:pPr>
      <w:rPr>
        <w:rFonts w:ascii="Courier New" w:hAnsi="Courier New" w:cs="Courier New" w:hint="default"/>
        <w:rFonts w:cs="Courier New"/>
        <w:color w:val="auto"/>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360"/>
        </w:tabs>
        <w:ind w:left="360" w:hanging="360"/>
      </w:pPr>
      <w:rPr>
        <w:rFonts w:ascii="Symbol" w:hAnsi="Symbol" w:cs="Symbol" w:hint="default"/>
        <w:sz w:val="22"/>
        <w:szCs w:val="22"/>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sz w:val="22"/>
        <w:szCs w:val="22"/>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sz w:val="22"/>
        <w:szCs w:val="22"/>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5"/>
      <w:numFmt w:val="bullet"/>
      <w:lvlText w:val="-"/>
      <w:lvlJc w:val="left"/>
      <w:pPr>
        <w:tabs>
          <w:tab w:val="num" w:pos="1080"/>
        </w:tabs>
        <w:ind w:left="1080" w:hanging="360"/>
      </w:pPr>
      <w:rPr>
        <w:rFonts w:ascii="Times New Roman" w:hAnsi="Times New Roman" w:cs="Times New Roman" w:hint="default"/>
        <w:rFonts w:cs="Times New Roman"/>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2"/>
        <w:szCs w:val="22"/>
        <w:rFonts w:cs="Symbol"/>
        <w:lang w:eastAsia="en-US"/>
      </w:rPr>
    </w:lvl>
    <w:lvl w:ilvl="1">
      <w:start w:val="1"/>
      <w:numFmt w:val="bullet"/>
      <w:lvlText w:val="•"/>
      <w:lvlJc w:val="left"/>
      <w:pPr>
        <w:ind w:left="1440" w:hanging="360"/>
      </w:pPr>
      <w:rPr>
        <w:rFonts w:ascii="Arial" w:hAnsi="Arial" w:cs="Arial" w:hint="default"/>
        <w:rFonts w:cs="Aria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lang w:eastAsia="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lang w:eastAsia="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95" w:hanging="360"/>
      </w:pPr>
      <w:rPr>
        <w:rFonts w:ascii="Symbol" w:hAnsi="Symbol" w:cs="Symbol" w:hint="default"/>
        <w:sz w:val="22"/>
        <w:szCs w:val="22"/>
        <w:rFonts w:cs="Symbol"/>
      </w:rPr>
    </w:lvl>
    <w:lvl w:ilvl="1">
      <w:start w:val="1"/>
      <w:numFmt w:val="bullet"/>
      <w:lvlText w:val="o"/>
      <w:lvlJc w:val="left"/>
      <w:pPr>
        <w:ind w:left="1515" w:hanging="360"/>
      </w:pPr>
      <w:rPr>
        <w:rFonts w:ascii="Courier New" w:hAnsi="Courier New" w:cs="Courier New" w:hint="default"/>
        <w:rFonts w:cs="Courier New"/>
      </w:rPr>
    </w:lvl>
    <w:lvl w:ilvl="2">
      <w:start w:val="1"/>
      <w:numFmt w:val="bullet"/>
      <w:lvlText w:val=""/>
      <w:lvlJc w:val="left"/>
      <w:pPr>
        <w:ind w:left="2235" w:hanging="360"/>
      </w:pPr>
      <w:rPr>
        <w:rFonts w:ascii="Wingdings" w:hAnsi="Wingdings" w:cs="Wingdings" w:hint="default"/>
        <w:rFonts w:cs="Wingdings"/>
      </w:rPr>
    </w:lvl>
    <w:lvl w:ilvl="3">
      <w:start w:val="1"/>
      <w:numFmt w:val="bullet"/>
      <w:lvlText w:val=""/>
      <w:lvlJc w:val="left"/>
      <w:pPr>
        <w:ind w:left="2955" w:hanging="360"/>
      </w:pPr>
      <w:rPr>
        <w:rFonts w:ascii="Symbol" w:hAnsi="Symbol" w:cs="Symbol" w:hint="default"/>
        <w:sz w:val="22"/>
        <w:szCs w:val="22"/>
        <w:rFonts w:cs="Symbol"/>
      </w:rPr>
    </w:lvl>
    <w:lvl w:ilvl="4">
      <w:start w:val="1"/>
      <w:numFmt w:val="bullet"/>
      <w:lvlText w:val="o"/>
      <w:lvlJc w:val="left"/>
      <w:pPr>
        <w:ind w:left="3675" w:hanging="360"/>
      </w:pPr>
      <w:rPr>
        <w:rFonts w:ascii="Courier New" w:hAnsi="Courier New" w:cs="Courier New" w:hint="default"/>
        <w:rFonts w:cs="Courier New"/>
      </w:rPr>
    </w:lvl>
    <w:lvl w:ilvl="5">
      <w:start w:val="1"/>
      <w:numFmt w:val="bullet"/>
      <w:lvlText w:val=""/>
      <w:lvlJc w:val="left"/>
      <w:pPr>
        <w:ind w:left="4395" w:hanging="360"/>
      </w:pPr>
      <w:rPr>
        <w:rFonts w:ascii="Wingdings" w:hAnsi="Wingdings" w:cs="Wingdings" w:hint="default"/>
        <w:rFonts w:cs="Wingdings"/>
      </w:rPr>
    </w:lvl>
    <w:lvl w:ilvl="6">
      <w:start w:val="1"/>
      <w:numFmt w:val="bullet"/>
      <w:lvlText w:val=""/>
      <w:lvlJc w:val="left"/>
      <w:pPr>
        <w:ind w:left="5115" w:hanging="360"/>
      </w:pPr>
      <w:rPr>
        <w:rFonts w:ascii="Symbol" w:hAnsi="Symbol" w:cs="Symbol" w:hint="default"/>
        <w:sz w:val="22"/>
        <w:szCs w:val="22"/>
        <w:rFonts w:cs="Symbol"/>
      </w:rPr>
    </w:lvl>
    <w:lvl w:ilvl="7">
      <w:start w:val="1"/>
      <w:numFmt w:val="bullet"/>
      <w:lvlText w:val="o"/>
      <w:lvlJc w:val="left"/>
      <w:pPr>
        <w:ind w:left="5835" w:hanging="360"/>
      </w:pPr>
      <w:rPr>
        <w:rFonts w:ascii="Courier New" w:hAnsi="Courier New" w:cs="Courier New" w:hint="default"/>
        <w:rFonts w:cs="Courier New"/>
      </w:rPr>
    </w:lvl>
    <w:lvl w:ilvl="8">
      <w:start w:val="1"/>
      <w:numFmt w:val="bullet"/>
      <w:lvlText w:val=""/>
      <w:lvlJc w:val="left"/>
      <w:pPr>
        <w:ind w:left="6555"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jc w:val="center"/>
      <w:outlineLvl w:val="0"/>
    </w:pPr>
    <w:rPr>
      <w:b/>
      <w:sz w:val="44"/>
      <w:szCs w:val="20"/>
      <w:u w:val="single"/>
      <w:lang w:eastAsia="en-US"/>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color w:val="auto"/>
      <w:sz w:val="22"/>
      <w:szCs w:val="22"/>
    </w:rPr>
  </w:style>
  <w:style w:type="character" w:styleId="WW8Num2z1">
    <w:name w:val="WW8Num2z1"/>
    <w:qFormat/>
    <w:rPr>
      <w:rFonts w:ascii="Courier New" w:hAnsi="Courier New" w:cs="Courier New"/>
      <w:color w:val="auto"/>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sz w:val="22"/>
      <w:szCs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Times New Roman" w:hAnsi="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eastAsia="Calibri" w:cs="Symbol"/>
      <w:sz w:val="22"/>
      <w:szCs w:val="22"/>
      <w:lang w:eastAsia="en-US"/>
    </w:rPr>
  </w:style>
  <w:style w:type="character" w:styleId="WW8Num5z1">
    <w:name w:val="WW8Num5z1"/>
    <w:qFormat/>
    <w:rPr>
      <w:rFonts w:ascii="Arial" w:hAnsi="Arial" w:cs="Aria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sz w:val="22"/>
      <w:szCs w:val="22"/>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ing1Char">
    <w:name w:val="Heading 1 Char"/>
    <w:basedOn w:val="DefaultParagraphFont"/>
    <w:qFormat/>
    <w:rPr>
      <w:rFonts w:ascii="Times New Roman" w:hAnsi="Times New Roman" w:eastAsia="Times New Roman" w:cs="Times New Roman"/>
      <w:b/>
      <w:sz w:val="44"/>
      <w:szCs w:val="2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720" w:right="0" w:hanging="0"/>
    </w:pPr>
    <w:rPr/>
  </w:style>
  <w:style w:type="paragraph" w:styleId="Default">
    <w:name w:val="Default"/>
    <w:qFormat/>
    <w:pPr>
      <w:widowControl/>
      <w:suppressAutoHyphens w:val="true"/>
      <w:bidi w:val="0"/>
      <w:spacing w:lineRule="auto" w:line="240" w:before="0" w:after="0"/>
      <w:jc w:val="left"/>
    </w:pPr>
    <w:rPr>
      <w:rFonts w:ascii="Arial" w:hAnsi="Arial" w:eastAsia="Times New Roman" w:cs="Arial"/>
      <w:color w:val="000000"/>
      <w:kern w:val="0"/>
      <w:sz w:val="24"/>
      <w:szCs w:val="24"/>
      <w:lang w:val="en-GB" w:eastAsia="en-GB" w:bidi="ar-SA"/>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20</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2026-06-15T08:29:00Z</dcterms:created>
  <dc:creator>b.ridding</dc:creator>
  <dc:description/>
  <dc:language>en-US</dc:language>
  <cp:lastModifiedBy>Bogahalanda, Lucinda</cp:lastModifiedBy>
  <cp:lastPrinted>1995-11-21T17:41:00Z</cp:lastPrinted>
  <dcterms:modified xsi:type="dcterms:W3CDTF">2026-06-16T12:29:00Z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