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920" w:right="0" w:firstLine="18"/>
        <w:rPr>
          <w:b/>
          <w:b/>
        </w:rPr>
      </w:pPr>
      <w:r>
        <w:rPr/>
        <w:drawing>
          <wp:inline distT="0" distB="0" distL="0" distR="0">
            <wp:extent cx="1475740" cy="608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59" r="-24" b="-59"/>
                    <a:stretch>
                      <a:fillRect/>
                    </a:stretch>
                  </pic:blipFill>
                  <pic:spPr bwMode="auto">
                    <a:xfrm>
                      <a:off x="0" y="0"/>
                      <a:ext cx="1475740" cy="608965"/>
                    </a:xfrm>
                    <a:prstGeom prst="rect">
                      <a:avLst/>
                    </a:prstGeom>
                  </pic:spPr>
                </pic:pic>
              </a:graphicData>
            </a:graphic>
          </wp:inline>
        </w:drawing>
      </w:r>
    </w:p>
    <w:p>
      <w:pPr>
        <w:pStyle w:val="Normal"/>
        <w:jc w:val="center"/>
        <w:rPr>
          <w:b/>
          <w:b/>
        </w:rPr>
      </w:pPr>
      <w:r>
        <w:rPr>
          <w:b/>
        </w:rPr>
        <w:t>JOB DESCRIPTION</w:t>
      </w:r>
    </w:p>
    <w:tbl>
      <w:tblPr>
        <w:tblW w:w="5000" w:type="pct"/>
        <w:jc w:val="left"/>
        <w:tblInd w:w="0" w:type="dxa"/>
        <w:tblCellMar>
          <w:top w:w="0" w:type="dxa"/>
          <w:left w:w="108" w:type="dxa"/>
          <w:bottom w:w="0" w:type="dxa"/>
          <w:right w:w="108" w:type="dxa"/>
        </w:tblCellMar>
      </w:tblPr>
      <w:tblGrid>
        <w:gridCol w:w="5152"/>
        <w:gridCol w:w="5299"/>
        <w:gridCol w:w="15"/>
      </w:tblGrid>
      <w:tr>
        <w:trPr>
          <w:trHeight w:val="720" w:hRule="atLeast"/>
          <w:cantSplit w:val="true"/>
        </w:trPr>
        <w:tc>
          <w:tcPr>
            <w:tcW w:w="10466" w:type="dxa"/>
            <w:gridSpan w:val="2"/>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bCs/>
              </w:rPr>
              <w:t>Post Title</w:t>
            </w:r>
            <w:r>
              <w:rPr>
                <w:rFonts w:cs="Arial"/>
              </w:rPr>
              <w:t>: HR &amp; OD Change Advisor</w:t>
            </w:r>
          </w:p>
        </w:tc>
      </w:tr>
      <w:tr>
        <w:trPr>
          <w:cantSplit w:val="true"/>
        </w:trPr>
        <w:tc>
          <w:tcPr>
            <w:tcW w:w="5152" w:type="dxa"/>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rPr>
              <w:t>Department</w:t>
            </w:r>
            <w:r>
              <w:rPr>
                <w:rFonts w:cs="Arial"/>
              </w:rPr>
              <w:t>: Corporate Core</w:t>
            </w:r>
          </w:p>
        </w:tc>
        <w:tc>
          <w:tcPr>
            <w:tcW w:w="5314" w:type="dxa"/>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No</w:t>
            </w:r>
            <w:r>
              <w:rPr>
                <w:rFonts w:cs="Arial"/>
              </w:rPr>
              <w:t xml:space="preserve">: </w:t>
            </w:r>
          </w:p>
        </w:tc>
      </w:tr>
      <w:tr>
        <w:trPr>
          <w:trHeight w:val="720" w:hRule="atLeast"/>
          <w:cantSplit w:val="true"/>
        </w:trPr>
        <w:tc>
          <w:tcPr>
            <w:tcW w:w="5152" w:type="dxa"/>
            <w:tcBorders>
              <w:top w:val="double" w:sz="6" w:space="0" w:color="000000"/>
              <w:left w:val="single" w:sz="6" w:space="0" w:color="000000"/>
            </w:tcBorders>
            <w:shd w:fill="auto" w:val="clear"/>
          </w:tcPr>
          <w:p>
            <w:pPr>
              <w:pStyle w:val="Normal"/>
              <w:spacing w:before="120" w:after="240"/>
              <w:rPr/>
            </w:pPr>
            <w:r>
              <w:rPr>
                <w:rFonts w:cs="Arial"/>
                <w:b/>
              </w:rPr>
              <w:t>Division/Section</w:t>
            </w:r>
            <w:r>
              <w:rPr>
                <w:rFonts w:cs="Arial"/>
              </w:rPr>
              <w:t>: People and Inclusion</w:t>
            </w:r>
          </w:p>
        </w:tc>
        <w:tc>
          <w:tcPr>
            <w:tcW w:w="5314" w:type="dxa"/>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Post Grade</w:t>
            </w:r>
            <w:r>
              <w:rPr>
                <w:rFonts w:cs="Arial"/>
              </w:rPr>
              <w:t xml:space="preserve">: </w:t>
            </w:r>
          </w:p>
          <w:p>
            <w:pPr>
              <w:pStyle w:val="Normal"/>
              <w:spacing w:before="120" w:after="240"/>
              <w:rPr>
                <w:rFonts w:cs="Arial"/>
              </w:rPr>
            </w:pPr>
            <w:r>
              <w:rPr>
                <w:rFonts w:cs="Arial"/>
              </w:rPr>
              <w:t>Grade 11</w:t>
            </w:r>
          </w:p>
        </w:tc>
      </w:tr>
      <w:tr>
        <w:trPr>
          <w:trHeight w:val="601" w:hRule="atLeast"/>
          <w:cantSplit w:val="true"/>
        </w:trPr>
        <w:tc>
          <w:tcPr>
            <w:tcW w:w="10451" w:type="dxa"/>
            <w:gridSpan w:val="2"/>
            <w:tcBorders>
              <w:top w:val="double" w:sz="6" w:space="0" w:color="000000"/>
              <w:left w:val="single" w:sz="6" w:space="0" w:color="000000"/>
              <w:bottom w:val="double" w:sz="6" w:space="0" w:color="000000"/>
            </w:tcBorders>
            <w:shd w:fill="auto" w:val="clear"/>
          </w:tcPr>
          <w:p>
            <w:pPr>
              <w:pStyle w:val="Normal"/>
              <w:spacing w:before="120" w:after="240"/>
              <w:rPr/>
            </w:pPr>
            <w:r>
              <w:rPr>
                <w:rFonts w:cs="Arial"/>
                <w:b/>
                <w:bCs/>
              </w:rPr>
              <w:t>Location</w:t>
            </w:r>
            <w:r>
              <w:rPr>
                <w:rFonts w:cs="Arial"/>
              </w:rPr>
              <w:t xml:space="preserve">: </w:t>
            </w:r>
            <w:r>
              <w:rPr>
                <w:rFonts w:cs="Arial"/>
                <w:bCs/>
              </w:rPr>
              <w:t>3 Knowsley Place, Bury or any other location / Agile Worker</w:t>
            </w:r>
          </w:p>
        </w:tc>
      </w:tr>
      <w:tr>
        <w:trPr>
          <w:trHeight w:val="960" w:hRule="atLeast"/>
          <w:cantSplit w:val="true"/>
        </w:trPr>
        <w:tc>
          <w:tcPr>
            <w:tcW w:w="1046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Special Conditions of Service</w:t>
            </w:r>
            <w:r>
              <w:rPr>
                <w:rFonts w:cs="Arial"/>
              </w:rPr>
              <w:t>:</w:t>
            </w:r>
          </w:p>
          <w:p>
            <w:pPr>
              <w:pStyle w:val="Normal"/>
              <w:spacing w:before="120" w:after="200"/>
              <w:rPr>
                <w:rFonts w:cs="Arial"/>
                <w:bCs/>
              </w:rPr>
            </w:pPr>
            <w:r>
              <w:rPr>
                <w:rFonts w:cs="Arial"/>
                <w:bCs/>
              </w:rPr>
              <w:t>The nature of the post will require the post holder to work flexibly dependent on the needs of the job. This may include occasionally attending events or meetings outside of normal working hours and working agilely from different offices or home as appropriate.</w:t>
            </w:r>
          </w:p>
        </w:tc>
      </w:tr>
      <w:tr>
        <w:trPr>
          <w:trHeight w:val="1238" w:hRule="atLeast"/>
        </w:trPr>
        <w:tc>
          <w:tcPr>
            <w:tcW w:w="1046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pPr>
            <w:r>
              <w:rPr>
                <w:rFonts w:cs="Arial"/>
                <w:b/>
              </w:rPr>
              <w:t>Purpose and Objectives of Post</w:t>
            </w:r>
            <w:r>
              <w:rPr>
                <w:rFonts w:cs="Arial"/>
              </w:rPr>
              <w:t xml:space="preserve">: </w:t>
            </w:r>
          </w:p>
          <w:p>
            <w:pPr>
              <w:pStyle w:val="Normal"/>
              <w:snapToGrid w:val="false"/>
              <w:spacing w:before="120" w:after="120"/>
              <w:rPr/>
            </w:pPr>
            <w:r>
              <w:rPr>
                <w:rFonts w:cs="Arial"/>
                <w:i/>
                <w:iCs/>
              </w:rPr>
              <w:t xml:space="preserve">This post forms part of the Council’s Human Resources and Organisational Development (HR &amp; OD) function which is responsible for ensuring the Council has </w:t>
            </w:r>
            <w:r>
              <w:rPr>
                <w:rFonts w:eastAsia="Times New Roman" w:cs="Arial"/>
                <w:i/>
                <w:iCs/>
              </w:rPr>
              <w:t xml:space="preserve">right people, with the right skills, in the right place, at the right level and at the right cost to enable us to meet our </w:t>
            </w:r>
            <w:r>
              <w:rPr>
                <w:rFonts w:cs="Arial"/>
                <w:i/>
                <w:iCs/>
              </w:rPr>
              <w:t>LET’S DO It! v</w:t>
            </w:r>
            <w:r>
              <w:rPr>
                <w:rFonts w:eastAsia="Times New Roman" w:cs="Arial"/>
                <w:i/>
                <w:iCs/>
              </w:rPr>
              <w:t>ison for Bury</w:t>
            </w:r>
            <w:r>
              <w:rPr>
                <w:rFonts w:cs="Arial"/>
                <w:i/>
                <w:iCs/>
              </w:rPr>
              <w:t>.</w:t>
            </w:r>
            <w:r>
              <w:rPr>
                <w:rFonts w:eastAsia="Times New Roman" w:cs="Arial"/>
                <w:i/>
                <w:iCs/>
              </w:rPr>
              <w:t xml:space="preserve"> </w:t>
            </w:r>
            <w:r>
              <w:rPr>
                <w:rFonts w:cs="Arial"/>
                <w:i/>
                <w:iCs/>
              </w:rPr>
              <w:t>– The HR &amp; OD function provide the technical and specialist people management expertise to make this happen and drive the development of the organisation’s people and culture</w:t>
            </w:r>
          </w:p>
          <w:p>
            <w:pPr>
              <w:pStyle w:val="Normal"/>
              <w:snapToGrid w:val="false"/>
              <w:spacing w:before="120" w:after="120"/>
              <w:rPr>
                <w:rFonts w:cs="Arial"/>
              </w:rPr>
            </w:pPr>
            <w:r>
              <w:rPr>
                <w:rFonts w:cs="Arial"/>
              </w:rPr>
              <w:t xml:space="preserve">The purpose and objectives of this post are: </w:t>
            </w:r>
          </w:p>
          <w:p>
            <w:pPr>
              <w:pStyle w:val="ListParagraph"/>
              <w:numPr>
                <w:ilvl w:val="0"/>
                <w:numId w:val="2"/>
              </w:numPr>
              <w:spacing w:lineRule="auto" w:line="240" w:before="0" w:after="0"/>
              <w:ind w:left="447" w:right="0" w:hanging="360"/>
              <w:rPr/>
            </w:pPr>
            <w:r>
              <w:rPr/>
              <w:t xml:space="preserve">The </w:t>
            </w:r>
            <w:r>
              <w:rPr>
                <w:rFonts w:cs="Arial"/>
              </w:rPr>
              <w:t>HR &amp; OD Advisor</w:t>
            </w:r>
            <w:r>
              <w:rPr/>
              <w:t xml:space="preserve"> will provide advice and support to managers on a range of HR management issues including, but not limited to, change management, organisational design, job Descriptions and job evaluation, training, Implications on Contracts of employment. . </w:t>
            </w:r>
          </w:p>
          <w:p>
            <w:pPr>
              <w:pStyle w:val="Normal"/>
              <w:spacing w:lineRule="auto" w:line="240" w:before="0" w:after="0"/>
              <w:ind w:left="447" w:right="0" w:hanging="0"/>
              <w:rPr/>
            </w:pPr>
            <w:r>
              <w:rPr/>
            </w:r>
          </w:p>
          <w:p>
            <w:pPr>
              <w:pStyle w:val="ListParagraph"/>
              <w:numPr>
                <w:ilvl w:val="0"/>
                <w:numId w:val="2"/>
              </w:numPr>
              <w:spacing w:lineRule="auto" w:line="240" w:before="0" w:after="0"/>
              <w:ind w:left="447" w:right="0" w:hanging="360"/>
              <w:rPr/>
            </w:pPr>
            <w:r>
              <w:rPr/>
              <w:t xml:space="preserve">A key function within this role is to develop the skill and capacity of managers to enable them to manage people issues effectively and independently. </w:t>
            </w:r>
          </w:p>
          <w:p>
            <w:pPr>
              <w:pStyle w:val="ListParagraph"/>
              <w:spacing w:lineRule="auto" w:line="240" w:before="0" w:after="0"/>
              <w:ind w:left="447" w:right="0" w:hanging="0"/>
              <w:rPr/>
            </w:pPr>
            <w:r>
              <w:rPr/>
            </w:r>
          </w:p>
          <w:p>
            <w:pPr>
              <w:pStyle w:val="ListParagraph"/>
              <w:numPr>
                <w:ilvl w:val="0"/>
                <w:numId w:val="2"/>
              </w:numPr>
              <w:spacing w:lineRule="auto" w:line="240" w:before="0" w:after="0"/>
              <w:ind w:left="447" w:right="0" w:hanging="360"/>
              <w:rPr/>
            </w:pPr>
            <w:r>
              <w:rPr/>
              <w:t xml:space="preserve">The Change </w:t>
            </w:r>
            <w:r>
              <w:rPr>
                <w:rFonts w:cs="Arial"/>
              </w:rPr>
              <w:t>HR &amp; OD Advisor</w:t>
            </w:r>
            <w:r>
              <w:rPr/>
              <w:t xml:space="preserve"> is a member of the HR &amp; OD Team, and the wider People and Inclusion Division, and plays a key role in supporting the review and development ofsupport on key change and transformation programmes,, training, workforce engagement and quality improvement systems.</w:t>
            </w:r>
          </w:p>
          <w:p>
            <w:pPr>
              <w:pStyle w:val="Normal"/>
              <w:spacing w:lineRule="auto" w:line="240" w:before="0" w:after="0"/>
              <w:ind w:left="447" w:right="0" w:hanging="0"/>
              <w:rPr/>
            </w:pPr>
            <w:r>
              <w:rPr/>
            </w:r>
          </w:p>
          <w:p>
            <w:pPr>
              <w:pStyle w:val="ListParagraph"/>
              <w:numPr>
                <w:ilvl w:val="0"/>
                <w:numId w:val="2"/>
              </w:numPr>
              <w:spacing w:lineRule="auto" w:line="240" w:before="0" w:after="0"/>
              <w:ind w:left="447" w:right="0" w:hanging="360"/>
              <w:rPr/>
            </w:pPr>
            <w:r>
              <w:rPr/>
              <w:t xml:space="preserve">The </w:t>
            </w:r>
            <w:r>
              <w:rPr>
                <w:rFonts w:cs="Arial"/>
              </w:rPr>
              <w:t>HR &amp; OD Advisor</w:t>
            </w:r>
            <w:r>
              <w:rPr/>
              <w:t xml:space="preserve"> will work with the wider People and Inclusion Division to create a high performing, inclusive culture, to continually improve service to the business, positively influencing the team and Directorate’s reputation within the organisation and the community. </w:t>
            </w:r>
          </w:p>
          <w:p>
            <w:pPr>
              <w:pStyle w:val="ListParagraph"/>
              <w:spacing w:lineRule="auto" w:line="240" w:before="0" w:after="0"/>
              <w:ind w:left="447" w:right="0" w:hanging="0"/>
              <w:rPr/>
            </w:pPr>
            <w:r>
              <w:rPr/>
            </w:r>
          </w:p>
          <w:p>
            <w:pPr>
              <w:pStyle w:val="ListParagraph"/>
              <w:numPr>
                <w:ilvl w:val="0"/>
                <w:numId w:val="2"/>
              </w:numPr>
              <w:spacing w:lineRule="auto" w:line="240" w:before="0" w:after="0"/>
              <w:ind w:left="447" w:right="0" w:hanging="360"/>
              <w:rPr/>
            </w:pPr>
            <w:r>
              <w:rPr/>
              <w:t xml:space="preserve">The </w:t>
            </w:r>
            <w:r>
              <w:rPr>
                <w:rFonts w:cs="Arial"/>
              </w:rPr>
              <w:t>HR &amp; OD Advisor</w:t>
            </w:r>
            <w:r>
              <w:rPr/>
              <w:t xml:space="preserve"> is responsible for representing HR across the departments and supporting other areas of the HR function to deliver aligned service that meets organisational needs. </w:t>
            </w:r>
          </w:p>
        </w:tc>
      </w:tr>
      <w:tr>
        <w:trPr>
          <w:cantSplit w:val="true"/>
        </w:trPr>
        <w:tc>
          <w:tcPr>
            <w:tcW w:w="1046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Accountable to</w:t>
            </w:r>
            <w:r>
              <w:rPr>
                <w:rFonts w:cs="Arial"/>
              </w:rPr>
              <w:t>: HR and OD Business Partner/ HR Business Manager</w:t>
            </w:r>
          </w:p>
        </w:tc>
      </w:tr>
      <w:tr>
        <w:trPr>
          <w:cantSplit w:val="true"/>
        </w:trPr>
        <w:tc>
          <w:tcPr>
            <w:tcW w:w="1046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to</w:t>
            </w:r>
            <w:r>
              <w:rPr>
                <w:rFonts w:cs="Arial"/>
              </w:rPr>
              <w:t>: HR and OD Business Partner/HR Business Manager</w:t>
            </w:r>
          </w:p>
        </w:tc>
      </w:tr>
      <w:tr>
        <w:trPr>
          <w:trHeight w:val="680" w:hRule="atLeast"/>
          <w:cantSplit w:val="true"/>
        </w:trPr>
        <w:tc>
          <w:tcPr>
            <w:tcW w:w="1046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240"/>
              <w:rPr/>
            </w:pPr>
            <w:r>
              <w:rPr>
                <w:rFonts w:cs="Arial"/>
                <w:b/>
              </w:rPr>
              <w:t>Immediately Responsible for</w:t>
            </w:r>
            <w:r>
              <w:rPr>
                <w:rFonts w:cs="Arial"/>
              </w:rPr>
              <w:t>: None</w:t>
            </w:r>
          </w:p>
        </w:tc>
      </w:tr>
      <w:tr>
        <w:trPr>
          <w:trHeight w:val="232" w:hRule="atLeast"/>
          <w:cantSplit w:val="true"/>
        </w:trPr>
        <w:tc>
          <w:tcPr>
            <w:tcW w:w="10466" w:type="dxa"/>
            <w:gridSpan w:val="2"/>
            <w:tcBorders>
              <w:top w:val="double" w:sz="6" w:space="0" w:color="000000"/>
              <w:left w:val="single" w:sz="6" w:space="0" w:color="000000"/>
              <w:right w:val="single" w:sz="6" w:space="0" w:color="000000"/>
            </w:tcBorders>
            <w:shd w:fill="auto" w:val="clear"/>
          </w:tcPr>
          <w:p>
            <w:pPr>
              <w:pStyle w:val="Normal"/>
              <w:tabs>
                <w:tab w:val="clear" w:pos="720"/>
                <w:tab w:val="left" w:pos="4320" w:leader="none"/>
              </w:tabs>
              <w:spacing w:before="120" w:after="120"/>
              <w:rPr>
                <w:rFonts w:cs="Arial"/>
                <w:b/>
                <w:b/>
              </w:rPr>
            </w:pPr>
            <w:r>
              <w:rPr>
                <w:rFonts w:cs="Arial"/>
                <w:b/>
              </w:rPr>
              <w:t>Relationships: (Internal and External)</w:t>
            </w:r>
          </w:p>
          <w:p>
            <w:pPr>
              <w:pStyle w:val="Normal"/>
              <w:spacing w:before="120" w:after="200"/>
              <w:rPr>
                <w:rFonts w:cs="Arial"/>
                <w:bCs/>
              </w:rPr>
            </w:pPr>
            <w:r>
              <w:rPr>
                <w:rFonts w:cs="Arial"/>
                <w:bCs/>
              </w:rPr>
              <w:t xml:space="preserve">Officers and managers of the Council, Trade Unions and representatives, Representatives from national and regional partner organisations, including other local authorities and NHS Trusts. </w:t>
            </w:r>
          </w:p>
        </w:tc>
      </w:tr>
      <w:tr>
        <w:trPr>
          <w:trHeight w:val="2154" w:hRule="atLeast"/>
          <w:cantSplit w:val="true"/>
        </w:trPr>
        <w:tc>
          <w:tcPr>
            <w:tcW w:w="10466" w:type="dxa"/>
            <w:gridSpan w:val="2"/>
            <w:tcBorders>
              <w:top w:val="double" w:sz="6" w:space="0" w:color="000000"/>
              <w:left w:val="single" w:sz="6" w:space="0" w:color="000000"/>
              <w:bottom w:val="single" w:sz="6" w:space="0" w:color="000000"/>
              <w:right w:val="single" w:sz="6" w:space="0" w:color="000000"/>
            </w:tcBorders>
            <w:shd w:fill="auto" w:val="clear"/>
          </w:tcPr>
          <w:p>
            <w:pPr>
              <w:pStyle w:val="Normal"/>
              <w:spacing w:before="120" w:after="120"/>
              <w:rPr/>
            </w:pPr>
            <w:r>
              <w:rPr>
                <w:rFonts w:cs="Arial"/>
                <w:b/>
              </w:rPr>
              <w:t>Control of Resources</w:t>
            </w:r>
            <w:r>
              <w:rPr>
                <w:rFonts w:cs="Arial"/>
              </w:rPr>
              <w:t xml:space="preserve">: </w:t>
            </w:r>
          </w:p>
          <w:p>
            <w:pPr>
              <w:pStyle w:val="Normal"/>
              <w:spacing w:before="120" w:after="200"/>
              <w:jc w:val="both"/>
              <w:rPr>
                <w:rFonts w:cs="Arial"/>
                <w:bCs/>
              </w:rPr>
            </w:pPr>
            <w:r>
              <w:rPr>
                <w:rFonts w:cs="Arial"/>
                <w:bCs/>
              </w:rPr>
              <w:t>Systems, data and records </w:t>
            </w:r>
          </w:p>
          <w:p>
            <w:pPr>
              <w:pStyle w:val="Normal"/>
              <w:spacing w:before="120" w:after="200"/>
              <w:jc w:val="both"/>
              <w:rPr>
                <w:rFonts w:cs="Arial"/>
                <w:bCs/>
              </w:rPr>
            </w:pPr>
            <w:r>
              <w:rPr>
                <w:rFonts w:cs="Arial"/>
                <w:bCs/>
              </w:rPr>
              <w:t>Security of personal computer, laptop and mobile phone </w:t>
            </w:r>
          </w:p>
          <w:p>
            <w:pPr>
              <w:pStyle w:val="Normal"/>
              <w:spacing w:before="120" w:after="200"/>
              <w:jc w:val="both"/>
              <w:rPr>
                <w:rFonts w:cs="Arial"/>
                <w:bCs/>
              </w:rPr>
            </w:pPr>
            <w:r>
              <w:rPr>
                <w:rFonts w:cs="Arial"/>
                <w:bCs/>
              </w:rPr>
              <w:t>Compliance with Health and Safety Regulations </w:t>
            </w:r>
          </w:p>
          <w:p>
            <w:pPr>
              <w:pStyle w:val="Normal"/>
              <w:spacing w:before="120" w:after="200"/>
              <w:jc w:val="both"/>
              <w:rPr>
                <w:rFonts w:cs="Arial"/>
                <w:bCs/>
              </w:rPr>
            </w:pPr>
            <w:r>
              <w:rPr>
                <w:rFonts w:cs="Arial"/>
                <w:bCs/>
              </w:rPr>
              <w:t>Relevant Budgets  </w:t>
            </w:r>
          </w:p>
        </w:tc>
      </w:tr>
      <w:tr>
        <w:trPr>
          <w:trHeight w:val="2224" w:hRule="atLeast"/>
        </w:trPr>
        <w:tc>
          <w:tcPr>
            <w:tcW w:w="10466" w:type="dxa"/>
            <w:gridSpan w:val="2"/>
            <w:tcBorders>
              <w:top w:val="double" w:sz="6" w:space="0" w:color="000000"/>
              <w:left w:val="single" w:sz="6" w:space="0" w:color="000000"/>
              <w:bottom w:val="double" w:sz="6" w:space="0" w:color="000000"/>
              <w:right w:val="single" w:sz="6" w:space="0" w:color="000000"/>
            </w:tcBorders>
            <w:shd w:fill="auto" w:val="clear"/>
          </w:tcPr>
          <w:p>
            <w:pPr>
              <w:pStyle w:val="Normal"/>
              <w:spacing w:before="120" w:after="120"/>
              <w:rPr>
                <w:rFonts w:cs="Arial"/>
                <w:b/>
                <w:b/>
              </w:rPr>
            </w:pPr>
            <w:r>
              <w:rPr>
                <w:rFonts w:cs="Arial"/>
                <w:b/>
              </w:rPr>
              <w:t>Duties/Responsibilities:</w:t>
            </w:r>
          </w:p>
          <w:p>
            <w:pPr>
              <w:pStyle w:val="Normal"/>
              <w:spacing w:before="120" w:after="120"/>
              <w:jc w:val="both"/>
              <w:rPr>
                <w:b/>
                <w:b/>
                <w:bCs/>
              </w:rPr>
            </w:pPr>
            <w:r>
              <w:rPr>
                <w:b/>
                <w:bCs/>
              </w:rPr>
              <w:t>Level 1 – working under the supervision of the HR and OD Business Partner</w:t>
            </w:r>
          </w:p>
          <w:p>
            <w:pPr>
              <w:pStyle w:val="ListParagraph"/>
              <w:numPr>
                <w:ilvl w:val="0"/>
                <w:numId w:val="3"/>
              </w:numPr>
              <w:spacing w:before="120" w:after="120"/>
              <w:ind w:left="589" w:right="0" w:hanging="589"/>
              <w:rPr/>
            </w:pPr>
            <w:r>
              <w:rPr/>
              <w:t xml:space="preserve">To work in conjunction with the other HR professionals to provide an effective advisory service across the Department. </w:t>
            </w:r>
          </w:p>
          <w:p>
            <w:pPr>
              <w:pStyle w:val="ListParagraph"/>
              <w:numPr>
                <w:ilvl w:val="0"/>
                <w:numId w:val="3"/>
              </w:numPr>
              <w:spacing w:before="120" w:after="120"/>
              <w:ind w:left="589" w:right="0" w:hanging="589"/>
              <w:rPr/>
            </w:pPr>
            <w:r>
              <w:rPr/>
              <w:t>To provide first level guidance and advice on HR policies and procedures and terms of conditions e.g. conduct and sickness absence queries.</w:t>
            </w:r>
          </w:p>
          <w:p>
            <w:pPr>
              <w:pStyle w:val="ListParagraph"/>
              <w:numPr>
                <w:ilvl w:val="0"/>
                <w:numId w:val="3"/>
              </w:numPr>
              <w:spacing w:before="120" w:after="120"/>
              <w:ind w:left="589" w:right="0" w:hanging="589"/>
              <w:rPr/>
            </w:pPr>
            <w:r>
              <w:rPr/>
              <w:t>Dealing with day-to-day enquiries and responding in a timely manner, and being aware of sensitive, confidential issues, handling them in an appropriate manner.</w:t>
            </w:r>
          </w:p>
          <w:p>
            <w:pPr>
              <w:pStyle w:val="ListParagraph"/>
              <w:numPr>
                <w:ilvl w:val="0"/>
                <w:numId w:val="3"/>
              </w:numPr>
              <w:spacing w:before="120" w:after="120"/>
              <w:ind w:left="589" w:right="0" w:hanging="589"/>
              <w:rPr/>
            </w:pPr>
            <w:r>
              <w:rPr/>
              <w:t>Process correspondence and direct/escalate where necessary to the most relevant member in the department.</w:t>
            </w:r>
          </w:p>
          <w:p>
            <w:pPr>
              <w:pStyle w:val="ListParagraph"/>
              <w:numPr>
                <w:ilvl w:val="0"/>
                <w:numId w:val="3"/>
              </w:numPr>
              <w:spacing w:before="120" w:after="120"/>
              <w:ind w:left="589" w:right="0" w:hanging="589"/>
              <w:rPr/>
            </w:pPr>
            <w:r>
              <w:rPr/>
              <w:t>To provide managers with advice on job descriptions, person specifications and the job evaluation process making sure all statutory and local policy requirements are met.</w:t>
            </w:r>
          </w:p>
          <w:p>
            <w:pPr>
              <w:pStyle w:val="ListParagraph"/>
              <w:numPr>
                <w:ilvl w:val="0"/>
                <w:numId w:val="3"/>
              </w:numPr>
              <w:spacing w:before="120" w:after="120"/>
              <w:ind w:left="589" w:right="0" w:hanging="589"/>
              <w:rPr/>
            </w:pPr>
            <w:r>
              <w:rPr/>
              <w:t>To assist with disciplinary hearings and investigations as required</w:t>
            </w:r>
          </w:p>
          <w:p>
            <w:pPr>
              <w:pStyle w:val="ListParagraph"/>
              <w:numPr>
                <w:ilvl w:val="0"/>
                <w:numId w:val="3"/>
              </w:numPr>
              <w:spacing w:before="120" w:after="120"/>
              <w:ind w:left="589" w:right="0" w:hanging="589"/>
              <w:rPr/>
            </w:pPr>
            <w:r>
              <w:rPr/>
              <w:t>To undertake relevant HR projects as agreed with the HR and OD Business Partners.</w:t>
            </w:r>
          </w:p>
          <w:p>
            <w:pPr>
              <w:pStyle w:val="ListParagraph"/>
              <w:numPr>
                <w:ilvl w:val="0"/>
                <w:numId w:val="3"/>
              </w:numPr>
              <w:spacing w:before="120" w:after="120"/>
              <w:ind w:left="589" w:right="0" w:hanging="589"/>
              <w:rPr/>
            </w:pPr>
            <w:r>
              <w:rPr/>
              <w:t xml:space="preserve">Build and maintain constructive relationships with a broad range of internal and external stakeholders, including Trades Unions. </w:t>
            </w:r>
          </w:p>
          <w:p>
            <w:pPr>
              <w:pStyle w:val="ListParagraph"/>
              <w:numPr>
                <w:ilvl w:val="0"/>
                <w:numId w:val="3"/>
              </w:numPr>
              <w:spacing w:before="120" w:after="120"/>
              <w:ind w:left="589" w:right="0" w:hanging="589"/>
              <w:rPr/>
            </w:pPr>
            <w:r>
              <w:rPr/>
              <w:t>Assist with the delivery of HR related training.</w:t>
            </w:r>
          </w:p>
          <w:p>
            <w:pPr>
              <w:pStyle w:val="ListParagraph"/>
              <w:numPr>
                <w:ilvl w:val="0"/>
                <w:numId w:val="3"/>
              </w:numPr>
              <w:spacing w:before="120" w:after="120"/>
              <w:ind w:left="589" w:right="0" w:hanging="589"/>
              <w:rPr/>
            </w:pPr>
            <w:r>
              <w:rPr/>
              <w:t>Support with the onboarding and offboarding processes, escalating when further investigation or guidance is required.</w:t>
            </w:r>
          </w:p>
          <w:p>
            <w:pPr>
              <w:pStyle w:val="ListParagraph"/>
              <w:numPr>
                <w:ilvl w:val="0"/>
                <w:numId w:val="3"/>
              </w:numPr>
              <w:spacing w:before="120" w:after="120"/>
              <w:ind w:left="589" w:right="0" w:hanging="589"/>
              <w:rPr/>
            </w:pPr>
            <w:r>
              <w:rPr/>
              <w:t>Access, interpret and distribute workforce data on request of the HR and OD Business Partner, in order to determine the value and effectiveness of HR Initiatives, such as absence, employee relations, turnover, additional payments.</w:t>
            </w:r>
          </w:p>
          <w:p>
            <w:pPr>
              <w:pStyle w:val="ListParagraph"/>
              <w:numPr>
                <w:ilvl w:val="0"/>
                <w:numId w:val="3"/>
              </w:numPr>
              <w:spacing w:before="120" w:after="120"/>
              <w:ind w:left="589" w:right="0" w:hanging="589"/>
              <w:rPr/>
            </w:pPr>
            <w:r>
              <w:rPr/>
              <w:t>Demonstrate a strong customer focused approach that is proactive in support of the success of the services and maintains best HR Practice.</w:t>
            </w:r>
          </w:p>
          <w:p>
            <w:pPr>
              <w:pStyle w:val="ListParagraph"/>
              <w:numPr>
                <w:ilvl w:val="0"/>
                <w:numId w:val="3"/>
              </w:numPr>
              <w:spacing w:before="120" w:after="120"/>
              <w:ind w:left="589" w:right="0" w:hanging="589"/>
              <w:rPr/>
            </w:pPr>
            <w:r>
              <w:rPr/>
              <w:t>Record employee relations activity by type, outcomes and demographics, ensuring that all cases are logged and updated in an accurate, timely and efficient manner, and that all procedural dates are monitored, and managers advised accordingly.</w:t>
            </w:r>
          </w:p>
          <w:p>
            <w:pPr>
              <w:pStyle w:val="ListParagraph"/>
              <w:numPr>
                <w:ilvl w:val="0"/>
                <w:numId w:val="3"/>
              </w:numPr>
              <w:spacing w:before="120" w:after="120"/>
              <w:ind w:left="589" w:right="0" w:hanging="589"/>
              <w:rPr/>
            </w:pPr>
            <w:r>
              <w:rPr/>
              <w:t>Ensure that staff records and interim records are kept in line with GDPR and are up to date, providing accurate reporting and support the team with general IG matters</w:t>
            </w:r>
            <w:r>
              <w:rPr>
                <w:rFonts w:eastAsia="Verdana" w:cs="Verdana"/>
                <w:color w:val="000000"/>
              </w:rPr>
              <w:t xml:space="preserve"> including assisting with responses to Freedom of Information and Subject Access requests </w:t>
            </w:r>
          </w:p>
          <w:p>
            <w:pPr>
              <w:pStyle w:val="ListParagraph"/>
              <w:numPr>
                <w:ilvl w:val="0"/>
                <w:numId w:val="3"/>
              </w:numPr>
              <w:spacing w:before="120" w:after="120"/>
              <w:ind w:left="589" w:right="0" w:hanging="589"/>
              <w:rPr>
                <w:rFonts w:eastAsia="Verdana" w:cs="Verdana"/>
                <w:color w:val="000000"/>
              </w:rPr>
            </w:pPr>
            <w:r>
              <w:rPr>
                <w:rFonts w:eastAsia="Verdana" w:cs="Verdana"/>
                <w:color w:val="000000"/>
              </w:rPr>
              <w:t>Provide support with regard to the publication of policies/statistics</w:t>
            </w:r>
          </w:p>
          <w:p>
            <w:pPr>
              <w:pStyle w:val="ListParagraph"/>
              <w:numPr>
                <w:ilvl w:val="0"/>
                <w:numId w:val="3"/>
              </w:numPr>
              <w:spacing w:before="120" w:after="120"/>
              <w:ind w:left="589" w:right="0" w:hanging="589"/>
              <w:rPr>
                <w:rFonts w:eastAsia="Verdana" w:cs="Verdana"/>
                <w:color w:val="000000"/>
              </w:rPr>
            </w:pPr>
            <w:r>
              <w:rPr>
                <w:rFonts w:eastAsia="Verdana" w:cs="Verdana"/>
                <w:color w:val="000000"/>
              </w:rPr>
              <w:t>Provide support to HR project work as and when required</w:t>
            </w:r>
          </w:p>
          <w:p>
            <w:pPr>
              <w:pStyle w:val="ListParagraph"/>
              <w:numPr>
                <w:ilvl w:val="0"/>
                <w:numId w:val="3"/>
              </w:numPr>
              <w:spacing w:before="120" w:after="120"/>
              <w:ind w:left="589" w:right="0" w:hanging="589"/>
              <w:rPr/>
            </w:pPr>
            <w:r>
              <w:rPr/>
              <w:t>To undertake general HR tasks as required and appropriate to the grade.</w:t>
            </w:r>
          </w:p>
          <w:p>
            <w:pPr>
              <w:pStyle w:val="Normal"/>
              <w:spacing w:before="120" w:after="120"/>
              <w:rPr/>
            </w:pPr>
            <w:r>
              <w:rPr/>
            </w:r>
          </w:p>
          <w:p>
            <w:pPr>
              <w:pStyle w:val="Normal"/>
              <w:spacing w:before="120" w:after="120"/>
              <w:jc w:val="both"/>
              <w:rPr>
                <w:b/>
                <w:b/>
                <w:bCs/>
              </w:rPr>
            </w:pPr>
            <w:r>
              <w:rPr>
                <w:b/>
                <w:bCs/>
              </w:rPr>
              <w:t>Level 2 – working under some supervision of the HR and OD Business Partner</w:t>
            </w:r>
          </w:p>
          <w:p>
            <w:pPr>
              <w:pStyle w:val="Normal"/>
              <w:spacing w:before="120" w:after="120"/>
              <w:jc w:val="both"/>
              <w:rPr/>
            </w:pPr>
            <w:r>
              <w:rPr/>
              <w:t>(as level 1 with the following additions)</w:t>
            </w:r>
          </w:p>
          <w:p>
            <w:pPr>
              <w:pStyle w:val="ListParagraph"/>
              <w:numPr>
                <w:ilvl w:val="0"/>
                <w:numId w:val="3"/>
              </w:numPr>
              <w:spacing w:before="120" w:after="120"/>
              <w:ind w:left="589" w:right="0" w:hanging="567"/>
              <w:rPr/>
            </w:pPr>
            <w:r>
              <w:rPr/>
              <w:t xml:space="preserve">To advise managers on a range of HR Operational matters including but not limited to the following: </w:t>
            </w:r>
          </w:p>
          <w:p>
            <w:pPr>
              <w:pStyle w:val="ListParagraph"/>
              <w:numPr>
                <w:ilvl w:val="0"/>
                <w:numId w:val="4"/>
              </w:numPr>
              <w:spacing w:before="120" w:after="120"/>
              <w:ind w:left="873" w:right="0" w:hanging="360"/>
              <w:rPr/>
            </w:pPr>
            <w:r>
              <w:rPr/>
              <w:t>The interpretation and application of Council policy</w:t>
            </w:r>
          </w:p>
          <w:p>
            <w:pPr>
              <w:pStyle w:val="ListParagraph"/>
              <w:numPr>
                <w:ilvl w:val="0"/>
                <w:numId w:val="4"/>
              </w:numPr>
              <w:spacing w:before="120" w:after="120"/>
              <w:ind w:left="873" w:right="0" w:hanging="360"/>
              <w:rPr/>
            </w:pPr>
            <w:r>
              <w:rPr/>
              <w:t>The interpretation and application of terms and conditions of employment</w:t>
            </w:r>
          </w:p>
          <w:p>
            <w:pPr>
              <w:pStyle w:val="ListParagraph"/>
              <w:numPr>
                <w:ilvl w:val="0"/>
                <w:numId w:val="3"/>
              </w:numPr>
              <w:spacing w:before="120" w:after="120"/>
              <w:ind w:left="589" w:right="0" w:hanging="589"/>
              <w:rPr/>
            </w:pPr>
            <w:r>
              <w:rPr>
                <w:rFonts w:eastAsia="Verdana"/>
              </w:rPr>
              <w:t xml:space="preserve"> </w:t>
            </w:r>
            <w:r>
              <w:rPr/>
              <w:t>Advising and supporting managers on matters of employee relations (discipline, grievance, performance management).</w:t>
            </w:r>
          </w:p>
          <w:p>
            <w:pPr>
              <w:pStyle w:val="ListParagraph"/>
              <w:numPr>
                <w:ilvl w:val="0"/>
                <w:numId w:val="3"/>
              </w:numPr>
              <w:spacing w:before="120" w:after="120"/>
              <w:ind w:left="589" w:right="0" w:hanging="589"/>
              <w:rPr/>
            </w:pPr>
            <w:r>
              <w:rPr/>
              <w:t>Advising and supporting managers on matters of attendance management</w:t>
            </w:r>
          </w:p>
          <w:p>
            <w:pPr>
              <w:pStyle w:val="ListParagraph"/>
              <w:numPr>
                <w:ilvl w:val="0"/>
                <w:numId w:val="3"/>
              </w:numPr>
              <w:spacing w:before="120" w:after="120"/>
              <w:ind w:left="589" w:right="0" w:hanging="589"/>
              <w:rPr/>
            </w:pPr>
            <w:r>
              <w:rPr/>
              <w:t xml:space="preserve">To support line managers in recruitment and selection matters. </w:t>
            </w:r>
          </w:p>
          <w:p>
            <w:pPr>
              <w:pStyle w:val="ListParagraph"/>
              <w:numPr>
                <w:ilvl w:val="0"/>
                <w:numId w:val="3"/>
              </w:numPr>
              <w:spacing w:before="120" w:after="120"/>
              <w:ind w:left="589" w:right="0" w:hanging="589"/>
              <w:rPr/>
            </w:pPr>
            <w:r>
              <w:rPr/>
              <w:t>To advise and support managers on matters of change management</w:t>
            </w:r>
          </w:p>
          <w:p>
            <w:pPr>
              <w:pStyle w:val="ListParagraph"/>
              <w:numPr>
                <w:ilvl w:val="0"/>
                <w:numId w:val="3"/>
              </w:numPr>
              <w:spacing w:before="120" w:after="120"/>
              <w:ind w:left="589" w:right="0" w:hanging="589"/>
              <w:rPr/>
            </w:pPr>
            <w:r>
              <w:rPr/>
              <w:t xml:space="preserve">To support managers in adopting good HR practice by offering effective HR advice through the interpretation of current employment &amp; case law, best practice and relevant policies/procedures. </w:t>
            </w:r>
          </w:p>
          <w:p>
            <w:pPr>
              <w:pStyle w:val="ListParagraph"/>
              <w:numPr>
                <w:ilvl w:val="0"/>
                <w:numId w:val="3"/>
              </w:numPr>
              <w:spacing w:before="120" w:after="120"/>
              <w:ind w:left="589" w:right="0" w:hanging="589"/>
              <w:rPr/>
            </w:pPr>
            <w:r>
              <w:rPr/>
              <w:t>Review sickness statistics to identify trends and problem areas for action.</w:t>
            </w:r>
          </w:p>
          <w:p>
            <w:pPr>
              <w:pStyle w:val="ListParagraph"/>
              <w:numPr>
                <w:ilvl w:val="0"/>
                <w:numId w:val="3"/>
              </w:numPr>
              <w:spacing w:before="120" w:after="120"/>
              <w:ind w:left="589" w:right="0" w:hanging="589"/>
              <w:rPr/>
            </w:pPr>
            <w:r>
              <w:rPr/>
              <w:t xml:space="preserve">Analyse exit questionnaires as required to investigate reasons for leaving and feedback any issues of concern to the appropriate manager. </w:t>
            </w:r>
          </w:p>
          <w:p>
            <w:pPr>
              <w:pStyle w:val="ListParagraph"/>
              <w:numPr>
                <w:ilvl w:val="0"/>
                <w:numId w:val="3"/>
              </w:numPr>
              <w:spacing w:before="120" w:after="120"/>
              <w:ind w:left="589" w:right="0" w:hanging="589"/>
              <w:rPr/>
            </w:pPr>
            <w:r>
              <w:rPr/>
              <w:t xml:space="preserve">Advise on job descriptions and associated grading issues and participate in job evaluation. </w:t>
            </w:r>
          </w:p>
          <w:p>
            <w:pPr>
              <w:pStyle w:val="ListParagraph"/>
              <w:numPr>
                <w:ilvl w:val="0"/>
                <w:numId w:val="3"/>
              </w:numPr>
              <w:spacing w:before="120" w:after="120"/>
              <w:ind w:left="589" w:right="0" w:hanging="589"/>
              <w:rPr/>
            </w:pPr>
            <w:r>
              <w:rPr/>
              <w:t xml:space="preserve">Assist and support with the design and delivery of training to line managers on the application of HR policies and procedures and HR hot topics. </w:t>
            </w:r>
          </w:p>
          <w:p>
            <w:pPr>
              <w:pStyle w:val="ListParagraph"/>
              <w:numPr>
                <w:ilvl w:val="0"/>
                <w:numId w:val="3"/>
              </w:numPr>
              <w:spacing w:before="120" w:after="120"/>
              <w:ind w:left="589" w:right="0" w:hanging="589"/>
              <w:rPr/>
            </w:pPr>
            <w:r>
              <w:rPr/>
              <w:t xml:space="preserve">Support the development or revision of employment policies and procedures including the implementation of new policies. </w:t>
            </w:r>
          </w:p>
          <w:p>
            <w:pPr>
              <w:pStyle w:val="ListParagraph"/>
              <w:numPr>
                <w:ilvl w:val="0"/>
                <w:numId w:val="3"/>
              </w:numPr>
              <w:spacing w:before="120" w:after="120"/>
              <w:ind w:left="589" w:right="0" w:hanging="589"/>
              <w:rPr/>
            </w:pPr>
            <w:r>
              <w:rPr/>
              <w:t xml:space="preserve">Provide workforce information to managers on request of the HR and OD Business Partner. </w:t>
            </w:r>
          </w:p>
          <w:p>
            <w:pPr>
              <w:pStyle w:val="ListParagraph"/>
              <w:numPr>
                <w:ilvl w:val="0"/>
                <w:numId w:val="3"/>
              </w:numPr>
              <w:spacing w:before="120" w:after="120"/>
              <w:ind w:left="589" w:right="0" w:hanging="589"/>
              <w:rPr/>
            </w:pPr>
            <w:r>
              <w:rPr/>
              <w:t xml:space="preserve">Work with managers and  Trade Union representatives to maintain positive working relationships and resolve issues constructively. </w:t>
            </w:r>
          </w:p>
          <w:p>
            <w:pPr>
              <w:pStyle w:val="ListParagraph"/>
              <w:numPr>
                <w:ilvl w:val="0"/>
                <w:numId w:val="3"/>
              </w:numPr>
              <w:spacing w:before="120" w:after="120"/>
              <w:ind w:left="589" w:right="0" w:hanging="589"/>
              <w:rPr/>
            </w:pPr>
            <w:r>
              <w:rPr/>
              <w:t xml:space="preserve">Coach managers to ensure they maximise their leadership capabilities. </w:t>
            </w:r>
          </w:p>
          <w:p>
            <w:pPr>
              <w:pStyle w:val="ListParagraph"/>
              <w:numPr>
                <w:ilvl w:val="0"/>
                <w:numId w:val="3"/>
              </w:numPr>
              <w:spacing w:before="120" w:after="120"/>
              <w:ind w:left="589" w:right="0" w:hanging="589"/>
              <w:rPr/>
            </w:pPr>
            <w:r>
              <w:rPr/>
              <w:t>Contribute to the development of HR related policy and employment practices</w:t>
            </w:r>
          </w:p>
          <w:p>
            <w:pPr>
              <w:pStyle w:val="Normal"/>
              <w:spacing w:lineRule="auto" w:line="240" w:before="0" w:after="0"/>
              <w:rPr>
                <w:rFonts w:ascii="Arial" w:hAnsi="Arial" w:cs="Arial"/>
                <w:color w:val="000000"/>
                <w:lang w:eastAsia="en-GB"/>
              </w:rPr>
            </w:pPr>
            <w:r>
              <w:rPr>
                <w:rFonts w:cs="Arial" w:ascii="Arial" w:hAnsi="Arial"/>
                <w:color w:val="000000"/>
                <w:lang w:eastAsia="en-GB"/>
              </w:rPr>
            </w:r>
          </w:p>
          <w:p>
            <w:pPr>
              <w:pStyle w:val="Normal"/>
              <w:spacing w:before="120" w:after="120"/>
              <w:jc w:val="both"/>
              <w:rPr>
                <w:b/>
                <w:b/>
                <w:bCs/>
              </w:rPr>
            </w:pPr>
            <w:r>
              <w:rPr>
                <w:b/>
                <w:bCs/>
              </w:rPr>
              <w:t>Level 3 – working under minimal supervision of the HR and OD Business Partner</w:t>
            </w:r>
          </w:p>
          <w:p>
            <w:pPr>
              <w:pStyle w:val="Normal"/>
              <w:spacing w:before="120" w:after="120"/>
              <w:jc w:val="both"/>
              <w:rPr/>
            </w:pPr>
            <w:r>
              <w:rPr/>
              <w:t>(as level 1 and 2 with the following additions)</w:t>
            </w:r>
          </w:p>
          <w:p>
            <w:pPr>
              <w:pStyle w:val="ListParagraph"/>
              <w:numPr>
                <w:ilvl w:val="0"/>
                <w:numId w:val="3"/>
              </w:numPr>
              <w:spacing w:before="120" w:after="120"/>
              <w:ind w:left="589" w:right="0" w:hanging="567"/>
              <w:rPr/>
            </w:pPr>
            <w:r>
              <w:rPr/>
              <w:t>Communicate and understand complex information in often emotionally charged and occasionally hostile and antagonistic situations for example organisational change meetings.</w:t>
            </w:r>
          </w:p>
          <w:p>
            <w:pPr>
              <w:pStyle w:val="ListParagraph"/>
              <w:numPr>
                <w:ilvl w:val="0"/>
                <w:numId w:val="3"/>
              </w:numPr>
              <w:spacing w:before="120" w:after="120"/>
              <w:ind w:left="589" w:right="0" w:hanging="567"/>
              <w:rPr/>
            </w:pPr>
            <w:r>
              <w:rPr/>
              <w:t>Communicate complex information to large groups of staff e.g., changes to staff terms and conditions, using a range of skills including tact, diplomacy, discretion, empathy, mediation, negotiation.</w:t>
            </w:r>
          </w:p>
          <w:p>
            <w:pPr>
              <w:pStyle w:val="ListParagraph"/>
              <w:numPr>
                <w:ilvl w:val="0"/>
                <w:numId w:val="3"/>
              </w:numPr>
              <w:spacing w:before="120" w:after="120"/>
              <w:ind w:left="589" w:right="0" w:hanging="567"/>
              <w:rPr/>
            </w:pPr>
            <w:r>
              <w:rPr/>
              <w:t>Provide advice and guidance to staff regarding agency regulations, including IR35 implications</w:t>
            </w:r>
          </w:p>
          <w:p>
            <w:pPr>
              <w:pStyle w:val="ListParagraph"/>
              <w:numPr>
                <w:ilvl w:val="0"/>
                <w:numId w:val="3"/>
              </w:numPr>
              <w:spacing w:before="120" w:after="120"/>
              <w:ind w:left="589" w:right="0" w:hanging="567"/>
              <w:rPr/>
            </w:pPr>
            <w:r>
              <w:rPr/>
              <w:t>Design and present to large groups e.g. training on new HR processes and policies and where appropriate delivers refresher courses</w:t>
            </w:r>
          </w:p>
          <w:p>
            <w:pPr>
              <w:pStyle w:val="ListParagraph"/>
              <w:numPr>
                <w:ilvl w:val="0"/>
                <w:numId w:val="3"/>
              </w:numPr>
              <w:spacing w:before="120" w:after="120"/>
              <w:ind w:left="589" w:right="0" w:hanging="567"/>
              <w:rPr/>
            </w:pPr>
            <w:r>
              <w:rPr/>
              <w:t>Facilitate and lead on advising managers on best practice, ensuring that advice given takes account of good employment practice, employment legislation and legal advice.</w:t>
            </w:r>
          </w:p>
          <w:p>
            <w:pPr>
              <w:pStyle w:val="ListParagraph"/>
              <w:numPr>
                <w:ilvl w:val="0"/>
                <w:numId w:val="3"/>
              </w:numPr>
              <w:spacing w:before="120" w:after="120"/>
              <w:ind w:left="589" w:right="0" w:hanging="567"/>
              <w:rPr/>
            </w:pPr>
            <w:r>
              <w:rPr/>
              <w:t>In conjunction with the HR and OD Business Partner, use workforce data and analytics to support strategic workforce planning for the organisation’s change programmes.</w:t>
            </w:r>
          </w:p>
          <w:p>
            <w:pPr>
              <w:pStyle w:val="ListParagraph"/>
              <w:numPr>
                <w:ilvl w:val="0"/>
                <w:numId w:val="3"/>
              </w:numPr>
              <w:spacing w:before="120" w:after="120"/>
              <w:ind w:left="589" w:right="0" w:hanging="567"/>
              <w:rPr/>
            </w:pPr>
            <w:r>
              <w:rPr/>
              <w:t>Support managers in advising and drafting of bespoke formal documentation as appropriate</w:t>
            </w:r>
          </w:p>
          <w:p>
            <w:pPr>
              <w:pStyle w:val="ListParagraph"/>
              <w:numPr>
                <w:ilvl w:val="0"/>
                <w:numId w:val="3"/>
              </w:numPr>
              <w:spacing w:before="120" w:after="120"/>
              <w:ind w:left="589" w:right="0" w:hanging="567"/>
              <w:rPr/>
            </w:pPr>
            <w:r>
              <w:rPr/>
              <w:t>Deal calmly and professionally with situations that may be highly emotive</w:t>
            </w:r>
          </w:p>
          <w:p>
            <w:pPr>
              <w:pStyle w:val="ListParagraph"/>
              <w:numPr>
                <w:ilvl w:val="0"/>
                <w:numId w:val="3"/>
              </w:numPr>
              <w:spacing w:before="120" w:after="120"/>
              <w:ind w:left="589" w:right="0" w:hanging="567"/>
              <w:rPr/>
            </w:pPr>
            <w:r>
              <w:rPr/>
              <w:t>Advise managers on change management processes such as Organisational Change, relocation, redundancy, and transfers</w:t>
            </w:r>
          </w:p>
          <w:p>
            <w:pPr>
              <w:pStyle w:val="ListParagraph"/>
              <w:numPr>
                <w:ilvl w:val="0"/>
                <w:numId w:val="3"/>
              </w:numPr>
              <w:spacing w:before="120" w:after="120"/>
              <w:ind w:left="589" w:right="0" w:hanging="567"/>
              <w:rPr/>
            </w:pPr>
            <w:r>
              <w:rPr/>
              <w:t>Apply a structured change management approach and methodology that recognises the impact of change initiatives and works to equip teams with tools to build resilience and protect wellbeing ensuring changes move into effective transitions</w:t>
            </w:r>
          </w:p>
          <w:p>
            <w:pPr>
              <w:pStyle w:val="ListParagraph"/>
              <w:numPr>
                <w:ilvl w:val="0"/>
                <w:numId w:val="3"/>
              </w:numPr>
              <w:spacing w:before="120" w:after="120"/>
              <w:ind w:left="589" w:right="0" w:hanging="567"/>
              <w:rPr/>
            </w:pPr>
            <w:r>
              <w:rPr/>
              <w:t xml:space="preserve">Coach and develop line managers to confidently deliver challenging conversations </w:t>
            </w:r>
          </w:p>
          <w:p>
            <w:pPr>
              <w:pStyle w:val="ListParagraph"/>
              <w:numPr>
                <w:ilvl w:val="0"/>
                <w:numId w:val="3"/>
              </w:numPr>
              <w:spacing w:before="120" w:after="120"/>
              <w:ind w:left="589" w:right="0" w:hanging="567"/>
              <w:rPr/>
            </w:pPr>
            <w:r>
              <w:rPr/>
              <w:t>Liaise with the Communications Team to ensure that all HR related communications, are procedurally compliant and ensure an understanding across the Council.</w:t>
            </w:r>
          </w:p>
          <w:p>
            <w:pPr>
              <w:pStyle w:val="ListParagraph"/>
              <w:numPr>
                <w:ilvl w:val="0"/>
                <w:numId w:val="3"/>
              </w:numPr>
              <w:spacing w:before="120" w:after="120"/>
              <w:ind w:left="589" w:right="0" w:hanging="567"/>
              <w:rPr/>
            </w:pPr>
            <w:r>
              <w:rPr/>
              <w:t>Proposes changes to HR policies, procedures, and practices, making recommendations to increase the effectiveness and efficiency of the HR function performance.</w:t>
            </w:r>
          </w:p>
          <w:p>
            <w:pPr>
              <w:pStyle w:val="ListParagraph"/>
              <w:numPr>
                <w:ilvl w:val="0"/>
                <w:numId w:val="3"/>
              </w:numPr>
              <w:spacing w:before="120" w:after="120"/>
              <w:ind w:left="589" w:right="0" w:hanging="567"/>
              <w:rPr/>
            </w:pPr>
            <w:r>
              <w:rPr/>
              <w:t>Maintain awareness of national and local people related advice and instructions, and developments in employment legislation and practice, and propose amendments to internal processes and policies, ensuring that the Council is fully compliant.</w:t>
            </w:r>
          </w:p>
          <w:p>
            <w:pPr>
              <w:pStyle w:val="ListParagraph"/>
              <w:numPr>
                <w:ilvl w:val="0"/>
                <w:numId w:val="3"/>
              </w:numPr>
              <w:spacing w:before="120" w:after="120"/>
              <w:ind w:left="589" w:right="0" w:hanging="567"/>
              <w:rPr/>
            </w:pPr>
            <w:r>
              <w:rPr/>
            </w:r>
          </w:p>
          <w:p>
            <w:pPr>
              <w:pStyle w:val="ListParagraph"/>
              <w:numPr>
                <w:ilvl w:val="0"/>
                <w:numId w:val="3"/>
              </w:numPr>
              <w:spacing w:before="120" w:after="120"/>
              <w:ind w:left="589" w:right="0" w:hanging="567"/>
              <w:rPr/>
            </w:pPr>
            <w:r>
              <w:rPr/>
              <w:t>Support the HR and OD Business Partner with monitoring and reporting on HR KPI metrics to improve strategic HR management and succession planning across the Council.</w:t>
            </w:r>
          </w:p>
          <w:p>
            <w:pPr>
              <w:pStyle w:val="ListParagraph"/>
              <w:spacing w:before="120" w:after="120"/>
              <w:ind w:left="589" w:right="0" w:hanging="0"/>
              <w:rPr/>
            </w:pPr>
            <w:r>
              <w:rPr/>
            </w:r>
          </w:p>
          <w:p>
            <w:pPr>
              <w:pStyle w:val="Normal"/>
              <w:spacing w:before="120" w:after="200"/>
              <w:jc w:val="both"/>
              <w:rPr>
                <w:b/>
                <w:b/>
                <w:bCs/>
              </w:rPr>
            </w:pPr>
            <w:r>
              <w:rPr>
                <w:b/>
                <w:bCs/>
              </w:rPr>
              <w:t>All levels</w:t>
            </w:r>
          </w:p>
          <w:p>
            <w:pPr>
              <w:pStyle w:val="ListParagraph"/>
              <w:numPr>
                <w:ilvl w:val="0"/>
                <w:numId w:val="3"/>
              </w:numPr>
              <w:spacing w:before="120" w:after="120"/>
              <w:ind w:left="589" w:right="0" w:hanging="589"/>
              <w:jc w:val="both"/>
              <w:rPr/>
            </w:pPr>
            <w:r>
              <w:rPr/>
              <w:t>As an employee of Bury Council you have a responsibility for, and must be committed to, safeguarding and promoting the welfare of children, young people and vulnerable adults and for ensuring that they are protected from harm.</w:t>
            </w:r>
          </w:p>
          <w:p>
            <w:pPr>
              <w:pStyle w:val="ListParagraph"/>
              <w:numPr>
                <w:ilvl w:val="0"/>
                <w:numId w:val="3"/>
              </w:numPr>
              <w:spacing w:before="120" w:after="120"/>
              <w:ind w:left="589" w:right="0" w:hanging="589"/>
              <w:jc w:val="both"/>
              <w:rPr/>
            </w:pPr>
            <w:r>
              <w:rPr/>
              <w:t>Bury Council is committed to equality, diversity and inclusion, and expects all staff to comply with its equality related policies/procedures, and to treat others with fairness and respect.</w:t>
            </w:r>
          </w:p>
          <w:p>
            <w:pPr>
              <w:pStyle w:val="ListParagraph"/>
              <w:numPr>
                <w:ilvl w:val="0"/>
                <w:numId w:val="3"/>
              </w:numPr>
              <w:spacing w:before="120" w:after="120"/>
              <w:ind w:left="589" w:right="0" w:hanging="589"/>
              <w:jc w:val="both"/>
              <w:rPr/>
            </w:pPr>
            <w:r>
              <w:rPr/>
              <w:t>Responsible for Employees Duties as specified with the Corporate and Departmental Health and Safety Policies</w:t>
            </w:r>
          </w:p>
          <w:p>
            <w:pPr>
              <w:pStyle w:val="ListParagraph"/>
              <w:numPr>
                <w:ilvl w:val="0"/>
                <w:numId w:val="3"/>
              </w:numPr>
              <w:spacing w:before="120" w:after="120"/>
              <w:ind w:left="589" w:right="0" w:hanging="589"/>
              <w:jc w:val="both"/>
              <w:rPr/>
            </w:pPr>
            <w:r>
              <w:rPr/>
              <w:t>Lead by example, upholding the Council’s LET’S DO iT behaviours and values at all times.</w:t>
            </w:r>
          </w:p>
          <w:p>
            <w:pPr>
              <w:pStyle w:val="Normal"/>
              <w:spacing w:before="120" w:after="120"/>
              <w:rPr>
                <w:rFonts w:cs="Arial"/>
                <w:b/>
                <w:b/>
              </w:rPr>
            </w:pPr>
            <w:r>
              <w:rPr>
                <w:rFonts w:cs="Arial"/>
                <w:b/>
              </w:rPr>
            </w:r>
          </w:p>
        </w:tc>
      </w:tr>
    </w:tbl>
    <w:p>
      <w:pPr>
        <w:pStyle w:val="Normal"/>
        <w:jc w:val="center"/>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rPr>
          <w:rFonts w:cs="Arial"/>
          <w:b/>
          <w:b/>
        </w:rPr>
      </w:pPr>
      <w:r>
        <w:rPr>
          <w:rFonts w:cs="Arial"/>
          <w:b/>
        </w:rPr>
      </w:r>
    </w:p>
    <w:p>
      <w:pPr>
        <w:pStyle w:val="Normal"/>
        <w:jc w:val="center"/>
        <w:rPr>
          <w:b/>
          <w:b/>
          <w:bCs/>
        </w:rPr>
      </w:pPr>
      <w:r>
        <w:rPr>
          <w:b/>
          <w:bCs/>
        </w:rPr>
        <w:t>PERSON SPECIFICATION</w:t>
      </w:r>
    </w:p>
    <w:p>
      <w:pPr>
        <w:pStyle w:val="Normal"/>
        <w:jc w:val="center"/>
        <w:rPr>
          <w:rFonts w:cs="Arial"/>
          <w:b/>
          <w:b/>
          <w:bCs/>
        </w:rPr>
      </w:pPr>
      <w:r>
        <w:rPr>
          <w:rFonts w:cs="Arial"/>
          <w:b/>
          <w:bCs/>
        </w:rPr>
        <w:t>HR and OD Advisor</w:t>
      </w:r>
    </w:p>
    <w:tbl>
      <w:tblPr>
        <w:tblW w:w="8525" w:type="dxa"/>
        <w:jc w:val="left"/>
        <w:tblInd w:w="125" w:type="dxa"/>
        <w:tblCellMar>
          <w:top w:w="0" w:type="dxa"/>
          <w:left w:w="108" w:type="dxa"/>
          <w:bottom w:w="0" w:type="dxa"/>
          <w:right w:w="108" w:type="dxa"/>
        </w:tblCellMar>
      </w:tblPr>
      <w:tblGrid>
        <w:gridCol w:w="4154"/>
        <w:gridCol w:w="2671"/>
        <w:gridCol w:w="1700"/>
      </w:tblGrid>
      <w:tr>
        <w:trPr>
          <w:trHeight w:val="300" w:hRule="atLeast"/>
        </w:trPr>
        <w:tc>
          <w:tcPr>
            <w:tcW w:w="4154" w:type="dxa"/>
            <w:vMerge w:val="restart"/>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pPr>
            <w:r>
              <w:rPr>
                <w:rFonts w:eastAsia="Verdana" w:cs="Verdana"/>
                <w:b/>
                <w:bCs/>
              </w:rPr>
              <w:t>SHORT LISTING CRITERIA</w:t>
            </w:r>
            <w:r>
              <w:rPr>
                <w:rFonts w:eastAsia="Verdana" w:cs="Verdana"/>
              </w:rPr>
              <w:t xml:space="preserve">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pPr>
            <w:r>
              <w:rPr>
                <w:rFonts w:eastAsia="Verdana" w:cs="Verdana"/>
                <w:b/>
                <w:bCs/>
              </w:rPr>
              <w:t>ESSENTIAL</w:t>
            </w:r>
            <w:r>
              <w:rPr>
                <w:rFonts w:eastAsia="Verdana" w:cs="Verdana"/>
              </w:rPr>
              <w:t xml:space="preserve">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pPr>
            <w:r>
              <w:rPr>
                <w:rFonts w:eastAsia="Verdana" w:cs="Verdana"/>
                <w:b/>
                <w:bCs/>
              </w:rPr>
              <w:t>DESIRABLE</w:t>
            </w:r>
            <w:r>
              <w:rPr>
                <w:rFonts w:eastAsia="Verdana" w:cs="Verdana"/>
              </w:rPr>
              <w:t xml:space="preserve"> </w:t>
            </w:r>
          </w:p>
        </w:tc>
      </w:tr>
      <w:tr>
        <w:trPr>
          <w:trHeight w:val="278" w:hRule="atLeast"/>
        </w:trPr>
        <w:tc>
          <w:tcPr>
            <w:tcW w:w="4154" w:type="dxa"/>
            <w:vMerge w:val="continue"/>
            <w:tcBorders>
              <w:top w:val="single" w:sz="8" w:space="0" w:color="000000"/>
              <w:left w:val="single" w:sz="8" w:space="0" w:color="000000"/>
              <w:bottom w:val="single" w:sz="8" w:space="0" w:color="000000"/>
            </w:tcBorders>
            <w:shd w:fill="auto" w:val="clear"/>
          </w:tcPr>
          <w:p>
            <w:pPr>
              <w:pStyle w:val="Normal"/>
              <w:widowControl/>
              <w:bidi w:val="0"/>
              <w:snapToGrid w:val="false"/>
              <w:spacing w:lineRule="auto" w:line="276" w:before="0" w:after="200"/>
              <w:jc w:val="left"/>
              <w:rPr/>
            </w:pPr>
            <w:r>
              <w:rPr/>
            </w:r>
          </w:p>
        </w:tc>
        <w:tc>
          <w:tcPr>
            <w:tcW w:w="2671" w:type="dxa"/>
            <w:tcBorders>
              <w:top w:val="single" w:sz="8" w:space="0" w:color="000000"/>
              <w:left w:val="single" w:sz="6" w:space="0" w:color="000000"/>
              <w:bottom w:val="single" w:sz="8" w:space="0" w:color="000000"/>
            </w:tcBorders>
            <w:shd w:fill="auto" w:val="clear"/>
          </w:tcPr>
          <w:p>
            <w:pPr>
              <w:pStyle w:val="Normal"/>
              <w:spacing w:before="0" w:after="200"/>
              <w:jc w:val="center"/>
              <w:rPr/>
            </w:pPr>
            <w:r>
              <w:rPr>
                <w:rFonts w:eastAsia="Verdana" w:cs="Verdana"/>
                <w:b/>
                <w:bCs/>
              </w:rPr>
              <w:t>3</w:t>
            </w:r>
            <w:r>
              <w:rPr>
                <w:rFonts w:eastAsia="Verdana" w:cs="Verdana"/>
              </w:rPr>
              <w:t xml:space="preserve">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60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CIPD Level 5 qualification</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pPr>
            <w:r>
              <w:rPr>
                <w:rFonts w:eastAsia="Wingdings" w:cs="Wingdings" w:ascii="Wingdings" w:hAnsi="Wingdings"/>
              </w:rPr>
              <w:t xml:space="preserve">ü </w:t>
            </w:r>
            <w:r>
              <w:rPr>
                <w:rFonts w:eastAsia="Verdana" w:cs="Verdana"/>
              </w:rPr>
              <w:t xml:space="preserve">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60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Post Graduate Diploma in Human Resources or equivalent plus Chartered Member of CIPD or willingness to work towards this </w:t>
            </w:r>
          </w:p>
        </w:tc>
        <w:tc>
          <w:tcPr>
            <w:tcW w:w="2671" w:type="dxa"/>
            <w:tcBorders>
              <w:top w:val="single" w:sz="8" w:space="0" w:color="000000"/>
              <w:left w:val="single" w:sz="8" w:space="0" w:color="000000"/>
              <w:bottom w:val="single" w:sz="8" w:space="0" w:color="000000"/>
            </w:tcBorders>
            <w:shd w:fill="auto" w:val="clear"/>
          </w:tcPr>
          <w:p>
            <w:pPr>
              <w:pStyle w:val="Normal"/>
              <w:widowControl/>
              <w:bidi w:val="0"/>
              <w:snapToGrid w:val="false"/>
              <w:spacing w:lineRule="auto" w:line="276" w:before="0" w:after="200"/>
              <w:jc w:val="left"/>
              <w:rPr/>
            </w:pPr>
            <w:r>
              <w:rPr/>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pPr>
            <w:r>
              <w:rPr>
                <w:rFonts w:eastAsia="Wingdings" w:cs="Wingdings" w:ascii="Wingdings" w:hAnsi="Wingdings"/>
              </w:rPr>
              <w:t xml:space="preserve">ü </w:t>
            </w:r>
            <w:r>
              <w:rPr>
                <w:rFonts w:eastAsia="Verdana" w:cs="Verdana"/>
              </w:rPr>
              <w:t xml:space="preserve"> </w:t>
            </w:r>
          </w:p>
        </w:tc>
      </w:tr>
      <w:tr>
        <w:trPr>
          <w:trHeight w:val="60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Knowledge of the change agenda within Public Services and the HR issues this presents.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pPr>
            <w:r>
              <w:rPr>
                <w:rFonts w:eastAsia="Wingdings" w:cs="Wingdings" w:ascii="Wingdings" w:hAnsi="Wingdings"/>
              </w:rPr>
              <w:t xml:space="preserve">ü </w:t>
            </w:r>
            <w:r>
              <w:rPr>
                <w:rFonts w:eastAsia="Verdana" w:cs="Verdana"/>
              </w:rPr>
              <w:t xml:space="preserve">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bidi w:val="0"/>
              <w:snapToGrid w:val="false"/>
              <w:spacing w:lineRule="auto" w:line="276" w:before="0" w:after="200"/>
              <w:jc w:val="left"/>
              <w:rPr/>
            </w:pPr>
            <w:r>
              <w:rPr/>
            </w:r>
          </w:p>
        </w:tc>
      </w:tr>
      <w:tr>
        <w:trPr>
          <w:trHeight w:val="60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Understanding of how local authority conditions of service apply to employees.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657"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Understanding of job evaluation schemes</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67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Understanding of HR policy, procedure and best practice.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681"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Up to date knowledge of employment law and its application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1145"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Experience of advising managers and/or employees on HR issues at any level including change management</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975"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Significant experience of working within a busy HR office.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30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Experience of working in an environment with frequently changing priorities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300"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rFonts w:eastAsia="Verdana" w:cs="Verdana"/>
                <w:color w:val="000000"/>
              </w:rPr>
            </w:pPr>
            <w:r>
              <w:rPr>
                <w:rFonts w:eastAsia="Verdana" w:cs="Verdana"/>
                <w:color w:val="000000"/>
              </w:rPr>
              <w:t xml:space="preserve">Experience of dealing with complex situations where outcomes may not be straightforward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pacing w:before="0" w:after="200"/>
              <w:jc w:val="center"/>
              <w:rPr>
                <w:rFonts w:eastAsia="Verdana" w:cs="Verdana"/>
              </w:rPr>
            </w:pPr>
            <w:r>
              <w:rPr>
                <w:rFonts w:eastAsia="Verdana" w:cs="Verdana"/>
              </w:rPr>
              <w:t xml:space="preserve"> </w:t>
            </w:r>
          </w:p>
        </w:tc>
      </w:tr>
      <w:tr>
        <w:trPr>
          <w:trHeight w:val="885" w:hRule="atLeast"/>
        </w:trPr>
        <w:tc>
          <w:tcPr>
            <w:tcW w:w="4154" w:type="dxa"/>
            <w:tcBorders>
              <w:top w:val="single" w:sz="8" w:space="0" w:color="000000"/>
              <w:left w:val="single" w:sz="8" w:space="0" w:color="000000"/>
              <w:bottom w:val="single" w:sz="8" w:space="0" w:color="000000"/>
            </w:tcBorders>
            <w:shd w:fill="auto" w:val="clear"/>
          </w:tcPr>
          <w:p>
            <w:pPr>
              <w:pStyle w:val="Normal"/>
              <w:widowControl/>
              <w:bidi w:val="0"/>
              <w:spacing w:lineRule="auto" w:line="276" w:before="0" w:after="200"/>
              <w:jc w:val="left"/>
              <w:rPr/>
            </w:pPr>
            <w:r>
              <w:rPr>
                <w:rFonts w:eastAsia="Verdana" w:cs="Verdana"/>
                <w:color w:val="000000"/>
              </w:rPr>
              <w:t>Experience using IT systems including Microsoft Office and HR Payroll systems to produce statistics, reports and correspondence as required.</w:t>
            </w:r>
            <w:r>
              <w:rPr>
                <w:rFonts w:cs="Calibri" w:ascii="Calibri" w:hAnsi="Calibri"/>
              </w:rPr>
              <w:t xml:space="preserve"> </w:t>
            </w:r>
            <w:r>
              <w:rPr>
                <w:rFonts w:eastAsia="Verdana" w:cs="Verdana"/>
                <w:color w:val="000000"/>
              </w:rPr>
              <w:t xml:space="preserve"> </w:t>
            </w:r>
          </w:p>
        </w:tc>
        <w:tc>
          <w:tcPr>
            <w:tcW w:w="2671" w:type="dxa"/>
            <w:tcBorders>
              <w:top w:val="single" w:sz="8" w:space="0" w:color="000000"/>
              <w:left w:val="single" w:sz="8" w:space="0" w:color="000000"/>
              <w:bottom w:val="single" w:sz="8" w:space="0" w:color="000000"/>
            </w:tcBorders>
            <w:shd w:fill="auto" w:val="clear"/>
          </w:tcPr>
          <w:p>
            <w:pPr>
              <w:pStyle w:val="Normal"/>
              <w:spacing w:before="0" w:after="200"/>
              <w:jc w:val="center"/>
              <w:rPr>
                <w:rFonts w:ascii="Wingdings" w:hAnsi="Wingdings" w:eastAsia="Wingdings" w:cs="Wingdings"/>
              </w:rPr>
            </w:pPr>
            <w:r>
              <w:rPr>
                <w:rFonts w:eastAsia="Wingdings" w:cs="Wingdings" w:ascii="Wingdings" w:hAnsi="Wingdings"/>
              </w:rPr>
              <w:t xml:space="preserve">ü </w:t>
            </w:r>
          </w:p>
        </w:tc>
        <w:tc>
          <w:tcPr>
            <w:tcW w:w="1700" w:type="dxa"/>
            <w:tcBorders>
              <w:top w:val="single" w:sz="8" w:space="0" w:color="000000"/>
              <w:left w:val="single" w:sz="8" w:space="0" w:color="000000"/>
              <w:bottom w:val="single" w:sz="8" w:space="0" w:color="000000"/>
              <w:right w:val="single" w:sz="8" w:space="0" w:color="000000"/>
            </w:tcBorders>
            <w:shd w:fill="auto" w:val="clear"/>
          </w:tcPr>
          <w:p>
            <w:pPr>
              <w:pStyle w:val="Normal"/>
              <w:snapToGrid w:val="false"/>
              <w:spacing w:before="0" w:after="200"/>
              <w:jc w:val="center"/>
              <w:rPr>
                <w:rFonts w:eastAsia="Verdana" w:cs="Verdana"/>
              </w:rPr>
            </w:pPr>
            <w:r>
              <w:rPr>
                <w:rFonts w:eastAsia="Verdana" w:cs="Verdana"/>
              </w:rPr>
            </w:r>
          </w:p>
        </w:tc>
      </w:tr>
    </w:tbl>
    <w:p>
      <w:pPr>
        <w:pStyle w:val="Normal"/>
        <w:jc w:val="center"/>
        <w:rPr>
          <w:rFonts w:cs="Arial"/>
          <w:b/>
          <w:b/>
          <w:bCs/>
        </w:rPr>
      </w:pPr>
      <w:r>
        <w:rPr>
          <w:rFonts w:cs="Arial"/>
          <w:b/>
          <w:bCs/>
        </w:rPr>
      </w:r>
    </w:p>
    <w:p>
      <w:pPr>
        <w:pStyle w:val="Normal"/>
        <w:rPr>
          <w:rFonts w:cs="Arial"/>
          <w:b/>
          <w:b/>
          <w:bCs/>
        </w:rPr>
      </w:pPr>
      <w:r>
        <w:rPr>
          <w:rFonts w:cs="Arial"/>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widowControl/>
        <w:bidi w:val="0"/>
        <w:spacing w:lineRule="auto" w:line="276" w:before="0" w:after="200"/>
        <w:jc w:val="left"/>
        <w:rPr>
          <w:sz w:val="20"/>
        </w:rPr>
      </w:pPr>
      <w:r>
        <w:rPr>
          <w:sz w:val="20"/>
        </w:rPr>
      </w:r>
    </w:p>
    <w:sectPr>
      <w:type w:val="nextPage"/>
      <w:pgSz w:w="11906" w:h="16838"/>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Franklin Gothic Dem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Wing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eastAsia="Verdana" w:cs="Verdana"/>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Verdana" w:hAnsi="Verdana" w:eastAsia="Calibri" w:cs="Verdana"/>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200" w:after="0"/>
      <w:outlineLvl w:val="2"/>
    </w:pPr>
    <w:rPr>
      <w:rFonts w:ascii="Franklin Gothic Demi" w:hAnsi="Franklin Gothic Demi" w:eastAsia="Times New Roman" w:cs="Franklin Gothic Demi"/>
      <w:bCs/>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eastAsia="Verdana" w:cs="Verdana"/>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3Char">
    <w:name w:val="Heading 3 Char"/>
    <w:qFormat/>
    <w:rPr>
      <w:rFonts w:ascii="Franklin Gothic Demi" w:hAnsi="Franklin Gothic Demi" w:eastAsia="Times New Roman" w:cs="Vrinda"/>
      <w:bCs/>
      <w:sz w:val="24"/>
      <w:szCs w:val="24"/>
    </w:rPr>
  </w:style>
  <w:style w:type="character" w:styleId="BalloonTextChar">
    <w:name w:val="Balloon Text Char"/>
    <w:qFormat/>
    <w:rPr>
      <w:rFonts w:ascii="Tahoma" w:hAnsi="Tahoma" w:eastAsia="Calibri" w:cs="Tahoma"/>
      <w:sz w:val="16"/>
      <w:szCs w:val="16"/>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cs="Vrinda"/>
      <w:lang w:eastAsia="en-US"/>
    </w:rPr>
  </w:style>
  <w:style w:type="character" w:styleId="CommentSubjectChar">
    <w:name w:val="Comment Subject Char"/>
    <w:basedOn w:val="CommentTextChar"/>
    <w:qFormat/>
    <w:rPr>
      <w:rFonts w:cs="Vrinda"/>
      <w:b/>
      <w:bCs/>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Msonospacing">
    <w:name w:val="msonospacing"/>
    <w:basedOn w:val="Normal"/>
    <w:qFormat/>
    <w:pPr>
      <w:spacing w:lineRule="auto" w:line="240" w:before="0" w:after="0"/>
    </w:pPr>
    <w:rPr>
      <w:rFonts w:ascii="Calibri" w:hAnsi="Calibri" w:cs="Calibri"/>
      <w:lang w:eastAsia="en-GB"/>
    </w:rPr>
  </w:style>
  <w:style w:type="paragraph" w:styleId="ListParagraph">
    <w:name w:val="List Paragraph"/>
    <w:basedOn w:val="Normal"/>
    <w:qFormat/>
    <w:pPr>
      <w:ind w:left="720" w:right="0" w:hanging="0"/>
    </w:pPr>
    <w:rPr/>
  </w:style>
  <w:style w:type="paragraph" w:styleId="Default">
    <w:name w:val="Default"/>
    <w:qFormat/>
    <w:pPr>
      <w:widowControl/>
      <w:suppressAutoHyphens w:val="true"/>
      <w:bidi w:val="0"/>
      <w:spacing w:before="0" w:after="0"/>
      <w:jc w:val="left"/>
    </w:pPr>
    <w:rPr>
      <w:rFonts w:ascii="Verdana" w:hAnsi="Verdana" w:eastAsia="Calibri" w:cs="Verdana"/>
      <w:color w:val="000000"/>
      <w:kern w:val="0"/>
      <w:sz w:val="24"/>
      <w:szCs w:val="24"/>
      <w:lang w:val="en-GB" w:eastAsia="en-GB"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Revision">
    <w:name w:val="Revision"/>
    <w:qFormat/>
    <w:pPr>
      <w:widowControl/>
      <w:suppressAutoHyphens w:val="true"/>
      <w:bidi w:val="0"/>
      <w:spacing w:before="0" w:after="0"/>
      <w:jc w:val="left"/>
    </w:pPr>
    <w:rPr>
      <w:rFonts w:ascii="Verdana" w:hAnsi="Verdana" w:eastAsia="Calibri" w:cs="Verdana"/>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60</TotalTime>
  <Application>LibreOffice/6.3.4.2$Windows_X86_64 LibreOffice_project/60da17e045e08f1793c57c00ba83cdfce946d0aa</Application>
  <Company>Bury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2025-03-04T14:48:00Z</dcterms:created>
  <dc:creator>Bury Council</dc:creator>
  <dc:description>Appendix 1 - Job Description &amp; Person Specification WORD Template (with stmts as amended 10.16))</dc:description>
  <dc:language>en-US</dc:language>
  <cp:lastModifiedBy>De Griffa, Demi</cp:lastModifiedBy>
  <cp:lastPrinted>1995-11-21T17:41:00Z</cp:lastPrinted>
  <dcterms:modified xsi:type="dcterms:W3CDTF">2026-04-28T17:03:00Z</dcterms:modified>
  <cp:revision>28</cp:revision>
  <dc:subject/>
  <dc:title>Appendix 1 - Job Description &amp; Person Specification WORD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Bury MBC</vt:lpwstr>
  </property>
  <property fmtid="{D5CDD505-2E9C-101B-9397-08002B2CF9AE}" pid="4" name="ContentTypeId">
    <vt:lpwstr>0x01010087AA26CDBA95EA458AF14821247038F4</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5900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