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left="7920" w:right="0" w:firstLine="18"/>
        <w:rPr>
          <w:b/>
          <w:b/>
        </w:rPr>
      </w:pPr>
      <w:r>
        <w:rPr/>
        <w:drawing>
          <wp:inline distT="0" distB="0" distL="0" distR="0">
            <wp:extent cx="1475740" cy="60896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4" t="-59" r="-24" b="-59"/>
                    <a:stretch>
                      <a:fillRect/>
                    </a:stretch>
                  </pic:blipFill>
                  <pic:spPr bwMode="auto">
                    <a:xfrm>
                      <a:off x="0" y="0"/>
                      <a:ext cx="1475740" cy="608965"/>
                    </a:xfrm>
                    <a:prstGeom prst="rect">
                      <a:avLst/>
                    </a:prstGeom>
                  </pic:spPr>
                </pic:pic>
              </a:graphicData>
            </a:graphic>
          </wp:inline>
        </w:drawing>
      </w:r>
    </w:p>
    <w:p>
      <w:pPr>
        <w:pStyle w:val="Normal"/>
        <w:jc w:val="center"/>
        <w:rPr>
          <w:b/>
          <w:b/>
        </w:rPr>
      </w:pPr>
      <w:r>
        <w:rPr>
          <w:b/>
        </w:rPr>
        <w:t>JOB DESCRIPTION</w:t>
      </w:r>
    </w:p>
    <w:p>
      <w:pPr>
        <w:pStyle w:val="Normal"/>
        <w:jc w:val="center"/>
        <w:rPr>
          <w:b/>
          <w:b/>
        </w:rPr>
      </w:pPr>
      <w:r>
        <w:rPr>
          <w:b/>
        </w:rPr>
      </w:r>
    </w:p>
    <w:tbl>
      <w:tblPr>
        <w:tblW w:w="5000" w:type="pct"/>
        <w:jc w:val="left"/>
        <w:tblInd w:w="0" w:type="dxa"/>
        <w:tblCellMar>
          <w:top w:w="0" w:type="dxa"/>
          <w:left w:w="108" w:type="dxa"/>
          <w:bottom w:w="0" w:type="dxa"/>
          <w:right w:w="108" w:type="dxa"/>
        </w:tblCellMar>
      </w:tblPr>
      <w:tblGrid>
        <w:gridCol w:w="4428"/>
        <w:gridCol w:w="722"/>
        <w:gridCol w:w="2712"/>
        <w:gridCol w:w="2604"/>
      </w:tblGrid>
      <w:tr>
        <w:trPr>
          <w:trHeight w:val="720" w:hRule="atLeast"/>
          <w:cantSplit w:val="true"/>
        </w:trPr>
        <w:tc>
          <w:tcPr>
            <w:tcW w:w="10466" w:type="dxa"/>
            <w:gridSpan w:val="4"/>
            <w:tcBorders>
              <w:top w:val="single" w:sz="6" w:space="0" w:color="000000"/>
              <w:left w:val="single" w:sz="6" w:space="0" w:color="000000"/>
              <w:bottom w:val="double" w:sz="6" w:space="0" w:color="000000"/>
              <w:right w:val="single" w:sz="6" w:space="0" w:color="000000"/>
            </w:tcBorders>
            <w:shd w:fill="auto" w:val="clear"/>
          </w:tcPr>
          <w:p>
            <w:pPr>
              <w:pStyle w:val="Normal"/>
              <w:spacing w:before="120" w:after="240"/>
              <w:rPr/>
            </w:pPr>
            <w:r>
              <w:rPr>
                <w:rFonts w:cs="Arial"/>
                <w:b/>
                <w:bCs/>
              </w:rPr>
              <w:t>Post Title</w:t>
            </w:r>
            <w:r>
              <w:rPr>
                <w:rFonts w:cs="Arial"/>
              </w:rPr>
              <w:t xml:space="preserve">: Best Start in Life Inclusion Practitioner </w:t>
            </w:r>
          </w:p>
        </w:tc>
      </w:tr>
      <w:tr>
        <w:trPr>
          <w:cantSplit w:val="true"/>
        </w:trPr>
        <w:tc>
          <w:tcPr>
            <w:tcW w:w="5150" w:type="dxa"/>
            <w:gridSpan w:val="2"/>
            <w:tcBorders>
              <w:top w:val="double" w:sz="6" w:space="0" w:color="000000"/>
              <w:left w:val="single" w:sz="6" w:space="0" w:color="000000"/>
              <w:bottom w:val="double" w:sz="6" w:space="0" w:color="000000"/>
            </w:tcBorders>
            <w:shd w:fill="auto" w:val="clear"/>
          </w:tcPr>
          <w:p>
            <w:pPr>
              <w:pStyle w:val="Normal"/>
              <w:spacing w:before="120" w:after="240"/>
              <w:rPr/>
            </w:pPr>
            <w:r>
              <w:rPr>
                <w:rFonts w:cs="Arial"/>
                <w:b/>
                <w:bCs/>
              </w:rPr>
              <w:t>Department</w:t>
            </w:r>
            <w:r>
              <w:rPr>
                <w:rFonts w:cs="Arial"/>
              </w:rPr>
              <w:t xml:space="preserve">: Childrens Services </w:t>
            </w:r>
          </w:p>
        </w:tc>
        <w:tc>
          <w:tcPr>
            <w:tcW w:w="5316" w:type="dxa"/>
            <w:gridSpan w:val="2"/>
            <w:tcBorders>
              <w:top w:val="double" w:sz="6" w:space="0" w:color="000000"/>
              <w:left w:val="single" w:sz="6" w:space="0" w:color="000000"/>
              <w:bottom w:val="double" w:sz="6" w:space="0" w:color="000000"/>
              <w:right w:val="single" w:sz="6" w:space="0" w:color="000000"/>
            </w:tcBorders>
            <w:shd w:fill="auto" w:val="clear"/>
          </w:tcPr>
          <w:p>
            <w:pPr>
              <w:pStyle w:val="Normal"/>
              <w:spacing w:before="120" w:after="240"/>
              <w:rPr/>
            </w:pPr>
            <w:r>
              <w:rPr>
                <w:rFonts w:cs="Arial"/>
                <w:b/>
                <w:bCs/>
              </w:rPr>
              <w:t>Post No</w:t>
            </w:r>
            <w:r>
              <w:rPr>
                <w:rFonts w:cs="Arial"/>
              </w:rPr>
              <w:t>: TBC</w:t>
            </w:r>
          </w:p>
        </w:tc>
      </w:tr>
      <w:tr>
        <w:trPr>
          <w:trHeight w:val="720" w:hRule="atLeast"/>
          <w:cantSplit w:val="true"/>
        </w:trPr>
        <w:tc>
          <w:tcPr>
            <w:tcW w:w="5150" w:type="dxa"/>
            <w:gridSpan w:val="2"/>
            <w:tcBorders>
              <w:top w:val="double" w:sz="6" w:space="0" w:color="000000"/>
              <w:left w:val="single" w:sz="6" w:space="0" w:color="000000"/>
            </w:tcBorders>
            <w:shd w:fill="auto" w:val="clear"/>
          </w:tcPr>
          <w:p>
            <w:pPr>
              <w:pStyle w:val="Normal"/>
              <w:spacing w:before="120" w:after="240"/>
              <w:rPr/>
            </w:pPr>
            <w:r>
              <w:rPr>
                <w:rFonts w:cs="Arial"/>
                <w:b/>
                <w:bCs/>
              </w:rPr>
              <w:t>Division/Section</w:t>
            </w:r>
            <w:r>
              <w:rPr>
                <w:rFonts w:cs="Arial"/>
              </w:rPr>
              <w:t>: Early Years and Family Hubs</w:t>
            </w:r>
          </w:p>
        </w:tc>
        <w:tc>
          <w:tcPr>
            <w:tcW w:w="5316" w:type="dxa"/>
            <w:gridSpan w:val="2"/>
            <w:tcBorders>
              <w:top w:val="double" w:sz="6" w:space="0" w:color="000000"/>
              <w:left w:val="single" w:sz="6" w:space="0" w:color="000000"/>
              <w:bottom w:val="double" w:sz="6" w:space="0" w:color="000000"/>
              <w:right w:val="single" w:sz="6" w:space="0" w:color="000000"/>
            </w:tcBorders>
            <w:shd w:fill="auto" w:val="clear"/>
          </w:tcPr>
          <w:p>
            <w:pPr>
              <w:pStyle w:val="Normal"/>
              <w:spacing w:before="120" w:after="240"/>
              <w:rPr/>
            </w:pPr>
            <w:r>
              <w:rPr>
                <w:rFonts w:cs="Arial"/>
                <w:b/>
              </w:rPr>
              <w:t>Post Grade</w:t>
            </w:r>
            <w:r>
              <w:rPr>
                <w:rFonts w:cs="Arial"/>
              </w:rPr>
              <w:t xml:space="preserve">: Grade </w:t>
            </w:r>
          </w:p>
        </w:tc>
      </w:tr>
      <w:tr>
        <w:trPr>
          <w:trHeight w:val="720" w:hRule="atLeast"/>
          <w:cantSplit w:val="true"/>
        </w:trPr>
        <w:tc>
          <w:tcPr>
            <w:tcW w:w="5150" w:type="dxa"/>
            <w:gridSpan w:val="2"/>
            <w:tcBorders>
              <w:top w:val="double" w:sz="6" w:space="0" w:color="000000"/>
              <w:left w:val="single" w:sz="6" w:space="0" w:color="000000"/>
              <w:bottom w:val="double" w:sz="6" w:space="0" w:color="000000"/>
            </w:tcBorders>
            <w:shd w:fill="auto" w:val="clear"/>
          </w:tcPr>
          <w:p>
            <w:pPr>
              <w:pStyle w:val="Normal"/>
              <w:spacing w:before="120" w:after="240"/>
              <w:rPr/>
            </w:pPr>
            <w:r>
              <w:rPr>
                <w:rFonts w:cs="Arial"/>
                <w:b/>
              </w:rPr>
              <w:t>Location</w:t>
            </w:r>
            <w:r>
              <w:rPr>
                <w:rFonts w:cs="Arial"/>
              </w:rPr>
              <w:t>: Any location within the Borough of Bury</w:t>
            </w:r>
          </w:p>
        </w:tc>
        <w:tc>
          <w:tcPr>
            <w:tcW w:w="5316" w:type="dxa"/>
            <w:gridSpan w:val="2"/>
            <w:tcBorders>
              <w:left w:val="single" w:sz="6" w:space="0" w:color="000000"/>
              <w:bottom w:val="double" w:sz="6" w:space="0" w:color="000000"/>
              <w:right w:val="single" w:sz="6" w:space="0" w:color="000000"/>
            </w:tcBorders>
            <w:shd w:fill="auto" w:val="clear"/>
          </w:tcPr>
          <w:p>
            <w:pPr>
              <w:pStyle w:val="Normal"/>
              <w:spacing w:before="120" w:after="240"/>
              <w:rPr/>
            </w:pPr>
            <w:r>
              <w:rPr>
                <w:rFonts w:cs="Arial"/>
                <w:b/>
              </w:rPr>
              <w:t>Post Hours</w:t>
            </w:r>
            <w:r>
              <w:rPr>
                <w:rFonts w:cs="Arial"/>
              </w:rPr>
              <w:t>: 37 (flexi scheme in operation)</w:t>
            </w:r>
          </w:p>
        </w:tc>
      </w:tr>
      <w:tr>
        <w:trPr>
          <w:trHeight w:val="960" w:hRule="atLeast"/>
          <w:cantSplit w:val="true"/>
        </w:trPr>
        <w:tc>
          <w:tcPr>
            <w:tcW w:w="10466" w:type="dxa"/>
            <w:gridSpan w:val="4"/>
            <w:tcBorders>
              <w:top w:val="double" w:sz="6" w:space="0" w:color="000000"/>
              <w:left w:val="single" w:sz="6" w:space="0" w:color="000000"/>
              <w:bottom w:val="double" w:sz="6" w:space="0" w:color="000000"/>
              <w:right w:val="single" w:sz="6" w:space="0" w:color="000000"/>
            </w:tcBorders>
            <w:shd w:fill="auto" w:val="clear"/>
          </w:tcPr>
          <w:p>
            <w:pPr>
              <w:pStyle w:val="Normal"/>
              <w:spacing w:before="120" w:after="240"/>
              <w:rPr/>
            </w:pPr>
            <w:r>
              <w:rPr>
                <w:rFonts w:cs="Arial"/>
                <w:b/>
              </w:rPr>
              <w:t>Special Conditions of Service</w:t>
            </w:r>
            <w:r>
              <w:rPr>
                <w:rFonts w:cs="Arial"/>
              </w:rPr>
              <w:t>:</w:t>
            </w:r>
          </w:p>
          <w:p>
            <w:pPr>
              <w:pStyle w:val="Normal"/>
              <w:spacing w:before="120" w:after="240"/>
              <w:rPr>
                <w:rFonts w:cs="Arial"/>
              </w:rPr>
            </w:pPr>
            <w:r>
              <w:rPr>
                <w:rFonts w:cs="Arial"/>
              </w:rPr>
              <w:t>The nature of the post will require the post holder to work flexibly dependent on the needs of the job. This can mean working outside of standard working hours and working agilely from different offices or home as appropriate</w:t>
            </w:r>
          </w:p>
        </w:tc>
      </w:tr>
      <w:tr>
        <w:trPr>
          <w:trHeight w:val="1426" w:hRule="atLeast"/>
          <w:cantSplit w:val="true"/>
        </w:trPr>
        <w:tc>
          <w:tcPr>
            <w:tcW w:w="10466" w:type="dxa"/>
            <w:gridSpan w:val="4"/>
            <w:tcBorders>
              <w:top w:val="double" w:sz="6" w:space="0" w:color="000000"/>
              <w:left w:val="single" w:sz="6" w:space="0" w:color="000000"/>
              <w:bottom w:val="double" w:sz="6" w:space="0" w:color="000000"/>
              <w:right w:val="single" w:sz="6" w:space="0" w:color="000000"/>
            </w:tcBorders>
            <w:shd w:fill="auto" w:val="clear"/>
          </w:tcPr>
          <w:p>
            <w:pPr>
              <w:pStyle w:val="Normal"/>
              <w:spacing w:before="120" w:after="120"/>
              <w:rPr/>
            </w:pPr>
            <w:r>
              <w:rPr>
                <w:rFonts w:cs="Arial"/>
                <w:b/>
              </w:rPr>
              <w:t>Purpose and Objectives of Post</w:t>
            </w:r>
            <w:r>
              <w:rPr>
                <w:rFonts w:cs="Arial"/>
              </w:rPr>
              <w:t xml:space="preserve">: </w:t>
            </w:r>
          </w:p>
          <w:p>
            <w:pPr>
              <w:pStyle w:val="Normal"/>
              <w:spacing w:lineRule="atLeast" w:line="300" w:before="0" w:after="0"/>
              <w:rPr>
                <w:rFonts w:eastAsia="Times New Roman" w:cs="Segoe UI"/>
                <w:lang w:val="en-US"/>
              </w:rPr>
            </w:pPr>
            <w:r>
              <w:rPr>
                <w:rFonts w:eastAsia="Times New Roman" w:cs="Segoe UI"/>
                <w:lang w:val="en-US"/>
              </w:rPr>
              <w:t>To champion inclusive practice and early identification of special educational needs and or disabilities (SEND) for children aged 0-25 (SEND) through Bury’s Best Start Family Hubs.</w:t>
            </w:r>
          </w:p>
          <w:p>
            <w:pPr>
              <w:pStyle w:val="Normal"/>
              <w:spacing w:lineRule="atLeast" w:line="300" w:before="0" w:after="0"/>
              <w:rPr>
                <w:rFonts w:eastAsia="Times New Roman" w:cs="Segoe UI"/>
                <w:lang w:val="en-US"/>
              </w:rPr>
            </w:pPr>
            <w:r>
              <w:rPr>
                <w:rFonts w:eastAsia="Times New Roman" w:cs="Segoe UI"/>
                <w:lang w:val="en-US"/>
              </w:rPr>
            </w:r>
          </w:p>
          <w:p>
            <w:pPr>
              <w:pStyle w:val="Normal"/>
              <w:spacing w:lineRule="atLeast" w:line="300" w:before="0" w:after="0"/>
              <w:rPr>
                <w:rFonts w:eastAsia="Times New Roman" w:cs="Segoe UI"/>
                <w:lang w:val="en-US"/>
              </w:rPr>
            </w:pPr>
            <w:r>
              <w:rPr>
                <w:rFonts w:eastAsia="Times New Roman" w:cs="Segoe UI"/>
                <w:lang w:val="en-US"/>
              </w:rPr>
              <w:t>To improve outcomes for children aged 0–5, especially those with additional needs or SEND, by supporting families, encouraging inclusive practice, and strengthening home learning.</w:t>
            </w:r>
          </w:p>
          <w:p>
            <w:pPr>
              <w:pStyle w:val="Normal"/>
              <w:widowControl/>
              <w:bidi w:val="0"/>
              <w:spacing w:lineRule="auto" w:line="276" w:before="0" w:after="200"/>
              <w:jc w:val="left"/>
              <w:rPr/>
            </w:pPr>
            <w:r>
              <w:rPr/>
              <w:br/>
              <w:t>To work directly with early years settings, families, and multi</w:t>
            </w:r>
            <w:r>
              <w:rPr>
                <w:rFonts w:cs="Cambria Math" w:ascii="Cambria Math" w:hAnsi="Cambria Math"/>
              </w:rPr>
              <w:noBreakHyphen/>
            </w:r>
            <w:r>
              <w:rPr/>
              <w:t>agency partners to identify need early, remove barriers to learning and development, and ensure children get the right support at the right time.</w:t>
            </w:r>
          </w:p>
        </w:tc>
      </w:tr>
      <w:tr>
        <w:trPr>
          <w:cantSplit w:val="true"/>
        </w:trPr>
        <w:tc>
          <w:tcPr>
            <w:tcW w:w="10466" w:type="dxa"/>
            <w:gridSpan w:val="4"/>
            <w:tcBorders>
              <w:top w:val="double" w:sz="6" w:space="0" w:color="000000"/>
              <w:left w:val="single" w:sz="6" w:space="0" w:color="000000"/>
              <w:bottom w:val="double" w:sz="6" w:space="0" w:color="000000"/>
              <w:right w:val="single" w:sz="6" w:space="0" w:color="000000"/>
            </w:tcBorders>
            <w:shd w:fill="auto" w:val="clear"/>
          </w:tcPr>
          <w:p>
            <w:pPr>
              <w:pStyle w:val="Normal"/>
              <w:spacing w:before="120" w:after="240"/>
              <w:rPr/>
            </w:pPr>
            <w:r>
              <w:rPr>
                <w:rFonts w:cs="Arial"/>
                <w:b/>
                <w:bCs/>
              </w:rPr>
              <w:t>Accountable to</w:t>
            </w:r>
            <w:r>
              <w:rPr>
                <w:rFonts w:cs="Arial"/>
              </w:rPr>
              <w:t xml:space="preserve">: Head of service for Early Years and Family Hubs </w:t>
            </w:r>
          </w:p>
        </w:tc>
      </w:tr>
      <w:tr>
        <w:trPr>
          <w:cantSplit w:val="true"/>
        </w:trPr>
        <w:tc>
          <w:tcPr>
            <w:tcW w:w="10466" w:type="dxa"/>
            <w:gridSpan w:val="4"/>
            <w:tcBorders>
              <w:top w:val="double" w:sz="6" w:space="0" w:color="000000"/>
              <w:left w:val="single" w:sz="6" w:space="0" w:color="000000"/>
              <w:bottom w:val="double" w:sz="6" w:space="0" w:color="000000"/>
              <w:right w:val="single" w:sz="6" w:space="0" w:color="000000"/>
            </w:tcBorders>
            <w:shd w:fill="auto" w:val="clear"/>
          </w:tcPr>
          <w:p>
            <w:pPr>
              <w:pStyle w:val="Normal"/>
              <w:spacing w:before="120" w:after="240"/>
              <w:rPr/>
            </w:pPr>
            <w:r>
              <w:rPr>
                <w:rFonts w:cs="Arial"/>
                <w:b/>
                <w:bCs/>
              </w:rPr>
              <w:t>Immediately Responsible to</w:t>
            </w:r>
            <w:r>
              <w:rPr>
                <w:rFonts w:cs="Arial"/>
              </w:rPr>
              <w:t xml:space="preserve">: Lead Officer for Family Hubs and Parenting </w:t>
            </w:r>
          </w:p>
        </w:tc>
      </w:tr>
      <w:tr>
        <w:trPr>
          <w:trHeight w:val="680" w:hRule="atLeast"/>
          <w:cantSplit w:val="true"/>
        </w:trPr>
        <w:tc>
          <w:tcPr>
            <w:tcW w:w="10466" w:type="dxa"/>
            <w:gridSpan w:val="4"/>
            <w:tcBorders>
              <w:top w:val="double" w:sz="6" w:space="0" w:color="000000"/>
              <w:left w:val="single" w:sz="6" w:space="0" w:color="000000"/>
              <w:bottom w:val="double" w:sz="6" w:space="0" w:color="000000"/>
              <w:right w:val="single" w:sz="6" w:space="0" w:color="000000"/>
            </w:tcBorders>
            <w:shd w:fill="auto" w:val="clear"/>
          </w:tcPr>
          <w:p>
            <w:pPr>
              <w:pStyle w:val="NoSpacing"/>
              <w:rPr/>
            </w:pPr>
            <w:r>
              <w:rPr>
                <w:b/>
              </w:rPr>
              <w:t>Immediately Responsible for</w:t>
            </w:r>
            <w:r>
              <w:rPr/>
              <w:t>:</w:t>
            </w:r>
          </w:p>
          <w:p>
            <w:pPr>
              <w:pStyle w:val="NoSpacing"/>
              <w:ind w:left="720" w:right="0" w:hanging="0"/>
              <w:rPr/>
            </w:pPr>
            <w:r>
              <w:rPr/>
              <w:t>N/A</w:t>
            </w:r>
          </w:p>
        </w:tc>
      </w:tr>
      <w:tr>
        <w:trPr>
          <w:trHeight w:val="232" w:hRule="atLeast"/>
          <w:cantSplit w:val="true"/>
        </w:trPr>
        <w:tc>
          <w:tcPr>
            <w:tcW w:w="10466" w:type="dxa"/>
            <w:gridSpan w:val="4"/>
            <w:tcBorders>
              <w:top w:val="double" w:sz="6" w:space="0" w:color="000000"/>
              <w:left w:val="single" w:sz="6" w:space="0" w:color="000000"/>
              <w:right w:val="single" w:sz="6" w:space="0" w:color="000000"/>
            </w:tcBorders>
            <w:shd w:fill="auto" w:val="clear"/>
          </w:tcPr>
          <w:p>
            <w:pPr>
              <w:pStyle w:val="Normal"/>
              <w:tabs>
                <w:tab w:val="clear" w:pos="720"/>
                <w:tab w:val="left" w:pos="4320" w:leader="none"/>
              </w:tabs>
              <w:spacing w:before="120" w:after="120"/>
              <w:rPr>
                <w:rFonts w:cs="Arial"/>
                <w:b/>
                <w:b/>
              </w:rPr>
            </w:pPr>
            <w:r>
              <w:rPr>
                <w:rFonts w:cs="Arial"/>
                <w:b/>
              </w:rPr>
              <w:t>Relationships: (Internal and External)</w:t>
            </w:r>
          </w:p>
          <w:p>
            <w:pPr>
              <w:pStyle w:val="Normal"/>
              <w:tabs>
                <w:tab w:val="clear" w:pos="720"/>
                <w:tab w:val="left" w:pos="4320" w:leader="none"/>
              </w:tabs>
              <w:spacing w:before="120" w:after="120"/>
              <w:rPr/>
            </w:pPr>
            <w:r>
              <w:rPr>
                <w:rFonts w:cs="Arial"/>
                <w:b/>
                <w:bCs/>
                <w:lang w:eastAsia="en-GB"/>
              </w:rPr>
              <w:t>Internal –</w:t>
            </w:r>
            <w:r>
              <w:rPr>
                <w:rFonts w:cs="Arial"/>
                <w:lang w:eastAsia="en-GB"/>
              </w:rPr>
              <w:t>Other staff members,</w:t>
            </w:r>
            <w:r>
              <w:rPr>
                <w:rFonts w:cs="Arial"/>
                <w:b/>
                <w:bCs/>
                <w:lang w:eastAsia="en-GB"/>
              </w:rPr>
              <w:t xml:space="preserve"> </w:t>
            </w:r>
            <w:r>
              <w:rPr>
                <w:rFonts w:cs="Arial"/>
                <w:lang w:eastAsia="en-GB"/>
              </w:rPr>
              <w:t>Elected Members, Chief Executive, Director, Senior Managers, Departmental Staff, Trade Unions.</w:t>
            </w:r>
          </w:p>
          <w:p>
            <w:pPr>
              <w:pStyle w:val="Normal"/>
              <w:tabs>
                <w:tab w:val="clear" w:pos="720"/>
                <w:tab w:val="left" w:pos="4320" w:leader="none"/>
              </w:tabs>
              <w:spacing w:before="120" w:after="120"/>
              <w:rPr/>
            </w:pPr>
            <w:r>
              <w:rPr>
                <w:rFonts w:cs="Arial"/>
                <w:b/>
                <w:lang w:eastAsia="en-GB"/>
              </w:rPr>
              <w:t>External</w:t>
            </w:r>
            <w:r>
              <w:rPr>
                <w:rFonts w:cs="Arial"/>
                <w:lang w:eastAsia="en-GB"/>
              </w:rPr>
              <w:t xml:space="preserve"> – Members of the public, Employees of other Local Authorities, Partner Organisations, Regulatory Bodies, National and Regional Public Bodies.  </w:t>
            </w:r>
          </w:p>
        </w:tc>
      </w:tr>
      <w:tr>
        <w:trPr>
          <w:trHeight w:val="728" w:hRule="atLeast"/>
          <w:cantSplit w:val="true"/>
        </w:trPr>
        <w:tc>
          <w:tcPr>
            <w:tcW w:w="10466" w:type="dxa"/>
            <w:gridSpan w:val="4"/>
            <w:tcBorders>
              <w:top w:val="double" w:sz="6" w:space="0" w:color="000000"/>
              <w:left w:val="single" w:sz="6" w:space="0" w:color="000000"/>
              <w:bottom w:val="single" w:sz="6" w:space="0" w:color="000000"/>
              <w:right w:val="single" w:sz="6" w:space="0" w:color="000000"/>
            </w:tcBorders>
            <w:shd w:fill="auto" w:val="clear"/>
          </w:tcPr>
          <w:p>
            <w:pPr>
              <w:pStyle w:val="Normal"/>
              <w:spacing w:before="120" w:after="120"/>
              <w:rPr/>
            </w:pPr>
            <w:r>
              <w:rPr>
                <w:rFonts w:cs="Arial"/>
                <w:b/>
              </w:rPr>
              <w:t>Control of Resources</w:t>
            </w:r>
            <w:r>
              <w:rPr>
                <w:rFonts w:cs="Arial"/>
              </w:rPr>
              <w:t xml:space="preserve">: </w:t>
            </w:r>
          </w:p>
          <w:p>
            <w:pPr>
              <w:pStyle w:val="NoSpacing"/>
              <w:numPr>
                <w:ilvl w:val="0"/>
                <w:numId w:val="2"/>
              </w:numPr>
              <w:rPr/>
            </w:pPr>
            <w:r>
              <w:rPr/>
              <w:t>Effective use of ICT equipment and systems.</w:t>
            </w:r>
          </w:p>
          <w:p>
            <w:pPr>
              <w:pStyle w:val="Normal"/>
              <w:numPr>
                <w:ilvl w:val="0"/>
                <w:numId w:val="2"/>
              </w:numPr>
              <w:spacing w:before="120" w:after="120"/>
              <w:rPr/>
            </w:pPr>
            <w:r>
              <w:rPr/>
              <w:t>To work within controlled project budgets.</w:t>
            </w:r>
          </w:p>
          <w:p>
            <w:pPr>
              <w:pStyle w:val="Normal"/>
              <w:numPr>
                <w:ilvl w:val="0"/>
                <w:numId w:val="2"/>
              </w:numPr>
              <w:spacing w:before="120" w:after="120"/>
              <w:rPr/>
            </w:pPr>
            <w:r>
              <w:rPr/>
              <w:t>To adhere to all Policies including the Health and Safety and Safeguarding.</w:t>
            </w:r>
          </w:p>
        </w:tc>
      </w:tr>
      <w:tr>
        <w:trPr>
          <w:trHeight w:val="240" w:hRule="atLeast"/>
        </w:trPr>
        <w:tc>
          <w:tcPr>
            <w:tcW w:w="10466" w:type="dxa"/>
            <w:gridSpan w:val="4"/>
            <w:tcBorders>
              <w:top w:val="single" w:sz="6" w:space="0" w:color="000000"/>
              <w:left w:val="single" w:sz="6" w:space="0" w:color="000000"/>
              <w:right w:val="single" w:sz="6" w:space="0" w:color="000000"/>
            </w:tcBorders>
            <w:shd w:fill="auto" w:val="clear"/>
          </w:tcPr>
          <w:p>
            <w:pPr>
              <w:pStyle w:val="Normal"/>
              <w:spacing w:before="120" w:after="120"/>
              <w:rPr>
                <w:rFonts w:cs="Arial"/>
                <w:b/>
                <w:b/>
                <w:bCs/>
                <w:lang w:eastAsia="en-GB"/>
              </w:rPr>
            </w:pPr>
            <w:r>
              <w:rPr>
                <w:rFonts w:cs="Arial"/>
                <w:b/>
                <w:bCs/>
                <w:lang w:eastAsia="en-GB"/>
              </w:rPr>
              <w:t xml:space="preserve">Duties/Responsibilities: </w:t>
            </w:r>
          </w:p>
          <w:p>
            <w:pPr>
              <w:pStyle w:val="ListParagraph"/>
              <w:tabs>
                <w:tab w:val="clear" w:pos="720"/>
                <w:tab w:val="left" w:pos="284" w:leader="none"/>
              </w:tabs>
              <w:spacing w:lineRule="auto" w:line="240" w:before="0" w:after="120"/>
              <w:ind w:left="0" w:right="0" w:hanging="0"/>
              <w:jc w:val="both"/>
              <w:rPr>
                <w:rFonts w:cs="Arial"/>
                <w:b/>
                <w:b/>
                <w:lang w:eastAsia="en-GB"/>
              </w:rPr>
            </w:pPr>
            <w:r>
              <w:rPr>
                <w:rFonts w:cs="Arial"/>
                <w:b/>
                <w:lang w:eastAsia="en-GB"/>
              </w:rPr>
              <w:t>Supporting Children and Families:</w:t>
            </w:r>
          </w:p>
          <w:p>
            <w:pPr>
              <w:pStyle w:val="ListParagraph"/>
              <w:numPr>
                <w:ilvl w:val="0"/>
                <w:numId w:val="4"/>
              </w:numPr>
              <w:spacing w:before="0" w:after="200"/>
              <w:contextualSpacing/>
              <w:rPr/>
            </w:pPr>
            <w:r>
              <w:rPr/>
              <w:t>Work with families whose children have, or may have, additional needs or emerging SEND, offering practical, strengths</w:t>
            </w:r>
            <w:r>
              <w:rPr>
                <w:rFonts w:cs="Cambria Math" w:ascii="Cambria Math" w:hAnsi="Cambria Math"/>
              </w:rPr>
              <w:noBreakHyphen/>
            </w:r>
            <w:r>
              <w:rPr/>
              <w:t>based support.</w:t>
            </w:r>
          </w:p>
          <w:p>
            <w:pPr>
              <w:pStyle w:val="ListParagraph"/>
              <w:numPr>
                <w:ilvl w:val="0"/>
                <w:numId w:val="4"/>
              </w:numPr>
              <w:spacing w:before="0" w:after="200"/>
              <w:contextualSpacing/>
              <w:rPr/>
            </w:pPr>
            <w:r>
              <w:rPr/>
              <w:t>Promote early identification and early intervention to support children’s development and school readiness.</w:t>
            </w:r>
          </w:p>
          <w:p>
            <w:pPr>
              <w:pStyle w:val="ListParagraph"/>
              <w:numPr>
                <w:ilvl w:val="0"/>
                <w:numId w:val="4"/>
              </w:numPr>
              <w:spacing w:before="0" w:after="200"/>
              <w:contextualSpacing/>
              <w:rPr/>
            </w:pPr>
            <w:r>
              <w:rPr/>
              <w:t>Deliver or support evidence</w:t>
            </w:r>
            <w:r>
              <w:rPr>
                <w:rFonts w:cs="Cambria Math" w:ascii="Cambria Math" w:hAnsi="Cambria Math"/>
              </w:rPr>
              <w:noBreakHyphen/>
            </w:r>
            <w:r>
              <w:rPr/>
              <w:t>based interventions focused on communication, interaction and early learning.</w:t>
            </w:r>
          </w:p>
          <w:p>
            <w:pPr>
              <w:pStyle w:val="ListParagraph"/>
              <w:numPr>
                <w:ilvl w:val="0"/>
                <w:numId w:val="4"/>
              </w:numPr>
              <w:spacing w:before="0" w:after="200"/>
              <w:contextualSpacing/>
              <w:rPr/>
            </w:pPr>
            <w:r>
              <w:rPr/>
              <w:t>Empower parents and carers with strategies to support learning and development at home.</w:t>
            </w:r>
          </w:p>
          <w:p>
            <w:pPr>
              <w:pStyle w:val="ListParagraph"/>
              <w:numPr>
                <w:ilvl w:val="0"/>
                <w:numId w:val="4"/>
              </w:numPr>
              <w:spacing w:lineRule="atLeast" w:line="300" w:before="0" w:after="0"/>
              <w:rPr>
                <w:rFonts w:eastAsia="Times New Roman" w:cs="Segoe UI"/>
                <w:lang w:val="en-US"/>
              </w:rPr>
            </w:pPr>
            <w:r>
              <w:rPr>
                <w:rFonts w:eastAsia="Times New Roman" w:cs="Segoe UI"/>
                <w:lang w:val="en-US"/>
              </w:rPr>
              <w:t>To deliver a range of interventions, including stay-and-play sessions and courses, through Family Hubs and outreach venues to support children and parents.</w:t>
            </w:r>
          </w:p>
          <w:p>
            <w:pPr>
              <w:pStyle w:val="ListParagraph"/>
              <w:numPr>
                <w:ilvl w:val="0"/>
                <w:numId w:val="4"/>
              </w:numPr>
              <w:spacing w:lineRule="atLeast" w:line="300" w:before="0" w:after="0"/>
              <w:rPr>
                <w:rFonts w:eastAsia="Times New Roman" w:cs="Segoe UI"/>
                <w:lang w:val="en-US"/>
              </w:rPr>
            </w:pPr>
            <w:r>
              <w:rPr>
                <w:rFonts w:eastAsia="Times New Roman" w:cs="Segoe UI"/>
                <w:lang w:val="en-US"/>
              </w:rPr>
              <w:t>Support and empower families to understand concerns, build confidence and access appropriate services at the right time.</w:t>
            </w:r>
          </w:p>
          <w:p>
            <w:pPr>
              <w:pStyle w:val="ListParagraph"/>
              <w:numPr>
                <w:ilvl w:val="0"/>
                <w:numId w:val="4"/>
              </w:numPr>
              <w:spacing w:lineRule="atLeast" w:line="300" w:before="0" w:after="0"/>
              <w:rPr>
                <w:rFonts w:eastAsia="Times New Roman" w:cs="Segoe UI"/>
                <w:lang w:val="en-US"/>
              </w:rPr>
            </w:pPr>
            <w:r>
              <w:rPr>
                <w:rFonts w:eastAsia="Times New Roman" w:cs="Segoe UI"/>
                <w:lang w:val="en-US"/>
              </w:rPr>
              <w:t>Work alongside other Family Hub staff to sign post families to trusted voluntary, community and faith organisations, peer support networks and local service including for children with more complex needs such as Portage.</w:t>
            </w:r>
          </w:p>
          <w:p>
            <w:pPr>
              <w:pStyle w:val="ListParagraph"/>
              <w:spacing w:before="0" w:after="200"/>
              <w:ind w:left="360" w:right="0" w:hanging="0"/>
              <w:contextualSpacing/>
              <w:rPr/>
            </w:pPr>
            <w:r>
              <w:rPr/>
            </w:r>
          </w:p>
          <w:p>
            <w:pPr>
              <w:pStyle w:val="Normal"/>
              <w:spacing w:before="0" w:after="200"/>
              <w:contextualSpacing/>
              <w:rPr>
                <w:b/>
                <w:b/>
                <w:bCs/>
              </w:rPr>
            </w:pPr>
            <w:r>
              <w:rPr>
                <w:b/>
                <w:bCs/>
              </w:rPr>
              <w:t>Supporting Early Years Settings:</w:t>
            </w:r>
          </w:p>
          <w:p>
            <w:pPr>
              <w:pStyle w:val="ListParagraph"/>
              <w:numPr>
                <w:ilvl w:val="0"/>
                <w:numId w:val="4"/>
              </w:numPr>
              <w:spacing w:before="0" w:after="200"/>
              <w:contextualSpacing/>
              <w:rPr/>
            </w:pPr>
            <w:r>
              <w:rPr/>
              <w:t>Work in partnership with early years settings, childminders and Family Hubs to embed inclusive practice.</w:t>
            </w:r>
          </w:p>
          <w:p>
            <w:pPr>
              <w:pStyle w:val="ListParagraph"/>
              <w:numPr>
                <w:ilvl w:val="0"/>
                <w:numId w:val="4"/>
              </w:numPr>
              <w:spacing w:before="0" w:after="200"/>
              <w:contextualSpacing/>
              <w:rPr/>
            </w:pPr>
            <w:r>
              <w:rPr/>
              <w:t>Model inclusive strategies and provide professional advice to early years practitioners.</w:t>
            </w:r>
          </w:p>
          <w:p>
            <w:pPr>
              <w:pStyle w:val="ListParagraph"/>
              <w:numPr>
                <w:ilvl w:val="0"/>
                <w:numId w:val="4"/>
              </w:numPr>
              <w:spacing w:before="0" w:after="200"/>
              <w:contextualSpacing/>
              <w:rPr/>
            </w:pPr>
            <w:r>
              <w:rPr/>
              <w:t>Support the graduated approach (assess–plan–do–review) and inclusion planning.</w:t>
            </w:r>
          </w:p>
          <w:p>
            <w:pPr>
              <w:pStyle w:val="ListParagraph"/>
              <w:numPr>
                <w:ilvl w:val="0"/>
                <w:numId w:val="4"/>
              </w:numPr>
              <w:spacing w:before="0" w:after="200"/>
              <w:contextualSpacing/>
              <w:rPr/>
            </w:pPr>
            <w:r>
              <w:rPr/>
              <w:t>Signpost settings to relevant training, resources and services.</w:t>
            </w:r>
          </w:p>
          <w:p>
            <w:pPr>
              <w:pStyle w:val="ListParagraph"/>
              <w:numPr>
                <w:ilvl w:val="0"/>
                <w:numId w:val="4"/>
              </w:numPr>
              <w:spacing w:before="0" w:after="200"/>
              <w:contextualSpacing/>
              <w:rPr/>
            </w:pPr>
            <w:r>
              <w:rPr/>
              <w:t>Work in partnership with the Early Years Funding and Sufficiency team to ensure children can access their Early Years Education and Funded Entitlements.</w:t>
            </w:r>
          </w:p>
          <w:p>
            <w:pPr>
              <w:pStyle w:val="Normal"/>
              <w:spacing w:before="0" w:after="200"/>
              <w:contextualSpacing/>
              <w:rPr/>
            </w:pPr>
            <w:r>
              <w:rPr/>
            </w:r>
          </w:p>
          <w:p>
            <w:pPr>
              <w:pStyle w:val="Normal"/>
              <w:spacing w:before="0" w:after="200"/>
              <w:contextualSpacing/>
              <w:rPr>
                <w:b/>
                <w:b/>
                <w:bCs/>
              </w:rPr>
            </w:pPr>
            <w:r>
              <w:rPr>
                <w:b/>
                <w:bCs/>
              </w:rPr>
              <w:t>Multi Agency Working:</w:t>
            </w:r>
          </w:p>
          <w:p>
            <w:pPr>
              <w:pStyle w:val="ListParagraph"/>
              <w:numPr>
                <w:ilvl w:val="0"/>
                <w:numId w:val="4"/>
              </w:numPr>
              <w:spacing w:before="0" w:after="0"/>
              <w:contextualSpacing/>
              <w:rPr/>
            </w:pPr>
            <w:r>
              <w:rPr/>
              <w:t>Work collaboratively with health, education, SEND, Portage, Social Care and Community, Faith and Voluntary sector partners.</w:t>
            </w:r>
          </w:p>
          <w:p>
            <w:pPr>
              <w:pStyle w:val="ListParagraph"/>
              <w:numPr>
                <w:ilvl w:val="0"/>
                <w:numId w:val="4"/>
              </w:numPr>
              <w:spacing w:before="0" w:after="0"/>
              <w:contextualSpacing/>
              <w:rPr/>
            </w:pPr>
            <w:r>
              <w:rPr/>
              <w:t>Contribute to Early Years SEND pathways and inclusion meetings where appropriate.</w:t>
            </w:r>
          </w:p>
          <w:p>
            <w:pPr>
              <w:pStyle w:val="ListParagraph"/>
              <w:numPr>
                <w:ilvl w:val="0"/>
                <w:numId w:val="4"/>
              </w:numPr>
              <w:spacing w:before="0" w:after="0"/>
              <w:contextualSpacing/>
              <w:rPr/>
            </w:pPr>
            <w:r>
              <w:rPr/>
              <w:t>Share information professionally and in line with safeguarding and data protection requirements.</w:t>
            </w:r>
          </w:p>
          <w:p>
            <w:pPr>
              <w:pStyle w:val="Normal"/>
              <w:numPr>
                <w:ilvl w:val="0"/>
                <w:numId w:val="4"/>
              </w:numPr>
              <w:spacing w:lineRule="auto" w:line="240" w:before="0" w:after="0"/>
              <w:jc w:val="both"/>
              <w:rPr>
                <w:rFonts w:cs=""/>
                <w:color w:val="000000"/>
              </w:rPr>
            </w:pPr>
            <w:r>
              <w:rPr>
                <w:rFonts w:cs=""/>
                <w:color w:val="000000"/>
              </w:rPr>
              <w:t>Work in partnership with other agencies to devise workable strategies for managing behaviours</w:t>
            </w:r>
          </w:p>
          <w:p>
            <w:pPr>
              <w:pStyle w:val="Normal"/>
              <w:numPr>
                <w:ilvl w:val="0"/>
                <w:numId w:val="4"/>
              </w:numPr>
              <w:spacing w:lineRule="auto" w:line="240" w:before="0" w:after="0"/>
              <w:jc w:val="both"/>
              <w:rPr>
                <w:rFonts w:cs=""/>
                <w:color w:val="000000"/>
              </w:rPr>
            </w:pPr>
            <w:r>
              <w:rPr>
                <w:rFonts w:cs=""/>
                <w:color w:val="000000"/>
              </w:rPr>
              <w:t>Contribute to Early Help assessments including the Story So Far, WellComm and other assessments as appropriate</w:t>
            </w:r>
          </w:p>
          <w:p>
            <w:pPr>
              <w:pStyle w:val="Normal"/>
              <w:spacing w:before="0" w:after="0"/>
              <w:contextualSpacing/>
              <w:rPr/>
            </w:pPr>
            <w:r>
              <w:rPr/>
            </w:r>
          </w:p>
          <w:p>
            <w:pPr>
              <w:pStyle w:val="Normal"/>
              <w:spacing w:before="0" w:after="200"/>
              <w:contextualSpacing/>
              <w:rPr>
                <w:b/>
                <w:b/>
                <w:bCs/>
              </w:rPr>
            </w:pPr>
            <w:r>
              <w:rPr>
                <w:b/>
                <w:bCs/>
              </w:rPr>
              <w:t>Safeguarding and professional practice:</w:t>
            </w:r>
          </w:p>
          <w:p>
            <w:pPr>
              <w:pStyle w:val="ListParagraph"/>
              <w:numPr>
                <w:ilvl w:val="0"/>
                <w:numId w:val="4"/>
              </w:numPr>
              <w:spacing w:before="0" w:after="200"/>
              <w:contextualSpacing/>
              <w:rPr/>
            </w:pPr>
            <w:r>
              <w:rPr/>
              <w:t>Maintain a clear focus on safeguarding and child protection, following local procedures.</w:t>
            </w:r>
          </w:p>
          <w:p>
            <w:pPr>
              <w:pStyle w:val="ListParagraph"/>
              <w:numPr>
                <w:ilvl w:val="0"/>
                <w:numId w:val="4"/>
              </w:numPr>
              <w:spacing w:before="0" w:after="200"/>
              <w:contextualSpacing/>
              <w:rPr/>
            </w:pPr>
            <w:r>
              <w:rPr/>
              <w:t>Keep accurate and timely records of work undertaken.</w:t>
            </w:r>
          </w:p>
          <w:p>
            <w:pPr>
              <w:pStyle w:val="ListParagraph"/>
              <w:numPr>
                <w:ilvl w:val="0"/>
                <w:numId w:val="4"/>
              </w:numPr>
              <w:spacing w:before="0" w:after="200"/>
              <w:contextualSpacing/>
              <w:rPr/>
            </w:pPr>
            <w:r>
              <w:rPr/>
              <w:t>Contribute to monitoring and evaluation linked to Best Start in Life outcomes.</w:t>
            </w:r>
          </w:p>
          <w:p>
            <w:pPr>
              <w:pStyle w:val="ListParagraph"/>
              <w:numPr>
                <w:ilvl w:val="0"/>
                <w:numId w:val="4"/>
              </w:numPr>
              <w:spacing w:before="0" w:after="200"/>
              <w:contextualSpacing/>
              <w:rPr/>
            </w:pPr>
            <w:r>
              <w:rPr/>
              <w:t xml:space="preserve">Maintain accurate confidential and compliant records </w:t>
            </w:r>
          </w:p>
          <w:p>
            <w:pPr>
              <w:pStyle w:val="ListParagraph"/>
              <w:numPr>
                <w:ilvl w:val="0"/>
                <w:numId w:val="4"/>
              </w:numPr>
              <w:spacing w:lineRule="atLeast" w:line="300" w:before="0" w:after="0"/>
              <w:rPr>
                <w:rFonts w:eastAsia="Times New Roman" w:cs="Segoe UI"/>
                <w:lang w:val="en-US"/>
              </w:rPr>
            </w:pPr>
            <w:r>
              <w:rPr>
                <w:rFonts w:eastAsia="Times New Roman" w:cs="Segoe UI"/>
                <w:lang w:val="en-US"/>
              </w:rPr>
              <w:t xml:space="preserve">To monitor progress and outcomes, ensuring interventions are effective and responsive to need. </w:t>
            </w:r>
          </w:p>
          <w:p>
            <w:pPr>
              <w:pStyle w:val="Normal"/>
              <w:spacing w:before="0" w:after="200"/>
              <w:contextualSpacing/>
              <w:rPr/>
            </w:pPr>
            <w:r>
              <w:rPr/>
            </w:r>
          </w:p>
          <w:p>
            <w:pPr>
              <w:pStyle w:val="ListParagraph"/>
              <w:tabs>
                <w:tab w:val="clear" w:pos="720"/>
                <w:tab w:val="left" w:pos="284" w:leader="none"/>
              </w:tabs>
              <w:spacing w:lineRule="auto" w:line="240" w:before="0" w:after="120"/>
              <w:ind w:left="0" w:right="0" w:hanging="0"/>
              <w:jc w:val="both"/>
              <w:rPr>
                <w:rFonts w:cs="Arial"/>
                <w:b/>
                <w:b/>
                <w:lang w:eastAsia="en-GB"/>
              </w:rPr>
            </w:pPr>
            <w:r>
              <w:rPr>
                <w:rFonts w:cs="Arial"/>
                <w:b/>
                <w:lang w:eastAsia="en-GB"/>
              </w:rPr>
            </w:r>
          </w:p>
          <w:p>
            <w:pPr>
              <w:pStyle w:val="ListParagraph"/>
              <w:tabs>
                <w:tab w:val="clear" w:pos="720"/>
                <w:tab w:val="left" w:pos="284" w:leader="none"/>
              </w:tabs>
              <w:spacing w:lineRule="auto" w:line="240" w:before="0" w:after="120"/>
              <w:ind w:left="0" w:right="0" w:hanging="0"/>
              <w:jc w:val="both"/>
              <w:rPr>
                <w:rFonts w:cs="Arial"/>
                <w:b/>
                <w:b/>
                <w:lang w:eastAsia="en-GB"/>
              </w:rPr>
            </w:pPr>
            <w:r>
              <w:rPr>
                <w:rFonts w:cs="Arial"/>
                <w:b/>
                <w:lang w:eastAsia="en-GB"/>
              </w:rPr>
            </w:r>
          </w:p>
          <w:p>
            <w:pPr>
              <w:pStyle w:val="ListParagraph"/>
              <w:tabs>
                <w:tab w:val="clear" w:pos="720"/>
                <w:tab w:val="left" w:pos="284" w:leader="none"/>
              </w:tabs>
              <w:spacing w:lineRule="auto" w:line="240" w:before="0" w:after="120"/>
              <w:ind w:left="0" w:right="0" w:hanging="0"/>
              <w:jc w:val="both"/>
              <w:rPr>
                <w:rFonts w:cs="Arial"/>
                <w:b/>
                <w:b/>
                <w:lang w:eastAsia="en-GB"/>
              </w:rPr>
            </w:pPr>
            <w:r>
              <w:rPr>
                <w:rFonts w:cs="Arial"/>
                <w:b/>
                <w:lang w:eastAsia="en-GB"/>
              </w:rPr>
              <w:t>General</w:t>
            </w:r>
          </w:p>
        </w:tc>
      </w:tr>
      <w:tr>
        <w:trPr>
          <w:trHeight w:val="240" w:hRule="atLeast"/>
        </w:trPr>
        <w:tc>
          <w:tcPr>
            <w:tcW w:w="10466" w:type="dxa"/>
            <w:gridSpan w:val="4"/>
            <w:tcBorders>
              <w:left w:val="single" w:sz="6" w:space="0" w:color="000000"/>
              <w:right w:val="single" w:sz="6" w:space="0" w:color="000000"/>
            </w:tcBorders>
            <w:shd w:fill="auto" w:val="clear"/>
          </w:tcPr>
          <w:p>
            <w:pPr>
              <w:pStyle w:val="NoSpacing"/>
              <w:numPr>
                <w:ilvl w:val="0"/>
                <w:numId w:val="3"/>
              </w:numPr>
              <w:rPr/>
            </w:pPr>
            <w:r>
              <w:rPr/>
              <w:t>As an employee of Bury Council you have a responsibility for, and must be committed to, safeguarding and promoting the welfare of children, young people and vulnerable adults and for ensuring that they are protected from harm.</w:t>
            </w:r>
          </w:p>
          <w:p>
            <w:pPr>
              <w:pStyle w:val="NoSpacing"/>
              <w:numPr>
                <w:ilvl w:val="0"/>
                <w:numId w:val="3"/>
              </w:numPr>
              <w:rPr/>
            </w:pPr>
            <w:r>
              <w:rPr/>
              <w:t>Bury Council is committed to equality, diversity and inclusion, and expects all staff to comply with its equality related policies/procedures, and to treat others with fairness and respect.</w:t>
            </w:r>
          </w:p>
          <w:p>
            <w:pPr>
              <w:pStyle w:val="NoSpacing"/>
              <w:numPr>
                <w:ilvl w:val="0"/>
                <w:numId w:val="3"/>
              </w:numPr>
              <w:rPr/>
            </w:pPr>
            <w:r>
              <w:rPr/>
              <w:t>The post holder is responsible for Employees Duties as specified with the Corporate and Departmental Health and Safety Policies.</w:t>
            </w:r>
          </w:p>
          <w:p>
            <w:pPr>
              <w:pStyle w:val="NoSpacing"/>
              <w:numPr>
                <w:ilvl w:val="0"/>
                <w:numId w:val="3"/>
              </w:numPr>
              <w:rPr/>
            </w:pPr>
            <w:r>
              <w:rPr/>
              <w:t>As an employee of Bury Council you should contribute to a culture that values and supports the physical and emotional wellbeing of your colleagues.</w:t>
            </w:r>
          </w:p>
          <w:p>
            <w:pPr>
              <w:pStyle w:val="NoSpacing"/>
              <w:ind w:left="720" w:right="0" w:hanging="0"/>
              <w:rPr/>
            </w:pPr>
            <w:r>
              <w:rPr/>
            </w:r>
          </w:p>
        </w:tc>
      </w:tr>
      <w:tr>
        <w:trPr>
          <w:trHeight w:val="240" w:hRule="atLeast"/>
          <w:cantSplit w:val="true"/>
        </w:trPr>
        <w:tc>
          <w:tcPr>
            <w:tcW w:w="10466" w:type="dxa"/>
            <w:gridSpan w:val="4"/>
            <w:tcBorders>
              <w:left w:val="single" w:sz="6" w:space="0" w:color="000000"/>
              <w:bottom w:val="double" w:sz="6" w:space="0" w:color="000000"/>
              <w:right w:val="single" w:sz="6" w:space="0" w:color="000000"/>
            </w:tcBorders>
            <w:shd w:fill="auto" w:val="clear"/>
          </w:tcPr>
          <w:p>
            <w:pPr>
              <w:pStyle w:val="Normal"/>
              <w:spacing w:before="120" w:after="240"/>
              <w:rPr>
                <w:rFonts w:cs="Arial"/>
              </w:rPr>
            </w:pPr>
            <w:r>
              <w:rPr>
                <w:rFonts w:cs="Arial"/>
              </w:rPr>
              <w:t>Where an employee is asked to undertake duties other than those specified directly in his/her job description, such duties shall be discussed with the employee concerned who may have his/her Trade Union Representative present if so desired. (See paragraph 203 of supplemental Conditions of Service).</w:t>
            </w:r>
          </w:p>
        </w:tc>
      </w:tr>
      <w:tr>
        <w:trPr>
          <w:trHeight w:val="240" w:hRule="atLeast"/>
          <w:cantSplit w:val="true"/>
        </w:trPr>
        <w:tc>
          <w:tcPr>
            <w:tcW w:w="4428" w:type="dxa"/>
            <w:tcBorders>
              <w:top w:val="single" w:sz="6" w:space="0" w:color="000000"/>
              <w:left w:val="single" w:sz="6" w:space="0" w:color="000000"/>
              <w:bottom w:val="double" w:sz="6" w:space="0" w:color="000000"/>
            </w:tcBorders>
            <w:shd w:fill="auto" w:val="clear"/>
          </w:tcPr>
          <w:p>
            <w:pPr>
              <w:pStyle w:val="Normal"/>
              <w:spacing w:before="120" w:after="120"/>
              <w:rPr>
                <w:rFonts w:cs="Arial"/>
                <w:b/>
                <w:b/>
              </w:rPr>
            </w:pPr>
            <w:r>
              <w:rPr>
                <w:rFonts w:cs="Arial"/>
                <w:b/>
              </w:rPr>
              <w:t>Job Description prepared by:</w:t>
            </w:r>
          </w:p>
        </w:tc>
        <w:tc>
          <w:tcPr>
            <w:tcW w:w="3434" w:type="dxa"/>
            <w:gridSpan w:val="2"/>
            <w:tcBorders>
              <w:top w:val="single" w:sz="6" w:space="0" w:color="000000"/>
              <w:left w:val="double" w:sz="6" w:space="0" w:color="000000"/>
              <w:bottom w:val="double" w:sz="6" w:space="0" w:color="000000"/>
            </w:tcBorders>
            <w:shd w:fill="auto" w:val="clear"/>
          </w:tcPr>
          <w:p>
            <w:pPr>
              <w:pStyle w:val="Normal"/>
              <w:spacing w:before="120" w:after="120"/>
              <w:rPr>
                <w:rFonts w:cs="Arial"/>
                <w:b/>
                <w:b/>
              </w:rPr>
            </w:pPr>
            <w:r>
              <w:rPr>
                <w:rFonts w:cs="Arial"/>
                <w:b/>
              </w:rPr>
              <w:t xml:space="preserve">Sign: </w:t>
            </w:r>
          </w:p>
        </w:tc>
        <w:tc>
          <w:tcPr>
            <w:tcW w:w="2604" w:type="dxa"/>
            <w:tcBorders>
              <w:top w:val="single" w:sz="6" w:space="0" w:color="000000"/>
              <w:left w:val="double" w:sz="6" w:space="0" w:color="000000"/>
              <w:bottom w:val="double" w:sz="6" w:space="0" w:color="000000"/>
              <w:right w:val="single" w:sz="6" w:space="0" w:color="000000"/>
            </w:tcBorders>
            <w:shd w:fill="auto" w:val="clear"/>
          </w:tcPr>
          <w:p>
            <w:pPr>
              <w:pStyle w:val="Normal"/>
              <w:spacing w:before="120" w:after="120"/>
              <w:rPr>
                <w:rFonts w:cs="Arial"/>
                <w:b/>
                <w:b/>
              </w:rPr>
            </w:pPr>
            <w:r>
              <w:rPr>
                <w:rFonts w:cs="Arial"/>
                <w:b/>
              </w:rPr>
              <w:t>Date:</w:t>
            </w:r>
          </w:p>
        </w:tc>
      </w:tr>
      <w:tr>
        <w:trPr>
          <w:trHeight w:val="240" w:hRule="atLeast"/>
          <w:cantSplit w:val="true"/>
        </w:trPr>
        <w:tc>
          <w:tcPr>
            <w:tcW w:w="4428" w:type="dxa"/>
            <w:tcBorders>
              <w:top w:val="double" w:sz="6" w:space="0" w:color="000000"/>
              <w:left w:val="single" w:sz="6" w:space="0" w:color="000000"/>
              <w:bottom w:val="double" w:sz="6" w:space="0" w:color="000000"/>
            </w:tcBorders>
            <w:shd w:fill="auto" w:val="clear"/>
          </w:tcPr>
          <w:p>
            <w:pPr>
              <w:pStyle w:val="Normal"/>
              <w:spacing w:before="120" w:after="120"/>
              <w:rPr>
                <w:rFonts w:cs="Arial"/>
                <w:b/>
                <w:b/>
              </w:rPr>
            </w:pPr>
            <w:r>
              <w:rPr>
                <w:rFonts w:cs="Arial"/>
                <w:b/>
              </w:rPr>
              <w:t xml:space="preserve">Agreed correct by Post holder: </w:t>
            </w:r>
          </w:p>
        </w:tc>
        <w:tc>
          <w:tcPr>
            <w:tcW w:w="3434" w:type="dxa"/>
            <w:gridSpan w:val="2"/>
            <w:tcBorders>
              <w:top w:val="double" w:sz="6" w:space="0" w:color="000000"/>
              <w:left w:val="double" w:sz="6" w:space="0" w:color="000000"/>
              <w:bottom w:val="double" w:sz="6" w:space="0" w:color="000000"/>
            </w:tcBorders>
            <w:shd w:fill="auto" w:val="clear"/>
          </w:tcPr>
          <w:p>
            <w:pPr>
              <w:pStyle w:val="Normal"/>
              <w:spacing w:before="120" w:after="120"/>
              <w:rPr>
                <w:rFonts w:cs="Arial"/>
                <w:b/>
                <w:b/>
              </w:rPr>
            </w:pPr>
            <w:r>
              <w:rPr>
                <w:rFonts w:cs="Arial"/>
                <w:b/>
              </w:rPr>
              <w:t>Sign</w:t>
            </w:r>
          </w:p>
        </w:tc>
        <w:tc>
          <w:tcPr>
            <w:tcW w:w="2604" w:type="dxa"/>
            <w:tcBorders>
              <w:top w:val="double" w:sz="6" w:space="0" w:color="000000"/>
              <w:left w:val="double" w:sz="6" w:space="0" w:color="000000"/>
              <w:bottom w:val="double" w:sz="6" w:space="0" w:color="000000"/>
              <w:right w:val="single" w:sz="6" w:space="0" w:color="000000"/>
            </w:tcBorders>
            <w:shd w:fill="auto" w:val="clear"/>
          </w:tcPr>
          <w:p>
            <w:pPr>
              <w:pStyle w:val="Normal"/>
              <w:spacing w:before="120" w:after="120"/>
              <w:rPr>
                <w:rFonts w:cs="Arial"/>
                <w:b/>
                <w:b/>
              </w:rPr>
            </w:pPr>
            <w:r>
              <w:rPr>
                <w:rFonts w:cs="Arial"/>
                <w:b/>
              </w:rPr>
              <w:t>Date:</w:t>
            </w:r>
          </w:p>
        </w:tc>
      </w:tr>
      <w:tr>
        <w:trPr>
          <w:trHeight w:val="240" w:hRule="atLeast"/>
          <w:cantSplit w:val="true"/>
        </w:trPr>
        <w:tc>
          <w:tcPr>
            <w:tcW w:w="4428" w:type="dxa"/>
            <w:tcBorders>
              <w:top w:val="double" w:sz="6" w:space="0" w:color="000000"/>
              <w:left w:val="single" w:sz="6" w:space="0" w:color="000000"/>
              <w:bottom w:val="single" w:sz="6" w:space="0" w:color="000000"/>
            </w:tcBorders>
            <w:shd w:fill="auto" w:val="clear"/>
          </w:tcPr>
          <w:p>
            <w:pPr>
              <w:pStyle w:val="Normal"/>
              <w:spacing w:before="120" w:after="120"/>
              <w:rPr>
                <w:rFonts w:cs="Arial"/>
                <w:b/>
                <w:b/>
              </w:rPr>
            </w:pPr>
            <w:r>
              <w:rPr>
                <w:rFonts w:cs="Arial"/>
                <w:b/>
              </w:rPr>
              <w:t>Agreed correct by Supervisor/Manager:</w:t>
            </w:r>
          </w:p>
        </w:tc>
        <w:tc>
          <w:tcPr>
            <w:tcW w:w="3434" w:type="dxa"/>
            <w:gridSpan w:val="2"/>
            <w:tcBorders>
              <w:top w:val="double" w:sz="6" w:space="0" w:color="000000"/>
              <w:left w:val="double" w:sz="6" w:space="0" w:color="000000"/>
              <w:bottom w:val="single" w:sz="6" w:space="0" w:color="000000"/>
            </w:tcBorders>
            <w:shd w:fill="auto" w:val="clear"/>
          </w:tcPr>
          <w:p>
            <w:pPr>
              <w:pStyle w:val="Normal"/>
              <w:spacing w:before="120" w:after="120"/>
              <w:rPr>
                <w:rFonts w:cs="Arial"/>
                <w:b/>
                <w:b/>
              </w:rPr>
            </w:pPr>
            <w:r>
              <w:rPr>
                <w:rFonts w:cs="Arial"/>
                <w:b/>
              </w:rPr>
              <w:t>Sign:</w:t>
            </w:r>
          </w:p>
        </w:tc>
        <w:tc>
          <w:tcPr>
            <w:tcW w:w="2604" w:type="dxa"/>
            <w:tcBorders>
              <w:top w:val="double" w:sz="6" w:space="0" w:color="000000"/>
              <w:left w:val="double" w:sz="6" w:space="0" w:color="000000"/>
              <w:bottom w:val="single" w:sz="6" w:space="0" w:color="000000"/>
              <w:right w:val="single" w:sz="6" w:space="0" w:color="000000"/>
            </w:tcBorders>
            <w:shd w:fill="auto" w:val="clear"/>
          </w:tcPr>
          <w:p>
            <w:pPr>
              <w:pStyle w:val="Normal"/>
              <w:spacing w:before="120" w:after="120"/>
              <w:rPr>
                <w:rFonts w:cs="Arial"/>
                <w:b/>
                <w:b/>
              </w:rPr>
            </w:pPr>
            <w:r>
              <w:rPr>
                <w:rFonts w:cs="Arial"/>
                <w:b/>
              </w:rPr>
              <w:t>Date:</w:t>
            </w:r>
          </w:p>
        </w:tc>
      </w:tr>
    </w:tbl>
    <w:p>
      <w:pPr>
        <w:pStyle w:val="Normal"/>
        <w:jc w:val="center"/>
        <w:rPr>
          <w:rFonts w:cs="Arial"/>
          <w:b/>
          <w:b/>
        </w:rPr>
      </w:pPr>
      <w:r>
        <w:rPr>
          <w:rFonts w:cs="Arial"/>
          <w:b/>
        </w:rPr>
      </w:r>
    </w:p>
    <w:p>
      <w:pPr>
        <w:pStyle w:val="Normal"/>
        <w:jc w:val="center"/>
        <w:rPr>
          <w:rFonts w:cs="Arial"/>
          <w:b/>
          <w:b/>
        </w:rPr>
      </w:pPr>
      <w:r>
        <w:rPr>
          <w:rFonts w:cs="Arial"/>
          <w:b/>
        </w:rPr>
      </w:r>
    </w:p>
    <w:p>
      <w:pPr>
        <w:pStyle w:val="Normal"/>
        <w:jc w:val="center"/>
        <w:rPr>
          <w:rFonts w:cs="Arial"/>
          <w:b/>
          <w:b/>
        </w:rPr>
      </w:pPr>
      <w:r>
        <w:rPr>
          <w:rFonts w:cs="Arial"/>
          <w:b/>
        </w:rPr>
      </w:r>
    </w:p>
    <w:p>
      <w:pPr>
        <w:pStyle w:val="Normal"/>
        <w:jc w:val="center"/>
        <w:rPr>
          <w:rFonts w:cs="Arial"/>
          <w:b/>
          <w:b/>
        </w:rPr>
      </w:pPr>
      <w:r>
        <w:rPr>
          <w:rFonts w:cs="Arial"/>
          <w:b/>
        </w:rPr>
      </w:r>
    </w:p>
    <w:p>
      <w:pPr>
        <w:pStyle w:val="Normal"/>
        <w:jc w:val="center"/>
        <w:rPr>
          <w:rFonts w:cs="Arial"/>
          <w:b/>
          <w:b/>
        </w:rPr>
      </w:pPr>
      <w:r>
        <w:rPr>
          <w:rFonts w:cs="Arial"/>
          <w:b/>
        </w:rPr>
      </w:r>
    </w:p>
    <w:p>
      <w:pPr>
        <w:pStyle w:val="Normal"/>
        <w:jc w:val="center"/>
        <w:rPr>
          <w:rFonts w:cs="Arial"/>
          <w:b/>
          <w:b/>
        </w:rPr>
      </w:pPr>
      <w:r>
        <w:rPr>
          <w:rFonts w:cs="Arial"/>
          <w:b/>
        </w:rPr>
      </w:r>
    </w:p>
    <w:p>
      <w:pPr>
        <w:pStyle w:val="Normal"/>
        <w:jc w:val="center"/>
        <w:rPr>
          <w:rFonts w:cs="Arial"/>
          <w:b/>
          <w:b/>
        </w:rPr>
      </w:pPr>
      <w:r>
        <w:rPr>
          <w:rFonts w:cs="Arial"/>
          <w:b/>
        </w:rPr>
      </w:r>
    </w:p>
    <w:p>
      <w:pPr>
        <w:pStyle w:val="Normal"/>
        <w:jc w:val="center"/>
        <w:rPr>
          <w:rFonts w:cs="Arial"/>
          <w:b/>
          <w:b/>
        </w:rPr>
      </w:pPr>
      <w:r>
        <w:rPr>
          <w:rFonts w:cs="Arial"/>
          <w:b/>
        </w:rPr>
      </w:r>
    </w:p>
    <w:p>
      <w:pPr>
        <w:pStyle w:val="Normal"/>
        <w:jc w:val="center"/>
        <w:rPr>
          <w:rFonts w:cs="Arial"/>
          <w:b/>
          <w:b/>
        </w:rPr>
      </w:pPr>
      <w:r>
        <w:rPr>
          <w:rFonts w:cs="Arial"/>
          <w:b/>
        </w:rPr>
      </w:r>
    </w:p>
    <w:p>
      <w:pPr>
        <w:pStyle w:val="Normal"/>
        <w:jc w:val="center"/>
        <w:rPr>
          <w:b/>
          <w:b/>
          <w:bCs/>
        </w:rPr>
      </w:pPr>
      <w:r>
        <w:rPr>
          <w:b/>
          <w:bCs/>
        </w:rPr>
        <w:t xml:space="preserve">Department for Childrens Service </w:t>
      </w:r>
    </w:p>
    <w:p>
      <w:pPr>
        <w:pStyle w:val="Normal"/>
        <w:jc w:val="center"/>
        <w:rPr>
          <w:b/>
          <w:b/>
        </w:rPr>
      </w:pPr>
      <w:r>
        <w:rPr>
          <w:b/>
        </w:rPr>
        <w:t xml:space="preserve">Best Start in Life Inclusion Practitioner </w:t>
      </w:r>
    </w:p>
    <w:p>
      <w:pPr>
        <w:pStyle w:val="Normal"/>
        <w:rPr>
          <w:sz w:val="6"/>
        </w:rPr>
      </w:pPr>
      <w:r>
        <w:rPr>
          <w:sz w:val="6"/>
        </w:rPr>
      </w:r>
    </w:p>
    <w:tbl>
      <w:tblPr>
        <w:tblW w:w="5000" w:type="pct"/>
        <w:jc w:val="left"/>
        <w:tblInd w:w="0" w:type="dxa"/>
        <w:tblCellMar>
          <w:top w:w="0" w:type="dxa"/>
          <w:left w:w="108" w:type="dxa"/>
          <w:bottom w:w="0" w:type="dxa"/>
          <w:right w:w="108" w:type="dxa"/>
        </w:tblCellMar>
      </w:tblPr>
      <w:tblGrid>
        <w:gridCol w:w="6812"/>
        <w:gridCol w:w="1897"/>
        <w:gridCol w:w="1757"/>
      </w:tblGrid>
      <w:tr>
        <w:trPr/>
        <w:tc>
          <w:tcPr>
            <w:tcW w:w="6812" w:type="dxa"/>
            <w:tcBorders>
              <w:top w:val="single" w:sz="4" w:space="0" w:color="000000"/>
              <w:left w:val="single" w:sz="4" w:space="0" w:color="000000"/>
            </w:tcBorders>
            <w:shd w:fill="auto" w:val="clear"/>
          </w:tcPr>
          <w:p>
            <w:pPr>
              <w:pStyle w:val="Normal"/>
              <w:spacing w:before="120" w:after="120"/>
              <w:rPr>
                <w:b/>
                <w:b/>
              </w:rPr>
            </w:pPr>
            <w:r>
              <w:rPr>
                <w:b/>
              </w:rPr>
              <w:t>SHORT LISTING CRITERIA</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b/>
                <w:b/>
              </w:rPr>
            </w:pPr>
            <w:r>
              <w:rPr>
                <w:b/>
              </w:rPr>
              <w:t>ESSENTIAL</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center"/>
              <w:rPr>
                <w:b/>
                <w:b/>
              </w:rPr>
            </w:pPr>
            <w:r>
              <w:rPr>
                <w:b/>
              </w:rPr>
              <w:t>DESIRABLE</w:t>
            </w:r>
          </w:p>
        </w:tc>
      </w:tr>
      <w:tr>
        <w:trPr>
          <w:trHeight w:val="611" w:hRule="atLeast"/>
          <w:cantSplit w:val="true"/>
        </w:trPr>
        <w:tc>
          <w:tcPr>
            <w:tcW w:w="10466" w:type="dxa"/>
            <w:gridSpan w:val="3"/>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before="120" w:after="120"/>
              <w:rPr>
                <w:b/>
                <w:b/>
                <w:i/>
                <w:i/>
                <w:iCs/>
                <w:sz w:val="20"/>
                <w:szCs w:val="20"/>
              </w:rPr>
            </w:pPr>
            <w:r>
              <w:rPr>
                <w:b/>
                <w:i/>
                <w:iCs/>
                <w:sz w:val="20"/>
                <w:szCs w:val="20"/>
              </w:rPr>
              <w:t>Qualifications</w:t>
            </w:r>
          </w:p>
        </w:tc>
      </w:tr>
      <w:tr>
        <w:trPr>
          <w:trHeight w:val="611" w:hRule="atLeast"/>
          <w:cantSplit w:val="true"/>
        </w:trPr>
        <w:tc>
          <w:tcPr>
            <w:tcW w:w="6812"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120"/>
              <w:rPr>
                <w:rFonts w:eastAsia="Times New Roman" w:cs="Times New Roman"/>
                <w:sz w:val="20"/>
                <w:szCs w:val="20"/>
              </w:rPr>
            </w:pPr>
            <w:r>
              <w:rPr>
                <w:rFonts w:eastAsia="Times New Roman" w:cs="Times New Roman"/>
                <w:sz w:val="20"/>
                <w:szCs w:val="20"/>
              </w:rPr>
              <w:t>Level 3 or above qualification in Early Years</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t></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r>
        <w:trPr>
          <w:trHeight w:val="611" w:hRule="atLeast"/>
          <w:cantSplit w:val="true"/>
        </w:trPr>
        <w:tc>
          <w:tcPr>
            <w:tcW w:w="6812"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120"/>
              <w:rPr>
                <w:rFonts w:eastAsia="Times New Roman" w:cs="Times New Roman"/>
                <w:sz w:val="20"/>
                <w:szCs w:val="20"/>
              </w:rPr>
            </w:pPr>
            <w:r>
              <w:rPr>
                <w:rFonts w:eastAsia="Times New Roman" w:cs="Times New Roman"/>
                <w:sz w:val="20"/>
                <w:szCs w:val="20"/>
              </w:rPr>
              <w:t xml:space="preserve">Qualified to degree level or above in a relevant field </w:t>
            </w:r>
          </w:p>
        </w:tc>
        <w:tc>
          <w:tcPr>
            <w:tcW w:w="1897" w:type="dxa"/>
            <w:tcBorders>
              <w:top w:val="single" w:sz="4" w:space="0" w:color="000000"/>
              <w:left w:val="single" w:sz="4" w:space="0" w:color="000000"/>
              <w:bottom w:val="single" w:sz="4" w:space="0" w:color="000000"/>
            </w:tcBorders>
            <w:shd w:fill="auto" w:val="clear"/>
          </w:tcPr>
          <w:p>
            <w:pPr>
              <w:pStyle w:val="Normal"/>
              <w:snapToGrid w:val="false"/>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t></w:t>
            </w:r>
          </w:p>
        </w:tc>
      </w:tr>
      <w:tr>
        <w:trPr/>
        <w:tc>
          <w:tcPr>
            <w:tcW w:w="10466" w:type="dxa"/>
            <w:gridSpan w:val="3"/>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before="120" w:after="120"/>
              <w:rPr>
                <w:b/>
                <w:b/>
                <w:i/>
                <w:i/>
                <w:iCs/>
                <w:sz w:val="20"/>
                <w:szCs w:val="20"/>
              </w:rPr>
            </w:pPr>
            <w:r>
              <w:rPr>
                <w:b/>
                <w:i/>
                <w:iCs/>
                <w:sz w:val="20"/>
                <w:szCs w:val="20"/>
              </w:rPr>
              <w:t>Experience</w:t>
            </w:r>
          </w:p>
        </w:tc>
      </w:tr>
      <w:tr>
        <w:trPr/>
        <w:tc>
          <w:tcPr>
            <w:tcW w:w="6812"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eastAsia="Times New Roman"/>
                <w:sz w:val="20"/>
                <w:szCs w:val="20"/>
              </w:rPr>
            </w:pPr>
            <w:r>
              <w:rPr>
                <w:rFonts w:eastAsia="Times New Roman"/>
                <w:sz w:val="20"/>
                <w:szCs w:val="20"/>
              </w:rPr>
              <w:t xml:space="preserve">Significant experience in working with vulnerable children aged 0-5 years and their families </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t></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r>
        <w:trPr/>
        <w:tc>
          <w:tcPr>
            <w:tcW w:w="6812"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eastAsia="Times New Roman"/>
                <w:sz w:val="20"/>
                <w:szCs w:val="20"/>
              </w:rPr>
            </w:pPr>
            <w:r>
              <w:rPr>
                <w:rFonts w:eastAsia="Times New Roman"/>
                <w:sz w:val="20"/>
                <w:szCs w:val="20"/>
              </w:rPr>
              <w:t>Experience of assessing, planning and working with children and families in a multi-disciplinary context</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t></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r>
        <w:trPr/>
        <w:tc>
          <w:tcPr>
            <w:tcW w:w="6812" w:type="dxa"/>
            <w:tcBorders>
              <w:top w:val="single" w:sz="4" w:space="0" w:color="000000"/>
              <w:left w:val="single" w:sz="4" w:space="0" w:color="000000"/>
              <w:bottom w:val="single" w:sz="4" w:space="0" w:color="000000"/>
            </w:tcBorders>
            <w:shd w:fill="auto" w:val="clear"/>
          </w:tcPr>
          <w:p>
            <w:pPr>
              <w:pStyle w:val="Normal"/>
              <w:keepNext w:val="true"/>
              <w:keepLines/>
              <w:numPr>
                <w:ilvl w:val="0"/>
                <w:numId w:val="0"/>
              </w:numPr>
              <w:spacing w:before="200" w:after="0"/>
              <w:ind w:left="0" w:hanging="0"/>
              <w:rPr>
                <w:rFonts w:eastAsia="Times New Roman"/>
                <w:sz w:val="20"/>
                <w:szCs w:val="20"/>
              </w:rPr>
            </w:pPr>
            <w:r>
              <w:rPr>
                <w:rFonts w:eastAsia="Times New Roman"/>
                <w:sz w:val="20"/>
                <w:szCs w:val="20"/>
              </w:rPr>
              <w:t>Experience of lone working and adhering to safe working practices</w:t>
            </w:r>
          </w:p>
        </w:tc>
        <w:tc>
          <w:tcPr>
            <w:tcW w:w="1897" w:type="dxa"/>
            <w:tcBorders>
              <w:top w:val="single" w:sz="4" w:space="0" w:color="000000"/>
              <w:left w:val="single" w:sz="4" w:space="0" w:color="000000"/>
              <w:bottom w:val="single" w:sz="4" w:space="0" w:color="000000"/>
            </w:tcBorders>
            <w:shd w:fill="auto" w:val="clear"/>
          </w:tcPr>
          <w:p>
            <w:pPr>
              <w:pStyle w:val="Normal"/>
              <w:snapToGrid w:val="false"/>
              <w:spacing w:before="120" w:after="120"/>
              <w:jc w:val="center"/>
              <w:rPr>
                <w:b/>
                <w:b/>
              </w:rPr>
            </w:pPr>
            <w:r>
              <w:rPr>
                <w:b/>
              </w:rPr>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t></w:t>
            </w:r>
          </w:p>
        </w:tc>
      </w:tr>
      <w:tr>
        <w:trPr/>
        <w:tc>
          <w:tcPr>
            <w:tcW w:w="6812"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eastAsia="Times New Roman"/>
                <w:sz w:val="20"/>
                <w:szCs w:val="20"/>
              </w:rPr>
            </w:pPr>
            <w:r>
              <w:rPr>
                <w:rFonts w:eastAsia="Times New Roman"/>
                <w:sz w:val="20"/>
                <w:szCs w:val="20"/>
              </w:rPr>
              <w:t>Experience of working with families around parenting strategies and approaches</w:t>
            </w:r>
          </w:p>
        </w:tc>
        <w:tc>
          <w:tcPr>
            <w:tcW w:w="1897" w:type="dxa"/>
            <w:tcBorders>
              <w:top w:val="single" w:sz="4" w:space="0" w:color="000000"/>
              <w:left w:val="single" w:sz="4" w:space="0" w:color="000000"/>
              <w:bottom w:val="single" w:sz="4" w:space="0" w:color="000000"/>
            </w:tcBorders>
            <w:shd w:fill="auto" w:val="clear"/>
          </w:tcPr>
          <w:p>
            <w:pPr>
              <w:pStyle w:val="Normal"/>
              <w:snapToGrid w:val="false"/>
              <w:spacing w:before="120" w:after="120"/>
              <w:jc w:val="center"/>
              <w:rPr>
                <w:b/>
                <w:b/>
              </w:rPr>
            </w:pPr>
            <w:r>
              <w:rPr>
                <w:b/>
              </w:rPr>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t></w:t>
            </w:r>
          </w:p>
        </w:tc>
      </w:tr>
      <w:tr>
        <w:trPr/>
        <w:tc>
          <w:tcPr>
            <w:tcW w:w="6812"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eastAsia="Times New Roman" w:cs="Times New Roman"/>
                <w:sz w:val="20"/>
                <w:szCs w:val="20"/>
              </w:rPr>
            </w:pPr>
            <w:r>
              <w:rPr>
                <w:rFonts w:eastAsia="Times New Roman" w:cs="Times New Roman"/>
                <w:sz w:val="20"/>
                <w:szCs w:val="20"/>
              </w:rPr>
              <w:t>Experience delivering Early Years interventions, modelling strategies and supporting families with emerging or identified developmental needs</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t></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r>
        <w:trPr/>
        <w:tc>
          <w:tcPr>
            <w:tcW w:w="6812"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eastAsia="Times New Roman"/>
                <w:sz w:val="20"/>
                <w:szCs w:val="20"/>
              </w:rPr>
            </w:pPr>
            <w:r>
              <w:rPr>
                <w:rFonts w:eastAsia="Times New Roman"/>
                <w:sz w:val="20"/>
                <w:szCs w:val="20"/>
              </w:rPr>
              <w:t>Experience of facilitating evidence based programmes with parents, children and young people to achieve positive behaviour change</w:t>
            </w:r>
          </w:p>
        </w:tc>
        <w:tc>
          <w:tcPr>
            <w:tcW w:w="1897" w:type="dxa"/>
            <w:tcBorders>
              <w:top w:val="single" w:sz="4" w:space="0" w:color="000000"/>
              <w:left w:val="single" w:sz="4" w:space="0" w:color="000000"/>
              <w:bottom w:val="single" w:sz="4" w:space="0" w:color="000000"/>
            </w:tcBorders>
            <w:shd w:fill="auto" w:val="clear"/>
          </w:tcPr>
          <w:p>
            <w:pPr>
              <w:pStyle w:val="Normal"/>
              <w:snapToGrid w:val="false"/>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t></w:t>
            </w:r>
          </w:p>
        </w:tc>
      </w:tr>
      <w:tr>
        <w:trPr/>
        <w:tc>
          <w:tcPr>
            <w:tcW w:w="6812"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eastAsia="Times New Roman"/>
                <w:sz w:val="20"/>
                <w:szCs w:val="20"/>
              </w:rPr>
            </w:pPr>
            <w:r>
              <w:rPr>
                <w:rFonts w:eastAsia="Times New Roman"/>
                <w:sz w:val="20"/>
                <w:szCs w:val="20"/>
              </w:rPr>
              <w:t xml:space="preserve">Experience of working collaboratively across multi agency systems </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t></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r>
          </w:p>
        </w:tc>
      </w:tr>
      <w:tr>
        <w:trPr/>
        <w:tc>
          <w:tcPr>
            <w:tcW w:w="10466" w:type="dxa"/>
            <w:gridSpan w:val="3"/>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before="120" w:after="120"/>
              <w:rPr>
                <w:b/>
                <w:b/>
                <w:i/>
                <w:i/>
                <w:iCs/>
                <w:sz w:val="20"/>
                <w:szCs w:val="20"/>
              </w:rPr>
            </w:pPr>
            <w:r>
              <w:rPr>
                <w:b/>
                <w:i/>
                <w:iCs/>
                <w:sz w:val="20"/>
                <w:szCs w:val="20"/>
              </w:rPr>
              <w:t>Knowledge &amp; Understanding</w:t>
            </w:r>
          </w:p>
        </w:tc>
      </w:tr>
      <w:tr>
        <w:trPr/>
        <w:tc>
          <w:tcPr>
            <w:tcW w:w="6812"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eastAsia="Times New Roman"/>
                <w:sz w:val="20"/>
                <w:szCs w:val="20"/>
              </w:rPr>
            </w:pPr>
            <w:r>
              <w:rPr>
                <w:rFonts w:eastAsia="Times New Roman"/>
                <w:sz w:val="20"/>
                <w:szCs w:val="20"/>
              </w:rPr>
              <w:t>Understanding of child development and issues that may require a child to be in need of protection or statutory intervention</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t></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r>
        <w:trPr/>
        <w:tc>
          <w:tcPr>
            <w:tcW w:w="6812"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eastAsia="Times New Roman"/>
                <w:sz w:val="20"/>
                <w:szCs w:val="20"/>
              </w:rPr>
            </w:pPr>
            <w:r>
              <w:rPr>
                <w:rFonts w:eastAsia="Times New Roman"/>
                <w:sz w:val="20"/>
                <w:szCs w:val="20"/>
              </w:rPr>
              <w:t>Understanding of risk taking behaviours and how this impacts on children, young people and their families</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t></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r>
        <w:trPr/>
        <w:tc>
          <w:tcPr>
            <w:tcW w:w="6812"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eastAsia="Times New Roman"/>
                <w:sz w:val="20"/>
                <w:szCs w:val="20"/>
              </w:rPr>
            </w:pPr>
            <w:r>
              <w:rPr>
                <w:rFonts w:eastAsia="Times New Roman"/>
                <w:sz w:val="20"/>
                <w:szCs w:val="20"/>
              </w:rPr>
              <w:t xml:space="preserve">Understanding of the importance of equality, diversity and anti-oppressive practice in the provision of care </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t></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r>
        <w:trPr/>
        <w:tc>
          <w:tcPr>
            <w:tcW w:w="6812"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eastAsia="Times New Roman"/>
                <w:sz w:val="20"/>
                <w:szCs w:val="20"/>
              </w:rPr>
            </w:pPr>
            <w:r>
              <w:rPr>
                <w:rFonts w:eastAsia="Times New Roman"/>
                <w:sz w:val="20"/>
                <w:szCs w:val="20"/>
              </w:rPr>
              <w:t xml:space="preserve">Excellent understanding of safeguarding practice and application of continuum of need thresholds. </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t></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r>
        <w:trPr/>
        <w:tc>
          <w:tcPr>
            <w:tcW w:w="6812"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eastAsia="Times New Roman"/>
                <w:sz w:val="20"/>
                <w:szCs w:val="20"/>
              </w:rPr>
            </w:pPr>
            <w:r>
              <w:rPr>
                <w:rFonts w:eastAsia="Times New Roman"/>
                <w:sz w:val="20"/>
                <w:szCs w:val="20"/>
              </w:rPr>
              <w:t xml:space="preserve">Knowledge of how community based services can be used to bring change to families lives </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t></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r>
        <w:trPr/>
        <w:tc>
          <w:tcPr>
            <w:tcW w:w="6812"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eastAsia="Times New Roman"/>
                <w:sz w:val="20"/>
                <w:szCs w:val="20"/>
              </w:rPr>
            </w:pPr>
            <w:r>
              <w:rPr>
                <w:rFonts w:eastAsia="Times New Roman"/>
                <w:sz w:val="20"/>
                <w:szCs w:val="20"/>
              </w:rPr>
              <w:t>Thorough knowledge of child development and attachment theory</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t></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r>
        <w:trPr/>
        <w:tc>
          <w:tcPr>
            <w:tcW w:w="6812"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eastAsia="Times New Roman"/>
                <w:sz w:val="20"/>
                <w:szCs w:val="20"/>
              </w:rPr>
            </w:pPr>
            <w:r>
              <w:rPr>
                <w:rFonts w:eastAsia="Times New Roman"/>
                <w:sz w:val="20"/>
                <w:szCs w:val="20"/>
              </w:rPr>
              <w:t xml:space="preserve">Understanding of Adverse Childhood Experiences and how this can impact on families  </w:t>
            </w:r>
          </w:p>
        </w:tc>
        <w:tc>
          <w:tcPr>
            <w:tcW w:w="1897" w:type="dxa"/>
            <w:tcBorders>
              <w:top w:val="single" w:sz="4" w:space="0" w:color="000000"/>
              <w:left w:val="single" w:sz="4" w:space="0" w:color="000000"/>
              <w:bottom w:val="single" w:sz="4" w:space="0" w:color="000000"/>
            </w:tcBorders>
            <w:shd w:fill="auto" w:val="clear"/>
          </w:tcPr>
          <w:p>
            <w:pPr>
              <w:pStyle w:val="Normal"/>
              <w:snapToGrid w:val="false"/>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t></w:t>
            </w:r>
          </w:p>
        </w:tc>
      </w:tr>
      <w:tr>
        <w:trPr/>
        <w:tc>
          <w:tcPr>
            <w:tcW w:w="6812"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eastAsia="Times New Roman"/>
                <w:sz w:val="20"/>
                <w:szCs w:val="20"/>
              </w:rPr>
            </w:pPr>
            <w:r>
              <w:rPr>
                <w:rFonts w:eastAsia="Times New Roman"/>
                <w:sz w:val="20"/>
                <w:szCs w:val="20"/>
              </w:rPr>
              <w:t>Understanding of inclusive Early Years practice, SEND legislation and local SEND systems from birth to 25 (SEND)</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t></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r>
          </w:p>
        </w:tc>
      </w:tr>
      <w:tr>
        <w:trPr/>
        <w:tc>
          <w:tcPr>
            <w:tcW w:w="10466" w:type="dxa"/>
            <w:gridSpan w:val="3"/>
            <w:tcBorders>
              <w:top w:val="single" w:sz="4" w:space="0" w:color="000000"/>
              <w:left w:val="single" w:sz="4" w:space="0" w:color="000000"/>
              <w:bottom w:val="single" w:sz="4" w:space="0" w:color="000000"/>
              <w:right w:val="single" w:sz="4" w:space="0" w:color="000000"/>
            </w:tcBorders>
            <w:shd w:fill="D9D9D9" w:val="clear"/>
          </w:tcPr>
          <w:p>
            <w:pPr>
              <w:pStyle w:val="Normal"/>
              <w:spacing w:before="120" w:after="120"/>
              <w:rPr>
                <w:b/>
                <w:b/>
                <w:i/>
                <w:i/>
                <w:iCs/>
                <w:sz w:val="20"/>
                <w:szCs w:val="20"/>
              </w:rPr>
            </w:pPr>
            <w:r>
              <w:rPr>
                <w:b/>
                <w:i/>
                <w:iCs/>
                <w:sz w:val="20"/>
                <w:szCs w:val="20"/>
              </w:rPr>
              <w:t>Other</w:t>
            </w:r>
          </w:p>
        </w:tc>
      </w:tr>
      <w:tr>
        <w:trPr/>
        <w:tc>
          <w:tcPr>
            <w:tcW w:w="6812"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eastAsia="Times New Roman"/>
                <w:sz w:val="20"/>
                <w:szCs w:val="20"/>
              </w:rPr>
            </w:pPr>
            <w:r>
              <w:rPr>
                <w:rFonts w:eastAsia="Times New Roman"/>
                <w:sz w:val="20"/>
                <w:szCs w:val="20"/>
              </w:rPr>
              <w:t>Willing to work in a flexible manner outside of normal office hours where required</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t></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r>
        <w:trPr/>
        <w:tc>
          <w:tcPr>
            <w:tcW w:w="6812"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eastAsia="Times New Roman"/>
                <w:sz w:val="20"/>
                <w:szCs w:val="20"/>
              </w:rPr>
            </w:pPr>
            <w:r>
              <w:rPr>
                <w:rFonts w:eastAsia="Times New Roman"/>
                <w:sz w:val="20"/>
                <w:szCs w:val="20"/>
              </w:rPr>
              <w:t>Willing to undertake training / professional development as required</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t></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bl>
    <w:p>
      <w:pPr>
        <w:pStyle w:val="Normal"/>
        <w:rPr>
          <w:sz w:val="6"/>
        </w:rPr>
      </w:pPr>
      <w:r>
        <w:rPr>
          <w:sz w:val="6"/>
        </w:rPr>
      </w:r>
    </w:p>
    <w:p>
      <w:pPr>
        <w:pStyle w:val="Normal"/>
        <w:rPr>
          <w:sz w:val="20"/>
        </w:rPr>
      </w:pPr>
      <w:r>
        <w:rPr>
          <w:sz w:val="20"/>
        </w:rPr>
      </w:r>
    </w:p>
    <w:p>
      <w:pPr>
        <w:pStyle w:val="Normal"/>
        <w:jc w:val="center"/>
        <w:rPr>
          <w:rFonts w:cs="Arial"/>
          <w:b/>
          <w:b/>
          <w:sz w:val="20"/>
        </w:rPr>
      </w:pPr>
      <w:r>
        <w:rPr>
          <w:rFonts w:cs="Arial"/>
          <w:b/>
          <w:sz w:val="20"/>
        </w:rPr>
      </w:r>
    </w:p>
    <w:p>
      <w:pPr>
        <w:pStyle w:val="Normal"/>
        <w:jc w:val="center"/>
        <w:rPr>
          <w:rFonts w:cs="Arial"/>
          <w:b/>
          <w:b/>
        </w:rPr>
      </w:pPr>
      <w:r>
        <w:rPr>
          <w:rFonts w:cs="Arial"/>
          <w:b/>
        </w:rPr>
        <w:t>CRITERIA FOR INTERVIEW AND OTHER ASSESSMENT METHODS</w:t>
      </w:r>
    </w:p>
    <w:p>
      <w:pPr>
        <w:pStyle w:val="Normal"/>
        <w:jc w:val="center"/>
        <w:rPr>
          <w:rFonts w:cs="Arial"/>
          <w:b/>
          <w:b/>
        </w:rPr>
      </w:pPr>
      <w:r>
        <w:rPr>
          <w:rFonts w:cs="Arial"/>
          <w:b/>
        </w:rPr>
        <w:t>The short-listing criteria listed plus the following:</w:t>
      </w:r>
    </w:p>
    <w:tbl>
      <w:tblPr>
        <w:tblW w:w="5000" w:type="pct"/>
        <w:jc w:val="left"/>
        <w:tblInd w:w="0" w:type="dxa"/>
        <w:tblCellMar>
          <w:top w:w="0" w:type="dxa"/>
          <w:left w:w="108" w:type="dxa"/>
          <w:bottom w:w="0" w:type="dxa"/>
          <w:right w:w="108" w:type="dxa"/>
        </w:tblCellMar>
      </w:tblPr>
      <w:tblGrid>
        <w:gridCol w:w="2283"/>
        <w:gridCol w:w="8183"/>
      </w:tblGrid>
      <w:tr>
        <w:trPr>
          <w:trHeight w:val="345" w:hRule="atLeast"/>
        </w:trPr>
        <w:tc>
          <w:tcPr>
            <w:tcW w:w="2283"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b/>
                <w:b/>
              </w:rPr>
            </w:pPr>
            <w:r>
              <w:rPr>
                <w:b/>
              </w:rPr>
              <w:t>ASSESSMENT</w:t>
            </w:r>
          </w:p>
          <w:p>
            <w:pPr>
              <w:pStyle w:val="Normal"/>
              <w:spacing w:lineRule="auto" w:line="240" w:before="0" w:after="0"/>
              <w:jc w:val="center"/>
              <w:rPr>
                <w:b/>
                <w:b/>
              </w:rPr>
            </w:pPr>
            <w:r>
              <w:rPr>
                <w:b/>
              </w:rPr>
              <w:t>METHOD</w:t>
            </w:r>
          </w:p>
        </w:tc>
        <w:tc>
          <w:tcPr>
            <w:tcW w:w="818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b/>
                <w:b/>
              </w:rPr>
            </w:pPr>
            <w:r>
              <w:rPr>
                <w:b/>
              </w:rPr>
              <w:t>CRITERIA</w:t>
            </w:r>
          </w:p>
        </w:tc>
      </w:tr>
      <w:tr>
        <w:trPr>
          <w:trHeight w:val="567" w:hRule="atLeast"/>
          <w:cantSplit w:val="true"/>
        </w:trPr>
        <w:tc>
          <w:tcPr>
            <w:tcW w:w="2283"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200"/>
              <w:rPr/>
            </w:pPr>
            <w:r>
              <w:rPr/>
              <w:t>Interview / Assessment</w:t>
            </w:r>
          </w:p>
        </w:tc>
        <w:tc>
          <w:tcPr>
            <w:tcW w:w="818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200"/>
              <w:contextualSpacing/>
              <w:rPr/>
            </w:pPr>
            <w:r>
              <w:rPr/>
              <w:t>Ability to plan and organise a range of complex activities and prioritise changing circumstances and demands effectively.</w:t>
            </w:r>
          </w:p>
        </w:tc>
      </w:tr>
      <w:tr>
        <w:trPr>
          <w:trHeight w:val="567" w:hRule="atLeast"/>
        </w:trPr>
        <w:tc>
          <w:tcPr>
            <w:tcW w:w="2283"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200"/>
              <w:rPr/>
            </w:pPr>
            <w:r>
              <w:rPr/>
              <w:t>Interview / Assessment</w:t>
            </w:r>
          </w:p>
        </w:tc>
        <w:tc>
          <w:tcPr>
            <w:tcW w:w="818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200"/>
              <w:contextualSpacing/>
              <w:rPr/>
            </w:pPr>
            <w:r>
              <w:rPr/>
              <w:t>Self-motivated and able to work independently, whilst also able to work effectively within a team (internally and with partners) to collectively achieve results.</w:t>
            </w:r>
          </w:p>
        </w:tc>
      </w:tr>
      <w:tr>
        <w:trPr>
          <w:trHeight w:val="567" w:hRule="atLeast"/>
        </w:trPr>
        <w:tc>
          <w:tcPr>
            <w:tcW w:w="2283"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200"/>
              <w:rPr/>
            </w:pPr>
            <w:r>
              <w:rPr/>
              <w:t>Interview / Assessment</w:t>
            </w:r>
          </w:p>
        </w:tc>
        <w:tc>
          <w:tcPr>
            <w:tcW w:w="818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200"/>
              <w:contextualSpacing/>
              <w:rPr/>
            </w:pPr>
            <w:r>
              <w:rPr/>
              <w:t>Excellent written and verbal communication skills combined with attention to details to produce good quality materials such as reports and letters.</w:t>
            </w:r>
          </w:p>
        </w:tc>
      </w:tr>
      <w:tr>
        <w:trPr>
          <w:trHeight w:val="567" w:hRule="atLeast"/>
        </w:trPr>
        <w:tc>
          <w:tcPr>
            <w:tcW w:w="2283"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120"/>
              <w:rPr/>
            </w:pPr>
            <w:r>
              <w:rPr/>
              <w:t>Interview / Assessment</w:t>
            </w:r>
          </w:p>
        </w:tc>
        <w:tc>
          <w:tcPr>
            <w:tcW w:w="818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200"/>
              <w:contextualSpacing/>
              <w:rPr/>
            </w:pPr>
            <w:r>
              <w:rPr/>
              <w:t>Highly developed interpersonal skills including a high level of integrity, discretion, tact and diplomacy.</w:t>
            </w:r>
          </w:p>
        </w:tc>
      </w:tr>
      <w:tr>
        <w:trPr>
          <w:trHeight w:val="567" w:hRule="atLeast"/>
        </w:trPr>
        <w:tc>
          <w:tcPr>
            <w:tcW w:w="2283"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120"/>
              <w:rPr/>
            </w:pPr>
            <w:r>
              <w:rPr/>
              <w:t>Interview / Assessment</w:t>
            </w:r>
          </w:p>
        </w:tc>
        <w:tc>
          <w:tcPr>
            <w:tcW w:w="818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rPr/>
            </w:pPr>
            <w:r>
              <w:rPr/>
              <w:t>Ability to manage and monitor budgets</w:t>
            </w:r>
          </w:p>
        </w:tc>
      </w:tr>
      <w:tr>
        <w:trPr>
          <w:trHeight w:val="567" w:hRule="atLeast"/>
        </w:trPr>
        <w:tc>
          <w:tcPr>
            <w:tcW w:w="2283"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120"/>
              <w:rPr/>
            </w:pPr>
            <w:r>
              <w:rPr/>
              <w:t>Interview / Assessment</w:t>
            </w:r>
          </w:p>
        </w:tc>
        <w:tc>
          <w:tcPr>
            <w:tcW w:w="818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rPr/>
            </w:pPr>
            <w:r>
              <w:rPr/>
              <w:t>Ability to Lead and manage highly Complex / confidential Long-Term Projects</w:t>
            </w:r>
          </w:p>
        </w:tc>
      </w:tr>
    </w:tbl>
    <w:p>
      <w:pPr>
        <w:pStyle w:val="Normal"/>
        <w:widowControl/>
        <w:bidi w:val="0"/>
        <w:spacing w:lineRule="auto" w:line="276" w:before="0" w:after="200"/>
        <w:jc w:val="left"/>
        <w:rPr/>
      </w:pPr>
      <w:r>
        <w:rPr/>
      </w:r>
    </w:p>
    <w:sectPr>
      <w:type w:val="nextPage"/>
      <w:pgSz w:w="11906" w:h="16838"/>
      <w:pgMar w:left="720" w:right="720" w:header="0" w:top="720" w:footer="0" w:bottom="72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Verdana">
    <w:charset w:val="00"/>
    <w:family w:val="roman"/>
    <w:pitch w:val="variable"/>
  </w:font>
  <w:font w:name="Franklin Gothic Demi">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Liberation Sans">
    <w:altName w:val="Arial"/>
    <w:charset w:val="00"/>
    <w:family w:val="swiss"/>
    <w:pitch w:val="variable"/>
  </w:font>
  <w:font w:name="Calibri">
    <w:charset w:val="00"/>
    <w:family w:val="roman"/>
    <w:pitch w:val="variable"/>
  </w:font>
  <w:font w:name="Cambria Math">
    <w:charset w:val="00"/>
    <w:family w:val="roman"/>
    <w:pitch w:val="variable"/>
  </w:font>
  <w:font w:name="Wingdings 2">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ind w:left="360" w:hanging="360"/>
      </w:pPr>
      <w:rPr>
        <w:rFonts w:ascii="Symbol" w:hAnsi="Symbol" w:cs="Symbol" w:hint="default"/>
        <w:rFonts w:cs="Symbol"/>
      </w:rPr>
    </w:lvl>
    <w:lvl w:ilvl="1">
      <w:start w:val="1"/>
      <w:numFmt w:val="bullet"/>
      <w:lvlText w:val=""/>
      <w:lvlJc w:val="left"/>
      <w:pPr>
        <w:ind w:left="1080" w:hanging="360"/>
      </w:pPr>
      <w:rPr>
        <w:rFonts w:ascii="Symbol" w:hAnsi="Symbol" w:cs="Symbol" w:hint="default"/>
        <w:rFonts w:cs="Symbol"/>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3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Verdana" w:hAnsi="Verdana" w:eastAsia="Calibri" w:cs="Verdana"/>
      <w:color w:val="auto"/>
      <w:kern w:val="0"/>
      <w:sz w:val="22"/>
      <w:szCs w:val="22"/>
      <w:lang w:val="en-GB" w:eastAsia="en-US" w:bidi="ar-SA"/>
    </w:rPr>
  </w:style>
  <w:style w:type="paragraph" w:styleId="Heading3">
    <w:name w:val="Heading 3"/>
    <w:basedOn w:val="Normal"/>
    <w:next w:val="Normal"/>
    <w:qFormat/>
    <w:pPr>
      <w:keepNext w:val="true"/>
      <w:keepLines/>
      <w:numPr>
        <w:ilvl w:val="2"/>
        <w:numId w:val="1"/>
      </w:numPr>
      <w:spacing w:before="200" w:after="0"/>
      <w:outlineLvl w:val="2"/>
    </w:pPr>
    <w:rPr>
      <w:rFonts w:ascii="Franklin Gothic Demi" w:hAnsi="Franklin Gothic Demi" w:eastAsia="Times New Roman" w:cs="Franklin Gothic Demi"/>
      <w:bCs/>
      <w:sz w:val="24"/>
      <w:szCs w:val="2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2">
    <w:name w:val="WW8Num3z2"/>
    <w:qFormat/>
    <w:rPr>
      <w:rFonts w:ascii="Wingdings" w:hAnsi="Wingdings" w:cs="Wingdings"/>
    </w:rPr>
  </w:style>
  <w:style w:type="character" w:styleId="WW8Num3z4">
    <w:name w:val="WW8Num3z4"/>
    <w:qFormat/>
    <w:rPr>
      <w:rFonts w:ascii="Courier New" w:hAnsi="Courier New" w:cs="Courier New"/>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Heading3Char">
    <w:name w:val="Heading 3 Char"/>
    <w:qFormat/>
    <w:rPr>
      <w:rFonts w:ascii="Franklin Gothic Demi" w:hAnsi="Franklin Gothic Demi" w:eastAsia="Times New Roman" w:cs="Vrinda"/>
      <w:bCs/>
      <w:sz w:val="24"/>
      <w:szCs w:val="24"/>
    </w:rPr>
  </w:style>
  <w:style w:type="character" w:styleId="BalloonTextChar">
    <w:name w:val="Balloon Text Char"/>
    <w:qFormat/>
    <w:rPr>
      <w:rFonts w:ascii="Tahoma" w:hAnsi="Tahoma" w:eastAsia="Calibri" w:cs="Tahoma"/>
      <w:sz w:val="16"/>
      <w:szCs w:val="16"/>
    </w:rPr>
  </w:style>
  <w:style w:type="character" w:styleId="Annotationreference">
    <w:name w:val="annotation reference"/>
    <w:qFormat/>
    <w:rPr>
      <w:sz w:val="16"/>
      <w:szCs w:val="16"/>
    </w:rPr>
  </w:style>
  <w:style w:type="character" w:styleId="CommentTextChar">
    <w:name w:val="Comment Text Char"/>
    <w:qFormat/>
    <w:rPr>
      <w:rFonts w:cs="Vrinda"/>
      <w:lang w:eastAsia="en-US"/>
    </w:rPr>
  </w:style>
  <w:style w:type="character" w:styleId="CommentSubjectChar">
    <w:name w:val="Comment Subject Char"/>
    <w:qFormat/>
    <w:rPr>
      <w:rFonts w:cs="Vrinda"/>
      <w:b/>
      <w:bCs/>
      <w:lang w:eastAsia="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Msonospacing">
    <w:name w:val="msonospacing"/>
    <w:basedOn w:val="Normal"/>
    <w:qFormat/>
    <w:pPr>
      <w:spacing w:lineRule="auto" w:line="240" w:before="0" w:after="0"/>
    </w:pPr>
    <w:rPr>
      <w:rFonts w:ascii="Calibri" w:hAnsi="Calibri" w:cs="Calibri"/>
      <w:lang w:eastAsia="en-GB"/>
    </w:rPr>
  </w:style>
  <w:style w:type="paragraph" w:styleId="ListParagraph">
    <w:name w:val="List Paragraph"/>
    <w:basedOn w:val="Normal"/>
    <w:qFormat/>
    <w:pPr>
      <w:ind w:left="720" w:right="0" w:hanging="0"/>
    </w:pPr>
    <w:rPr/>
  </w:style>
  <w:style w:type="paragraph" w:styleId="Default">
    <w:name w:val="Default"/>
    <w:qFormat/>
    <w:pPr>
      <w:widowControl/>
      <w:suppressAutoHyphens w:val="true"/>
      <w:bidi w:val="0"/>
      <w:spacing w:before="0" w:after="0"/>
      <w:jc w:val="left"/>
    </w:pPr>
    <w:rPr>
      <w:rFonts w:ascii="Verdana" w:hAnsi="Verdana" w:eastAsia="Calibri" w:cs="Verdana"/>
      <w:color w:val="000000"/>
      <w:kern w:val="0"/>
      <w:sz w:val="24"/>
      <w:szCs w:val="24"/>
      <w:lang w:val="en-GB" w:eastAsia="en-GB" w:bidi="ar-SA"/>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NoSpacing">
    <w:name w:val="No Spacing"/>
    <w:qFormat/>
    <w:pPr>
      <w:widowControl/>
      <w:suppressAutoHyphens w:val="true"/>
      <w:bidi w:val="0"/>
      <w:spacing w:before="0" w:after="0"/>
      <w:jc w:val="left"/>
    </w:pPr>
    <w:rPr>
      <w:rFonts w:ascii="Verdana" w:hAnsi="Verdana" w:eastAsia="Calibri" w:cs="Verdana"/>
      <w:color w:val="auto"/>
      <w:kern w:val="0"/>
      <w:sz w:val="22"/>
      <w:szCs w:val="22"/>
      <w:lang w:val="en-GB" w:eastAsia="en-US" w:bidi="ar-SA"/>
    </w:rPr>
  </w:style>
  <w:style w:type="paragraph" w:styleId="Revision">
    <w:name w:val="Revision"/>
    <w:qFormat/>
    <w:pPr>
      <w:widowControl/>
      <w:suppressAutoHyphens w:val="true"/>
      <w:bidi w:val="0"/>
      <w:spacing w:before="0" w:after="0"/>
      <w:jc w:val="left"/>
    </w:pPr>
    <w:rPr>
      <w:rFonts w:ascii="Verdana" w:hAnsi="Verdana" w:eastAsia="Calibri" w:cs="Verdana"/>
      <w:color w:val="auto"/>
      <w:kern w:val="0"/>
      <w:sz w:val="22"/>
      <w:szCs w:val="22"/>
      <w:lang w:val="en-GB" w:eastAsia="en-US" w:bidi="ar-S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307</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