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07C4" w14:textId="77777777" w:rsidR="000D4087" w:rsidRDefault="000D4087" w:rsidP="000D4087">
      <w:pPr>
        <w:spacing w:after="0" w:line="240" w:lineRule="auto"/>
      </w:pPr>
    </w:p>
    <w:p w14:paraId="72473828" w14:textId="4A9BC5B4" w:rsidR="00D02A95" w:rsidRPr="00D02A95" w:rsidRDefault="00D02A95" w:rsidP="00D02A95">
      <w:pPr>
        <w:spacing w:after="0" w:line="240" w:lineRule="auto"/>
        <w:jc w:val="center"/>
        <w:rPr>
          <w:b/>
          <w:bCs/>
        </w:rPr>
      </w:pPr>
      <w:r w:rsidRPr="00D02A95">
        <w:rPr>
          <w:b/>
          <w:bCs/>
        </w:rPr>
        <w:t>Children and Young People Department</w:t>
      </w:r>
    </w:p>
    <w:p w14:paraId="71EE797B" w14:textId="41B4A629" w:rsidR="00D02A95" w:rsidRPr="00D02A95" w:rsidRDefault="00D02A95" w:rsidP="00D02A95">
      <w:pPr>
        <w:spacing w:after="0" w:line="240" w:lineRule="auto"/>
        <w:jc w:val="center"/>
        <w:rPr>
          <w:b/>
          <w:bCs/>
        </w:rPr>
      </w:pPr>
      <w:r w:rsidRPr="00D02A95">
        <w:rPr>
          <w:b/>
          <w:bCs/>
        </w:rPr>
        <w:t xml:space="preserve">Placement Finding and Brokerage </w:t>
      </w:r>
      <w:r w:rsidR="001A4CF4">
        <w:rPr>
          <w:b/>
          <w:bCs/>
        </w:rPr>
        <w:t>Manager</w:t>
      </w:r>
    </w:p>
    <w:p w14:paraId="561E0692" w14:textId="77777777" w:rsidR="00D02A95" w:rsidRPr="00D02A95" w:rsidRDefault="00D02A95" w:rsidP="00D02A95">
      <w:pPr>
        <w:spacing w:after="0" w:line="240" w:lineRule="auto"/>
        <w:jc w:val="center"/>
        <w:rPr>
          <w:b/>
          <w:bCs/>
        </w:rPr>
      </w:pPr>
    </w:p>
    <w:p w14:paraId="643D054F" w14:textId="77777777" w:rsidR="00D02A95" w:rsidRDefault="00D02A95" w:rsidP="000D4087">
      <w:pPr>
        <w:spacing w:after="0" w:line="240" w:lineRule="auto"/>
      </w:pPr>
    </w:p>
    <w:p w14:paraId="59E0B237" w14:textId="77777777" w:rsidR="00D02A95" w:rsidRPr="008731D7" w:rsidRDefault="00D02A95" w:rsidP="000D4087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2"/>
        <w:gridCol w:w="1597"/>
        <w:gridCol w:w="1627"/>
      </w:tblGrid>
      <w:tr w:rsidR="000D4087" w:rsidRPr="008731D7" w14:paraId="6475A3D0" w14:textId="77777777" w:rsidTr="00B50EDF">
        <w:tc>
          <w:tcPr>
            <w:tcW w:w="3258" w:type="pct"/>
            <w:tcBorders>
              <w:bottom w:val="nil"/>
            </w:tcBorders>
          </w:tcPr>
          <w:p w14:paraId="44DFD44D" w14:textId="77777777" w:rsidR="000D4087" w:rsidRPr="008731D7" w:rsidRDefault="000D4087" w:rsidP="00B50EDF">
            <w:pPr>
              <w:spacing w:before="120" w:after="0" w:line="240" w:lineRule="auto"/>
              <w:rPr>
                <w:b/>
              </w:rPr>
            </w:pPr>
            <w:r w:rsidRPr="008731D7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14:paraId="59E06F9A" w14:textId="77777777" w:rsidR="000D4087" w:rsidRPr="008731D7" w:rsidRDefault="000D4087" w:rsidP="00B50EDF">
            <w:pPr>
              <w:spacing w:before="120"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t>ESSENTIAL</w:t>
            </w:r>
          </w:p>
        </w:tc>
        <w:tc>
          <w:tcPr>
            <w:tcW w:w="835" w:type="pct"/>
          </w:tcPr>
          <w:p w14:paraId="12265ACA" w14:textId="77777777" w:rsidR="000D4087" w:rsidRPr="008731D7" w:rsidRDefault="000D4087" w:rsidP="00B50EDF">
            <w:pPr>
              <w:spacing w:before="120"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t>DESIRABLE</w:t>
            </w:r>
          </w:p>
        </w:tc>
      </w:tr>
      <w:tr w:rsidR="000D4087" w:rsidRPr="008731D7" w14:paraId="76943B9E" w14:textId="77777777" w:rsidTr="00B50EDF">
        <w:trPr>
          <w:cantSplit/>
          <w:trHeight w:val="611"/>
        </w:trPr>
        <w:tc>
          <w:tcPr>
            <w:tcW w:w="3258" w:type="pct"/>
          </w:tcPr>
          <w:p w14:paraId="101A57C1" w14:textId="77777777" w:rsidR="000D4087" w:rsidRPr="008731D7" w:rsidRDefault="000D4087" w:rsidP="00B50EDF">
            <w:pPr>
              <w:spacing w:before="120" w:after="0" w:line="240" w:lineRule="auto"/>
            </w:pPr>
            <w:r w:rsidRPr="008731D7">
              <w:rPr>
                <w:b/>
              </w:rPr>
              <w:t>Knowledge</w:t>
            </w:r>
          </w:p>
        </w:tc>
        <w:tc>
          <w:tcPr>
            <w:tcW w:w="907" w:type="pct"/>
          </w:tcPr>
          <w:p w14:paraId="5DA53DE2" w14:textId="77777777" w:rsidR="000D4087" w:rsidRPr="008731D7" w:rsidRDefault="000D4087" w:rsidP="00B50EDF">
            <w:pPr>
              <w:spacing w:before="120"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2743FED7" w14:textId="77777777" w:rsidR="000D4087" w:rsidRPr="008731D7" w:rsidRDefault="000D4087" w:rsidP="00B50EDF">
            <w:pPr>
              <w:spacing w:before="120"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66CA0D26" w14:textId="77777777" w:rsidTr="00B50EDF">
        <w:tc>
          <w:tcPr>
            <w:tcW w:w="3258" w:type="pct"/>
            <w:tcBorders>
              <w:bottom w:val="single" w:sz="4" w:space="0" w:color="auto"/>
            </w:tcBorders>
          </w:tcPr>
          <w:p w14:paraId="2FC02179" w14:textId="4F7E8272" w:rsidR="000D4087" w:rsidRPr="008731D7" w:rsidRDefault="000D4087" w:rsidP="00B50EDF">
            <w:pPr>
              <w:spacing w:after="0" w:line="240" w:lineRule="auto"/>
              <w:rPr>
                <w:rFonts w:cs="Arial"/>
                <w:bCs/>
              </w:rPr>
            </w:pPr>
            <w:r w:rsidRPr="008731D7">
              <w:rPr>
                <w:rFonts w:cs="Arial"/>
                <w:bCs/>
              </w:rPr>
              <w:t xml:space="preserve">Thorough knowledge of the legislation governing </w:t>
            </w:r>
            <w:r w:rsidR="00A70C41">
              <w:rPr>
                <w:rFonts w:cs="Arial"/>
                <w:bCs/>
              </w:rPr>
              <w:t xml:space="preserve">childrens </w:t>
            </w:r>
            <w:r w:rsidRPr="008731D7">
              <w:rPr>
                <w:rFonts w:cs="Arial"/>
                <w:bCs/>
              </w:rPr>
              <w:t>social care</w:t>
            </w:r>
            <w:r w:rsidR="006B7195">
              <w:rPr>
                <w:rFonts w:cs="Arial"/>
                <w:bCs/>
              </w:rPr>
              <w:t xml:space="preserve"> and special</w:t>
            </w:r>
            <w:r w:rsidR="00DB49FE">
              <w:rPr>
                <w:rFonts w:cs="Arial"/>
                <w:bCs/>
              </w:rPr>
              <w:t xml:space="preserve"> educational needs and disability (SEND)</w:t>
            </w:r>
            <w:r w:rsidRPr="008731D7">
              <w:rPr>
                <w:rFonts w:cs="Arial"/>
                <w:bCs/>
              </w:rPr>
              <w:t>, and of current national policy and local strategies relevant to health and social care needs and inequalities.</w:t>
            </w:r>
          </w:p>
          <w:p w14:paraId="78D0E935" w14:textId="77777777" w:rsidR="000D4087" w:rsidRPr="008731D7" w:rsidRDefault="000D4087" w:rsidP="00B50EDF">
            <w:pPr>
              <w:spacing w:after="0" w:line="240" w:lineRule="auto"/>
            </w:pPr>
          </w:p>
        </w:tc>
        <w:tc>
          <w:tcPr>
            <w:tcW w:w="907" w:type="pct"/>
          </w:tcPr>
          <w:p w14:paraId="018F96AF" w14:textId="77777777" w:rsidR="000D4087" w:rsidRPr="008731D7" w:rsidRDefault="000D4087" w:rsidP="00B50EDF">
            <w:pPr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</w:tcPr>
          <w:p w14:paraId="7C9477EF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61D98EEA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63D0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 xml:space="preserve">Good knowledge of commissioning, contracting and strategy acquired through post graduate diploma or equivalent experience or training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9D0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616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40FB9FFD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9D6" w14:textId="77777777" w:rsidR="000D4087" w:rsidRPr="008731D7" w:rsidRDefault="000D4087" w:rsidP="00B50EDF">
            <w:pPr>
              <w:spacing w:line="240" w:lineRule="auto"/>
            </w:pPr>
            <w:r w:rsidRPr="008731D7">
              <w:t>Thorough understanding of data and performance measures of contracts, including confidentiality issues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6FB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F49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4A402229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6CB" w14:textId="2F62FAC6" w:rsidR="000D4087" w:rsidRPr="008731D7" w:rsidRDefault="007F2FE1" w:rsidP="00B50EDF">
            <w:pPr>
              <w:spacing w:line="240" w:lineRule="auto"/>
            </w:pPr>
            <w:r w:rsidRPr="007F2FE1">
              <w:t>Understanding of the performance and regulatory  framework in which the Council’s Children’s Services and care, health and education providers operate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0F7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FEEA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</w:tr>
      <w:tr w:rsidR="000D4087" w:rsidRPr="008731D7" w14:paraId="5EDE9A89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FDB" w14:textId="77777777" w:rsidR="000D4087" w:rsidRPr="00EC34F8" w:rsidRDefault="000D4087" w:rsidP="007F2FE1">
            <w:pPr>
              <w:spacing w:line="240" w:lineRule="auto"/>
            </w:pPr>
            <w:r w:rsidRPr="007F2FE1">
              <w:t>Demonstrate an understanding of private and third sector organisations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9AF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018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</w:tr>
      <w:tr w:rsidR="000D4087" w:rsidRPr="008731D7" w14:paraId="25417987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03D" w14:textId="77777777" w:rsidR="000D4087" w:rsidRPr="00CA41AD" w:rsidRDefault="000D4087" w:rsidP="00B50EDF">
            <w:pPr>
              <w:pStyle w:val="Heading3"/>
              <w:spacing w:before="0" w:line="240" w:lineRule="auto"/>
              <w:rPr>
                <w:rFonts w:ascii="Verdana" w:hAnsi="Verdana"/>
                <w:b/>
                <w:color w:val="auto"/>
                <w:sz w:val="22"/>
                <w:szCs w:val="22"/>
              </w:rPr>
            </w:pPr>
          </w:p>
          <w:p w14:paraId="24A1FF2A" w14:textId="77777777" w:rsidR="000D4087" w:rsidRPr="00CA41AD" w:rsidRDefault="000D4087" w:rsidP="00B50EDF">
            <w:pPr>
              <w:pStyle w:val="Heading3"/>
              <w:spacing w:before="0" w:line="240" w:lineRule="auto"/>
              <w:rPr>
                <w:rFonts w:ascii="Verdana" w:hAnsi="Verdana"/>
                <w:b/>
                <w:color w:val="auto"/>
                <w:sz w:val="22"/>
                <w:szCs w:val="22"/>
              </w:rPr>
            </w:pPr>
            <w:r w:rsidRPr="00CA41AD">
              <w:rPr>
                <w:rFonts w:ascii="Verdana" w:hAnsi="Verdana"/>
                <w:b/>
                <w:color w:val="auto"/>
                <w:sz w:val="22"/>
                <w:szCs w:val="22"/>
              </w:rPr>
              <w:t>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147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485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033056D9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0982" w14:textId="77777777" w:rsidR="000D4087" w:rsidRPr="008731D7" w:rsidRDefault="000D4087" w:rsidP="00B50EDF">
            <w:pPr>
              <w:pStyle w:val="Heading3"/>
              <w:spacing w:before="0" w:line="24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CD9956C" w14:textId="77777777" w:rsidR="000D4087" w:rsidRPr="008731D7" w:rsidRDefault="000D4087" w:rsidP="00B50EDF">
            <w:pPr>
              <w:pStyle w:val="Heading3"/>
              <w:spacing w:before="0" w:line="240" w:lineRule="auto"/>
              <w:rPr>
                <w:rFonts w:ascii="Verdana" w:hAnsi="Verdana" w:cs="Arial"/>
                <w:sz w:val="22"/>
                <w:szCs w:val="22"/>
              </w:rPr>
            </w:pPr>
            <w:r w:rsidRPr="00EC34F8">
              <w:rPr>
                <w:rFonts w:ascii="Verdana" w:hAnsi="Verdana" w:cs="Arial"/>
                <w:color w:val="auto"/>
                <w:sz w:val="22"/>
                <w:szCs w:val="22"/>
              </w:rPr>
              <w:t>Excellent communication skills in all mediums with a wide range of people, including written communication and computer literacy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7DF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  <w:p w14:paraId="560E6C00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  <w:p w14:paraId="0252195E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BB4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1DCF5201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DC3" w14:textId="77777777" w:rsidR="000D4087" w:rsidRPr="008731D7" w:rsidRDefault="000D4087" w:rsidP="00B50EDF">
            <w:pPr>
              <w:pStyle w:val="Heading3"/>
              <w:spacing w:before="0" w:line="240" w:lineRule="auto"/>
              <w:rPr>
                <w:rFonts w:ascii="Verdana" w:hAnsi="Verdana"/>
                <w:sz w:val="22"/>
                <w:szCs w:val="22"/>
              </w:rPr>
            </w:pPr>
          </w:p>
          <w:p w14:paraId="09FFD51F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 xml:space="preserve">Provide and receive complex, sensitive and contentious information, negotiate with providers and other stakeholders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372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  <w:p w14:paraId="27B3E432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  <w:p w14:paraId="3B462C74" w14:textId="77777777" w:rsidR="000D4087" w:rsidRPr="008731D7" w:rsidRDefault="000D4087" w:rsidP="00B50EDF">
            <w:pPr>
              <w:spacing w:after="0" w:line="240" w:lineRule="auto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343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5DACB245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0D6" w14:textId="77777777" w:rsidR="000D4087" w:rsidRPr="008731D7" w:rsidRDefault="000D4087" w:rsidP="00B50EDF">
            <w:pPr>
              <w:spacing w:after="0" w:line="240" w:lineRule="auto"/>
              <w:rPr>
                <w:rFonts w:cs="Arial"/>
              </w:rPr>
            </w:pPr>
          </w:p>
          <w:p w14:paraId="00B7AEBB" w14:textId="77777777" w:rsidR="000D4087" w:rsidRPr="008731D7" w:rsidRDefault="000D4087" w:rsidP="00B50EDF">
            <w:pPr>
              <w:spacing w:after="0"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>Strategic thinking and understanding of a wider context – ability to anticipate and resolve problems before they arise with a solution focussed approach</w:t>
            </w:r>
          </w:p>
          <w:p w14:paraId="21B6FF5F" w14:textId="77777777" w:rsidR="000D4087" w:rsidRPr="008731D7" w:rsidRDefault="000D4087" w:rsidP="00B50ED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546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  <w:p w14:paraId="4A243187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7FD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023B6042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758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  <w:proofErr w:type="spellStart"/>
            <w:r w:rsidRPr="008731D7">
              <w:rPr>
                <w:rFonts w:cs="Arial"/>
              </w:rPr>
              <w:t>Well developed</w:t>
            </w:r>
            <w:proofErr w:type="spellEnd"/>
            <w:r w:rsidRPr="008731D7">
              <w:rPr>
                <w:rFonts w:cs="Arial"/>
              </w:rPr>
              <w:t xml:space="preserve"> negotiating and persuading skills</w:t>
            </w:r>
          </w:p>
          <w:p w14:paraId="3F9AF27C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EE2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  <w:p w14:paraId="0425C3CB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lastRenderedPageBreak/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55C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6A37072B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28B" w14:textId="77777777" w:rsidR="000D4087" w:rsidRPr="008731D7" w:rsidRDefault="000D4087" w:rsidP="00B50EDF">
            <w:pPr>
              <w:pStyle w:val="Heading3"/>
              <w:spacing w:before="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BAE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9C6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7190FAD1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72" w14:textId="77777777" w:rsidR="000D4087" w:rsidRPr="00EC34F8" w:rsidRDefault="000D4087" w:rsidP="00B50EDF">
            <w:pPr>
              <w:pStyle w:val="Heading3"/>
              <w:spacing w:before="0" w:line="240" w:lineRule="auto"/>
              <w:rPr>
                <w:rFonts w:ascii="Verdana" w:hAnsi="Verdana"/>
                <w:b/>
                <w:color w:val="auto"/>
                <w:sz w:val="22"/>
                <w:szCs w:val="22"/>
              </w:rPr>
            </w:pPr>
            <w:r w:rsidRPr="00EC34F8">
              <w:rPr>
                <w:rFonts w:ascii="Verdana" w:hAnsi="Verdana"/>
                <w:b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7CD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FB7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105D7FCF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0DDF" w14:textId="77777777" w:rsidR="000D4087" w:rsidRPr="00EC34F8" w:rsidRDefault="000D4087" w:rsidP="00B50EDF">
            <w:pPr>
              <w:pStyle w:val="Heading3"/>
              <w:spacing w:before="0" w:after="240"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EC34F8">
              <w:rPr>
                <w:rFonts w:ascii="Verdana" w:hAnsi="Verdana"/>
                <w:color w:val="auto"/>
                <w:sz w:val="22"/>
                <w:szCs w:val="22"/>
              </w:rPr>
              <w:t>Experience of delivering work with a good understanding of the strategic outcomes required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E38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DFF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</w:p>
        </w:tc>
      </w:tr>
      <w:tr w:rsidR="000D4087" w:rsidRPr="008731D7" w14:paraId="25851522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873" w14:textId="77777777" w:rsidR="000D4087" w:rsidRPr="00EC34F8" w:rsidRDefault="000D4087" w:rsidP="00B50EDF">
            <w:pPr>
              <w:pStyle w:val="Heading3"/>
              <w:spacing w:before="0" w:after="240"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EC34F8">
              <w:rPr>
                <w:rFonts w:ascii="Verdana" w:hAnsi="Verdana"/>
                <w:color w:val="auto"/>
                <w:sz w:val="22"/>
                <w:szCs w:val="22"/>
              </w:rPr>
              <w:t>Experience of developing re-design programmes, including savings plan programmes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315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77C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</w:p>
        </w:tc>
      </w:tr>
      <w:tr w:rsidR="000D4087" w:rsidRPr="008731D7" w14:paraId="1FBCCCE3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EF5" w14:textId="77777777" w:rsidR="000D4087" w:rsidRPr="00EC34F8" w:rsidRDefault="000D4087" w:rsidP="00B50EDF">
            <w:pPr>
              <w:pStyle w:val="Heading3"/>
              <w:spacing w:before="0" w:after="240"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EC34F8">
              <w:rPr>
                <w:rFonts w:ascii="Verdana" w:hAnsi="Verdana"/>
                <w:color w:val="auto"/>
                <w:sz w:val="22"/>
                <w:szCs w:val="22"/>
              </w:rPr>
              <w:t>Experience of service planning and performance management within own teams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363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CDE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</w:p>
        </w:tc>
      </w:tr>
      <w:tr w:rsidR="000D4087" w:rsidRPr="008731D7" w14:paraId="1928D58F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AF2" w14:textId="77777777" w:rsidR="000D4087" w:rsidRPr="008731D7" w:rsidRDefault="000D4087" w:rsidP="00B50EDF">
            <w:pPr>
              <w:spacing w:after="240" w:line="240" w:lineRule="auto"/>
              <w:rPr>
                <w:color w:val="000000"/>
              </w:rPr>
            </w:pPr>
            <w:r w:rsidRPr="008731D7">
              <w:rPr>
                <w:color w:val="000000"/>
              </w:rPr>
              <w:t xml:space="preserve">Experience of presenting to and communicating with a range of partner agencies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E84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E88" w14:textId="77777777" w:rsidR="000D4087" w:rsidRPr="008731D7" w:rsidRDefault="000D4087" w:rsidP="00B50EDF">
            <w:pPr>
              <w:spacing w:after="240" w:line="240" w:lineRule="auto"/>
              <w:jc w:val="center"/>
              <w:rPr>
                <w:b/>
              </w:rPr>
            </w:pPr>
          </w:p>
        </w:tc>
      </w:tr>
      <w:tr w:rsidR="000D4087" w:rsidRPr="008731D7" w14:paraId="42B14E91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3BC" w14:textId="77777777" w:rsidR="000D4087" w:rsidRPr="008731D7" w:rsidRDefault="000D4087" w:rsidP="00B50EDF">
            <w:pPr>
              <w:spacing w:before="120"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>Experience of developing person centred approaches delivering positive outcomes for vulnerable people needing health and care services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365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A33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56188C95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AED" w14:textId="77777777" w:rsidR="000D4087" w:rsidRPr="008731D7" w:rsidRDefault="000D4087" w:rsidP="00B50EDF">
            <w:pPr>
              <w:spacing w:before="120" w:line="240" w:lineRule="auto"/>
              <w:rPr>
                <w:rFonts w:cs="Arial"/>
                <w:b/>
              </w:rPr>
            </w:pPr>
            <w:r w:rsidRPr="008731D7">
              <w:rPr>
                <w:rFonts w:cs="Arial"/>
                <w:b/>
              </w:rPr>
              <w:t>Qualifications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F4E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893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6D6B5DAA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E47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>Educated to degree level or equivalent level of experience of working at a senior level in specialist area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92E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D2D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1DD7D670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630" w14:textId="77777777" w:rsidR="000D4087" w:rsidRPr="008731D7" w:rsidRDefault="000D4087" w:rsidP="00B50EDF">
            <w:pPr>
              <w:spacing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>In respect of commissioning, contracting and strategy, post graduate diploma or equivalent experience or training plus further specialist knowledge or experience to master’s level or equivalent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AC7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7E1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D4087" w:rsidRPr="008731D7" w14:paraId="744CD323" w14:textId="77777777" w:rsidTr="00B50ED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60A" w14:textId="77777777" w:rsidR="000D4087" w:rsidRPr="008731D7" w:rsidRDefault="000D4087" w:rsidP="00B50EDF">
            <w:pPr>
              <w:spacing w:before="120" w:line="240" w:lineRule="auto"/>
              <w:rPr>
                <w:rFonts w:cs="Arial"/>
              </w:rPr>
            </w:pPr>
            <w:r w:rsidRPr="008731D7">
              <w:rPr>
                <w:rFonts w:cs="Arial"/>
              </w:rPr>
              <w:t>Evidence of post qualifying and continuing professional development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60B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  <w:r w:rsidRPr="008731D7">
              <w:rPr>
                <w:b/>
              </w:rPr>
              <w:sym w:font="Wingdings" w:char="F0FC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9F0" w14:textId="77777777" w:rsidR="000D4087" w:rsidRPr="008731D7" w:rsidRDefault="000D4087" w:rsidP="00B50ED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54DE191" w14:textId="77777777" w:rsidR="00570538" w:rsidRDefault="00570538"/>
    <w:p w14:paraId="46D34C05" w14:textId="77777777" w:rsidR="00430EAE" w:rsidRPr="00C97198" w:rsidRDefault="00430EAE" w:rsidP="00430EA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97198">
        <w:rPr>
          <w:rFonts w:ascii="Calibri" w:hAnsi="Calibri" w:cs="Calibri"/>
          <w:b/>
          <w:sz w:val="24"/>
          <w:szCs w:val="24"/>
        </w:rPr>
        <w:t>CRITERIA FOR INTERVIEW AND OTHER ASSESSMENT METHODS</w:t>
      </w:r>
    </w:p>
    <w:p w14:paraId="33184744" w14:textId="77777777" w:rsidR="00430EAE" w:rsidRPr="00C97198" w:rsidRDefault="00430EAE" w:rsidP="00430EA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97198">
        <w:rPr>
          <w:rFonts w:ascii="Calibri" w:hAnsi="Calibri" w:cs="Calibri"/>
          <w:b/>
          <w:sz w:val="24"/>
          <w:szCs w:val="24"/>
        </w:rPr>
        <w:t>The short-listing criteria listed plus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7047"/>
      </w:tblGrid>
      <w:tr w:rsidR="00430EAE" w:rsidRPr="00C97198" w14:paraId="73546891" w14:textId="77777777" w:rsidTr="00787207">
        <w:trPr>
          <w:trHeight w:val="345"/>
        </w:trPr>
        <w:tc>
          <w:tcPr>
            <w:tcW w:w="1092" w:type="pct"/>
            <w:vAlign w:val="center"/>
          </w:tcPr>
          <w:p w14:paraId="4572C150" w14:textId="77777777" w:rsidR="00430EAE" w:rsidRPr="00C97198" w:rsidRDefault="00430EAE" w:rsidP="0078720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  <w:p w14:paraId="5E6EEA16" w14:textId="77777777" w:rsidR="00430EAE" w:rsidRPr="00C97198" w:rsidRDefault="00430EAE" w:rsidP="0078720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60172788" w14:textId="77777777" w:rsidR="00430EAE" w:rsidRPr="00C97198" w:rsidRDefault="00430EAE" w:rsidP="0078720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CRITERIA</w:t>
            </w:r>
          </w:p>
        </w:tc>
      </w:tr>
      <w:tr w:rsidR="00430EAE" w:rsidRPr="00C97198" w14:paraId="26E208FD" w14:textId="77777777" w:rsidTr="00787207">
        <w:trPr>
          <w:cantSplit/>
          <w:trHeight w:val="567"/>
        </w:trPr>
        <w:tc>
          <w:tcPr>
            <w:tcW w:w="1092" w:type="pct"/>
            <w:vAlign w:val="center"/>
          </w:tcPr>
          <w:p w14:paraId="083C6C8E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Presentation / Assessment</w:t>
            </w:r>
          </w:p>
        </w:tc>
        <w:tc>
          <w:tcPr>
            <w:tcW w:w="3908" w:type="pct"/>
            <w:vAlign w:val="center"/>
          </w:tcPr>
          <w:p w14:paraId="111D2A07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sz w:val="24"/>
                <w:szCs w:val="24"/>
              </w:rPr>
              <w:t>Effective presentation skills</w:t>
            </w:r>
          </w:p>
        </w:tc>
      </w:tr>
      <w:tr w:rsidR="00430EAE" w:rsidRPr="00C97198" w14:paraId="4303508E" w14:textId="77777777" w:rsidTr="00787207">
        <w:trPr>
          <w:trHeight w:val="567"/>
        </w:trPr>
        <w:tc>
          <w:tcPr>
            <w:tcW w:w="1092" w:type="pct"/>
            <w:vAlign w:val="center"/>
          </w:tcPr>
          <w:p w14:paraId="487F9F76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Application / Interview</w:t>
            </w:r>
          </w:p>
        </w:tc>
        <w:tc>
          <w:tcPr>
            <w:tcW w:w="3908" w:type="pct"/>
            <w:vAlign w:val="center"/>
          </w:tcPr>
          <w:p w14:paraId="63154BA1" w14:textId="77777777" w:rsidR="00430EAE" w:rsidRPr="00C97198" w:rsidRDefault="00430EAE" w:rsidP="0078720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7198">
              <w:rPr>
                <w:rFonts w:ascii="Calibri" w:hAnsi="Calibri" w:cs="Calibri"/>
                <w:sz w:val="24"/>
                <w:szCs w:val="24"/>
              </w:rPr>
              <w:t>Thorough understanding of the national context and of GM initiatives and approach to commissioning</w:t>
            </w:r>
          </w:p>
        </w:tc>
      </w:tr>
      <w:tr w:rsidR="00430EAE" w:rsidRPr="00C97198" w14:paraId="58AC192C" w14:textId="77777777" w:rsidTr="00787207">
        <w:trPr>
          <w:trHeight w:val="567"/>
        </w:trPr>
        <w:tc>
          <w:tcPr>
            <w:tcW w:w="1092" w:type="pct"/>
            <w:vAlign w:val="center"/>
          </w:tcPr>
          <w:p w14:paraId="71363518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Application / Interview</w:t>
            </w:r>
          </w:p>
        </w:tc>
        <w:tc>
          <w:tcPr>
            <w:tcW w:w="3908" w:type="pct"/>
            <w:vAlign w:val="center"/>
          </w:tcPr>
          <w:p w14:paraId="479FCDEF" w14:textId="77777777" w:rsidR="00430EAE" w:rsidRPr="00C97198" w:rsidRDefault="00430EAE" w:rsidP="0078720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7198">
              <w:rPr>
                <w:rFonts w:ascii="Calibri" w:hAnsi="Calibri" w:cs="Calibri"/>
                <w:sz w:val="24"/>
                <w:szCs w:val="24"/>
              </w:rPr>
              <w:t>Effective liaison with providers, customers and other stakeholders</w:t>
            </w:r>
          </w:p>
        </w:tc>
      </w:tr>
      <w:tr w:rsidR="00430EAE" w:rsidRPr="00C97198" w14:paraId="61810AD3" w14:textId="77777777" w:rsidTr="00787207">
        <w:trPr>
          <w:trHeight w:val="567"/>
        </w:trPr>
        <w:tc>
          <w:tcPr>
            <w:tcW w:w="1092" w:type="pct"/>
            <w:vAlign w:val="center"/>
          </w:tcPr>
          <w:p w14:paraId="5D4E9489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Application / Interview</w:t>
            </w:r>
          </w:p>
        </w:tc>
        <w:tc>
          <w:tcPr>
            <w:tcW w:w="3908" w:type="pct"/>
            <w:vAlign w:val="center"/>
          </w:tcPr>
          <w:p w14:paraId="2AA526A9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7198">
              <w:rPr>
                <w:rFonts w:ascii="Calibri" w:hAnsi="Calibri" w:cs="Calibri"/>
                <w:sz w:val="24"/>
                <w:szCs w:val="24"/>
              </w:rPr>
              <w:t>Evidence of delivery of effective outcomes in respect of commissioning and transformation</w:t>
            </w:r>
          </w:p>
          <w:p w14:paraId="1CC8E189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0EAE" w:rsidRPr="00C97198" w14:paraId="417DFF1E" w14:textId="77777777" w:rsidTr="00787207">
        <w:trPr>
          <w:trHeight w:val="567"/>
        </w:trPr>
        <w:tc>
          <w:tcPr>
            <w:tcW w:w="1092" w:type="pct"/>
            <w:vAlign w:val="center"/>
          </w:tcPr>
          <w:p w14:paraId="2E893A7D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7198">
              <w:rPr>
                <w:rFonts w:ascii="Calibri" w:hAnsi="Calibri" w:cs="Calibri"/>
                <w:b/>
                <w:sz w:val="24"/>
                <w:szCs w:val="24"/>
              </w:rPr>
              <w:t>Application / Interview</w:t>
            </w:r>
          </w:p>
        </w:tc>
        <w:tc>
          <w:tcPr>
            <w:tcW w:w="3908" w:type="pct"/>
            <w:vAlign w:val="center"/>
          </w:tcPr>
          <w:p w14:paraId="61958E39" w14:textId="77777777" w:rsidR="00430EAE" w:rsidRPr="00C97198" w:rsidRDefault="00430EAE" w:rsidP="00787207">
            <w:pPr>
              <w:spacing w:before="12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7198">
              <w:rPr>
                <w:rFonts w:ascii="Calibri" w:hAnsi="Calibri" w:cs="Calibri"/>
                <w:sz w:val="24"/>
                <w:szCs w:val="24"/>
              </w:rPr>
              <w:t xml:space="preserve">Decision making </w:t>
            </w:r>
          </w:p>
        </w:tc>
      </w:tr>
    </w:tbl>
    <w:p w14:paraId="3A46BD27" w14:textId="77777777" w:rsidR="00430EAE" w:rsidRDefault="00430EAE"/>
    <w:sectPr w:rsidR="00430EAE" w:rsidSect="00D02A9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DFA8" w14:textId="77777777" w:rsidR="00C55515" w:rsidRDefault="00C55515" w:rsidP="00C87D58">
      <w:pPr>
        <w:spacing w:after="0" w:line="240" w:lineRule="auto"/>
      </w:pPr>
      <w:r>
        <w:separator/>
      </w:r>
    </w:p>
  </w:endnote>
  <w:endnote w:type="continuationSeparator" w:id="0">
    <w:p w14:paraId="3AB1AC46" w14:textId="77777777" w:rsidR="00C55515" w:rsidRDefault="00C55515" w:rsidP="00C8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23B9" w14:textId="77777777" w:rsidR="00C55515" w:rsidRDefault="00C55515" w:rsidP="00C87D58">
      <w:pPr>
        <w:spacing w:after="0" w:line="240" w:lineRule="auto"/>
      </w:pPr>
      <w:r>
        <w:separator/>
      </w:r>
    </w:p>
  </w:footnote>
  <w:footnote w:type="continuationSeparator" w:id="0">
    <w:p w14:paraId="5E2F5EDE" w14:textId="77777777" w:rsidR="00C55515" w:rsidRDefault="00C55515" w:rsidP="00C8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C53D" w14:textId="5631FE2E" w:rsidR="00D02A95" w:rsidRDefault="00D02A95" w:rsidP="00D02A95">
    <w:pPr>
      <w:pStyle w:val="Header"/>
      <w:jc w:val="right"/>
    </w:pPr>
    <w:r w:rsidRPr="00A37E8A">
      <w:rPr>
        <w:noProof/>
      </w:rPr>
      <w:drawing>
        <wp:inline distT="0" distB="0" distL="0" distR="0" wp14:anchorId="4F309F97" wp14:editId="4E58E731">
          <wp:extent cx="1247775" cy="628312"/>
          <wp:effectExtent l="0" t="0" r="0" b="635"/>
          <wp:docPr id="815903949" name="Picture 1" descr="Logo&#10;&#10;Description automatically generated">
            <a:hlinkClick xmlns:a="http://schemas.openxmlformats.org/drawingml/2006/main" r:id="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200" cy="63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87"/>
    <w:rsid w:val="000D4087"/>
    <w:rsid w:val="000F7C31"/>
    <w:rsid w:val="001A4CF4"/>
    <w:rsid w:val="002366F5"/>
    <w:rsid w:val="003E5051"/>
    <w:rsid w:val="003F7A34"/>
    <w:rsid w:val="00423EC2"/>
    <w:rsid w:val="0042623D"/>
    <w:rsid w:val="00430EAE"/>
    <w:rsid w:val="00570538"/>
    <w:rsid w:val="006331E7"/>
    <w:rsid w:val="006B7195"/>
    <w:rsid w:val="006E4650"/>
    <w:rsid w:val="007C56C3"/>
    <w:rsid w:val="007F2FE1"/>
    <w:rsid w:val="00975CF9"/>
    <w:rsid w:val="00A70C41"/>
    <w:rsid w:val="00C55515"/>
    <w:rsid w:val="00C87D58"/>
    <w:rsid w:val="00CA41AD"/>
    <w:rsid w:val="00D02A95"/>
    <w:rsid w:val="00DB49FE"/>
    <w:rsid w:val="00E27B32"/>
    <w:rsid w:val="00E97B8F"/>
    <w:rsid w:val="00E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6801"/>
  <w15:chartTrackingRefBased/>
  <w15:docId w15:val="{EF7722DE-B2D0-4FE4-9B51-5E3C9EE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87"/>
    <w:pPr>
      <w:spacing w:after="200" w:line="276" w:lineRule="auto"/>
    </w:pPr>
    <w:rPr>
      <w:rFonts w:ascii="Verdana" w:eastAsia="Calibri" w:hAnsi="Verdana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0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0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D40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0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0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08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08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08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08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0D4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0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0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0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D4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58"/>
    <w:rPr>
      <w:rFonts w:ascii="Verdana" w:eastAsia="Calibri" w:hAnsi="Verdana" w:cs="Vrinda"/>
    </w:rPr>
  </w:style>
  <w:style w:type="paragraph" w:styleId="Footer">
    <w:name w:val="footer"/>
    <w:basedOn w:val="Normal"/>
    <w:link w:val="FooterChar"/>
    <w:uiPriority w:val="99"/>
    <w:unhideWhenUsed/>
    <w:rsid w:val="00C8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58"/>
    <w:rPr>
      <w:rFonts w:ascii="Verdana" w:eastAsia="Calibri" w:hAnsi="Verdana"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image" Target="media/image1.jpeg" /><Relationship Id="rId1" Type="http://schemas.openxmlformats.org/officeDocument/2006/relationships/hyperlink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2424</Characters>
  <Application>Microsoft Office Word</Application>
  <DocSecurity>0</DocSecurity>
  <Lines>151</Lines>
  <Paragraphs>68</Paragraphs>
  <ScaleCrop>false</ScaleCrop>
  <Company>Bury Council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Matthew</dc:creator>
  <cp:keywords/>
  <dc:description/>
  <cp:lastModifiedBy>Thomson, Marie</cp:lastModifiedBy>
  <cp:revision>13</cp:revision>
  <dcterms:created xsi:type="dcterms:W3CDTF">2026-01-07T19:13:00Z</dcterms:created>
  <dcterms:modified xsi:type="dcterms:W3CDTF">2026-03-18T17:25:00Z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0x0101001AFDB9333E6C75448CF49301F6169472</vt:lpwstr>
  </property>
</Properties>
</file>