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tbl>
      <w:tblPr>
        <w:tblW w:w="5000" w:type="pct"/>
        <w:jc w:val="left"/>
        <w:tblInd w:w="0" w:type="dxa"/>
        <w:tblCellMar>
          <w:top w:w="0" w:type="dxa"/>
          <w:left w:w="108" w:type="dxa"/>
          <w:bottom w:w="0" w:type="dxa"/>
          <w:right w:w="108" w:type="dxa"/>
        </w:tblCellMar>
      </w:tblPr>
      <w:tblGrid>
        <w:gridCol w:w="4428"/>
        <w:gridCol w:w="722"/>
        <w:gridCol w:w="2712"/>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xml:space="preserve">: Empty Homes and PRS Officer </w:t>
            </w:r>
          </w:p>
        </w:tc>
      </w:tr>
      <w:tr>
        <w:trPr>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Corporate Core</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AB1099</w:t>
            </w:r>
          </w:p>
        </w:tc>
      </w:tr>
      <w:tr>
        <w:trPr>
          <w:trHeight w:val="720" w:hRule="atLeast"/>
          <w:cantSplit w:val="true"/>
        </w:trPr>
        <w:tc>
          <w:tcPr>
            <w:tcW w:w="5150"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Homelessness and Housing Options Service</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9</w:t>
            </w:r>
          </w:p>
        </w:tc>
      </w:tr>
      <w:tr>
        <w:trPr>
          <w:trHeight w:val="720" w:hRule="atLeast"/>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xml:space="preserve">: Bury Town Hall </w:t>
            </w:r>
          </w:p>
        </w:tc>
        <w:tc>
          <w:tcPr>
            <w:tcW w:w="531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numPr>
                <w:ilvl w:val="0"/>
                <w:numId w:val="3"/>
              </w:numPr>
              <w:tabs>
                <w:tab w:val="clear" w:pos="720"/>
                <w:tab w:val="left" w:pos="567" w:leader="none"/>
              </w:tabs>
              <w:spacing w:lineRule="auto" w:line="240" w:before="60" w:after="60"/>
              <w:jc w:val="both"/>
              <w:rPr/>
            </w:pPr>
            <w:r>
              <w:rPr>
                <w:rFonts w:cs="Arial"/>
                <w:b/>
              </w:rPr>
              <w:t>Special Conditions of Service</w:t>
            </w:r>
            <w:r>
              <w:rPr>
                <w:rFonts w:cs="Arial"/>
              </w:rPr>
              <w:t xml:space="preserve">: </w:t>
            </w:r>
          </w:p>
          <w:p>
            <w:pPr>
              <w:pStyle w:val="Normal"/>
              <w:numPr>
                <w:ilvl w:val="0"/>
                <w:numId w:val="3"/>
              </w:numPr>
              <w:tabs>
                <w:tab w:val="clear" w:pos="720"/>
                <w:tab w:val="left" w:pos="567" w:leader="none"/>
              </w:tabs>
              <w:spacing w:lineRule="auto" w:line="240" w:before="60" w:after="60"/>
              <w:jc w:val="both"/>
              <w:rPr>
                <w:rFonts w:cs="Arial"/>
              </w:rPr>
            </w:pPr>
            <w:r>
              <w:rPr>
                <w:rFonts w:cs="Arial"/>
              </w:rPr>
              <w:t>Extended flexi time scheme in operation</w:t>
            </w:r>
          </w:p>
          <w:p>
            <w:pPr>
              <w:pStyle w:val="Normal"/>
              <w:numPr>
                <w:ilvl w:val="0"/>
                <w:numId w:val="3"/>
              </w:numPr>
              <w:tabs>
                <w:tab w:val="clear" w:pos="720"/>
                <w:tab w:val="left" w:pos="567" w:leader="none"/>
              </w:tabs>
              <w:spacing w:lineRule="auto" w:line="240" w:before="60" w:after="60"/>
              <w:jc w:val="both"/>
              <w:rPr>
                <w:rFonts w:cs="Arial"/>
              </w:rPr>
            </w:pPr>
            <w:r>
              <w:rPr>
                <w:rFonts w:cs="Arial"/>
              </w:rPr>
              <w:t>The nature of this post will require the post holder to work flexibly dependent on the needs of the job.  This can mean outside normal working hours (e.g. to attend meetings), mobile / home working and to ‘hot desk’ as required</w:t>
            </w:r>
          </w:p>
          <w:p>
            <w:pPr>
              <w:pStyle w:val="Normal"/>
              <w:numPr>
                <w:ilvl w:val="0"/>
                <w:numId w:val="3"/>
              </w:numPr>
              <w:tabs>
                <w:tab w:val="clear" w:pos="720"/>
                <w:tab w:val="left" w:pos="567" w:leader="none"/>
              </w:tabs>
              <w:spacing w:lineRule="auto" w:line="240" w:before="60" w:after="60"/>
              <w:jc w:val="both"/>
              <w:rPr>
                <w:rFonts w:cs="Arial"/>
              </w:rPr>
            </w:pPr>
            <w:r>
              <w:rPr>
                <w:rFonts w:cs="Arial"/>
              </w:rPr>
              <w:t>Ability to travel inside and outside the Borough for which expenses will be payable in accordance with the Council’s conditions of service</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numPr>
                <w:ilvl w:val="0"/>
                <w:numId w:val="4"/>
              </w:numPr>
              <w:spacing w:before="120" w:after="120"/>
              <w:rPr>
                <w:rFonts w:cs="Arial"/>
              </w:rPr>
            </w:pPr>
            <w:r>
              <w:rPr>
                <w:rFonts w:cs="Arial"/>
              </w:rPr>
              <w:t>To undertake the role and full range of duties within private sector housing team in relation to Empty Homes and private rented sector including but not limited to; the identification of owners of empty properties, the monitoring of known empty properties, the identification of previously unknown empty properties and returning those empty properties to occupation either through negotiation or enforcement.</w:t>
            </w:r>
          </w:p>
          <w:p>
            <w:pPr>
              <w:pStyle w:val="Normal"/>
              <w:numPr>
                <w:ilvl w:val="0"/>
                <w:numId w:val="4"/>
              </w:numPr>
              <w:spacing w:before="120" w:after="120"/>
              <w:rPr>
                <w:rFonts w:cs="Arial"/>
              </w:rPr>
            </w:pPr>
            <w:r>
              <w:rPr>
                <w:rFonts w:cs="Arial"/>
              </w:rPr>
              <w:t>To lead on collaborative working with partners, Registered Social Landlords and other departments of the Council to establish a co-ordinated approach towards the implementation of the empty homes strategy to bring empty homes back into use.</w:t>
            </w:r>
          </w:p>
          <w:p>
            <w:pPr>
              <w:pStyle w:val="Normal"/>
              <w:numPr>
                <w:ilvl w:val="0"/>
                <w:numId w:val="4"/>
              </w:numPr>
              <w:spacing w:before="120" w:after="120"/>
              <w:rPr>
                <w:rFonts w:cs="Arial"/>
              </w:rPr>
            </w:pPr>
            <w:r>
              <w:rPr>
                <w:rFonts w:cs="Arial"/>
              </w:rPr>
              <w:t>To develop appropriate referral and feedback systems between sections dealing with empty properties.</w:t>
            </w:r>
          </w:p>
          <w:p>
            <w:pPr>
              <w:pStyle w:val="Normal"/>
              <w:numPr>
                <w:ilvl w:val="0"/>
                <w:numId w:val="4"/>
              </w:numPr>
              <w:tabs>
                <w:tab w:val="clear" w:pos="720"/>
                <w:tab w:val="left" w:pos="567" w:leader="none"/>
              </w:tabs>
              <w:spacing w:lineRule="auto" w:line="240" w:before="60" w:after="60"/>
              <w:jc w:val="both"/>
              <w:rPr>
                <w:rFonts w:cs="Arial"/>
              </w:rPr>
            </w:pPr>
            <w:r>
              <w:rPr>
                <w:rFonts w:cs="Arial"/>
              </w:rPr>
              <w:t>To maintain and provide up to date and reliable data, particularly in relation to empty properties across the borough.</w:t>
            </w:r>
          </w:p>
          <w:p>
            <w:pPr>
              <w:pStyle w:val="Normal"/>
              <w:tabs>
                <w:tab w:val="clear" w:pos="720"/>
                <w:tab w:val="left" w:pos="567" w:leader="none"/>
              </w:tabs>
              <w:spacing w:lineRule="auto" w:line="240" w:before="60" w:after="60"/>
              <w:ind w:left="360" w:right="0" w:hanging="0"/>
              <w:jc w:val="both"/>
              <w:rPr>
                <w:rFonts w:cs="Arial"/>
              </w:rPr>
            </w:pPr>
            <w:r>
              <w:rPr>
                <w:rFonts w:cs="Arial"/>
              </w:rPr>
            </w:r>
          </w:p>
          <w:p>
            <w:pPr>
              <w:pStyle w:val="Normal"/>
              <w:numPr>
                <w:ilvl w:val="0"/>
                <w:numId w:val="4"/>
              </w:numPr>
              <w:tabs>
                <w:tab w:val="clear" w:pos="720"/>
                <w:tab w:val="left" w:pos="567" w:leader="none"/>
              </w:tabs>
              <w:spacing w:lineRule="auto" w:line="240" w:before="60" w:after="60"/>
              <w:jc w:val="both"/>
              <w:rPr>
                <w:rFonts w:cs="Arial"/>
              </w:rPr>
            </w:pPr>
            <w:r>
              <w:rPr>
                <w:rFonts w:cs="Arial"/>
              </w:rPr>
              <w:t>To provide research function linked to the post as appropriate.</w:t>
            </w:r>
          </w:p>
          <w:p>
            <w:pPr>
              <w:pStyle w:val="ListParagraph"/>
              <w:spacing w:lineRule="auto" w:line="240" w:before="0" w:after="0"/>
              <w:ind w:left="0" w:right="0" w:hanging="0"/>
              <w:contextualSpacing/>
              <w:rPr>
                <w:rFonts w:cs="Arial"/>
              </w:rPr>
            </w:pPr>
            <w:r>
              <w:rPr>
                <w:rFonts w:cs="Arial"/>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xml:space="preserve">: Service Manager Homeless and Housing Options </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PRS Coordinator</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None</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numPr>
                <w:ilvl w:val="0"/>
                <w:numId w:val="5"/>
              </w:numPr>
              <w:tabs>
                <w:tab w:val="clear" w:pos="720"/>
                <w:tab w:val="left" w:pos="567" w:leader="none"/>
              </w:tabs>
              <w:spacing w:lineRule="auto" w:line="240" w:before="60" w:after="60"/>
              <w:rPr>
                <w:rFonts w:cs="Arial"/>
              </w:rPr>
            </w:pPr>
            <w:r>
              <w:rPr>
                <w:rFonts w:cs="Arial"/>
              </w:rPr>
              <w:t>All staff within the department including where appropriate senior management</w:t>
            </w:r>
          </w:p>
          <w:p>
            <w:pPr>
              <w:pStyle w:val="Normal"/>
              <w:numPr>
                <w:ilvl w:val="0"/>
                <w:numId w:val="5"/>
              </w:numPr>
              <w:tabs>
                <w:tab w:val="clear" w:pos="720"/>
                <w:tab w:val="left" w:pos="567" w:leader="none"/>
              </w:tabs>
              <w:spacing w:lineRule="auto" w:line="240" w:before="60" w:after="60"/>
              <w:rPr>
                <w:rFonts w:cs="Arial"/>
              </w:rPr>
            </w:pPr>
            <w:r>
              <w:rPr>
                <w:rFonts w:cs="Arial"/>
              </w:rPr>
              <w:t>Staff within the wider Adult Care Services Department</w:t>
            </w:r>
          </w:p>
          <w:p>
            <w:pPr>
              <w:pStyle w:val="Normal"/>
              <w:numPr>
                <w:ilvl w:val="0"/>
                <w:numId w:val="5"/>
              </w:numPr>
              <w:tabs>
                <w:tab w:val="clear" w:pos="720"/>
                <w:tab w:val="left" w:pos="567" w:leader="none"/>
              </w:tabs>
              <w:spacing w:lineRule="auto" w:line="240" w:before="60" w:after="60"/>
              <w:rPr>
                <w:rFonts w:cs="Arial"/>
              </w:rPr>
            </w:pPr>
            <w:r>
              <w:rPr>
                <w:rFonts w:cs="Arial"/>
              </w:rPr>
              <w:t>Staff in other departments</w:t>
            </w:r>
          </w:p>
          <w:p>
            <w:pPr>
              <w:pStyle w:val="Normal"/>
              <w:numPr>
                <w:ilvl w:val="0"/>
                <w:numId w:val="5"/>
              </w:numPr>
              <w:tabs>
                <w:tab w:val="clear" w:pos="720"/>
                <w:tab w:val="left" w:pos="567" w:leader="none"/>
              </w:tabs>
              <w:spacing w:lineRule="auto" w:line="240" w:before="60" w:after="60"/>
              <w:rPr>
                <w:rFonts w:cs="Arial"/>
              </w:rPr>
            </w:pPr>
            <w:r>
              <w:rPr>
                <w:rFonts w:cs="Arial"/>
              </w:rPr>
              <w:t>Members of the public</w:t>
            </w:r>
          </w:p>
          <w:p>
            <w:pPr>
              <w:pStyle w:val="Normal"/>
              <w:numPr>
                <w:ilvl w:val="0"/>
                <w:numId w:val="5"/>
              </w:numPr>
              <w:tabs>
                <w:tab w:val="clear" w:pos="720"/>
                <w:tab w:val="left" w:pos="567" w:leader="none"/>
              </w:tabs>
              <w:spacing w:lineRule="auto" w:line="240" w:before="60" w:after="60"/>
              <w:rPr>
                <w:rFonts w:cs="Arial"/>
              </w:rPr>
            </w:pPr>
            <w:r>
              <w:rPr>
                <w:rFonts w:cs="Arial"/>
              </w:rPr>
              <w:t>Elected Members</w:t>
            </w:r>
          </w:p>
          <w:p>
            <w:pPr>
              <w:pStyle w:val="Normal"/>
              <w:numPr>
                <w:ilvl w:val="0"/>
                <w:numId w:val="5"/>
              </w:numPr>
              <w:tabs>
                <w:tab w:val="clear" w:pos="720"/>
                <w:tab w:val="left" w:pos="567" w:leader="none"/>
              </w:tabs>
              <w:spacing w:lineRule="auto" w:line="240" w:before="60" w:after="60"/>
              <w:rPr>
                <w:rFonts w:cs="Arial"/>
              </w:rPr>
            </w:pPr>
            <w:r>
              <w:rPr>
                <w:rFonts w:cs="Arial"/>
              </w:rPr>
              <w:t>Private Landlords and letting/managing agents</w:t>
            </w:r>
          </w:p>
          <w:p>
            <w:pPr>
              <w:pStyle w:val="Normal"/>
              <w:numPr>
                <w:ilvl w:val="0"/>
                <w:numId w:val="5"/>
              </w:numPr>
              <w:tabs>
                <w:tab w:val="clear" w:pos="720"/>
                <w:tab w:val="left" w:pos="567" w:leader="none"/>
              </w:tabs>
              <w:spacing w:lineRule="auto" w:line="240" w:before="60" w:after="60"/>
              <w:rPr>
                <w:rFonts w:cs="Arial"/>
              </w:rPr>
            </w:pPr>
            <w:r>
              <w:rPr>
                <w:rFonts w:cs="Arial"/>
              </w:rPr>
              <w:t>Local and national landlord associations</w:t>
            </w:r>
          </w:p>
          <w:p>
            <w:pPr>
              <w:pStyle w:val="Normal"/>
              <w:numPr>
                <w:ilvl w:val="0"/>
                <w:numId w:val="5"/>
              </w:numPr>
              <w:tabs>
                <w:tab w:val="clear" w:pos="720"/>
                <w:tab w:val="left" w:pos="567" w:leader="none"/>
              </w:tabs>
              <w:spacing w:lineRule="auto" w:line="240" w:before="60" w:after="60"/>
              <w:rPr>
                <w:rFonts w:cs="Arial"/>
              </w:rPr>
            </w:pPr>
            <w:r>
              <w:rPr>
                <w:rFonts w:cs="Arial"/>
              </w:rPr>
              <w:t>Private tenants</w:t>
            </w:r>
          </w:p>
          <w:p>
            <w:pPr>
              <w:pStyle w:val="Normal"/>
              <w:numPr>
                <w:ilvl w:val="0"/>
                <w:numId w:val="5"/>
              </w:numPr>
              <w:tabs>
                <w:tab w:val="clear" w:pos="720"/>
                <w:tab w:val="left" w:pos="567" w:leader="none"/>
              </w:tabs>
              <w:spacing w:lineRule="auto" w:line="240" w:before="60" w:after="60"/>
              <w:rPr>
                <w:rFonts w:cs="Arial"/>
              </w:rPr>
            </w:pPr>
            <w:r>
              <w:rPr>
                <w:rFonts w:cs="Arial"/>
              </w:rPr>
              <w:t>Officers within GMCA authorities, and other local authorities</w:t>
            </w:r>
          </w:p>
          <w:p>
            <w:pPr>
              <w:pStyle w:val="Normal"/>
              <w:numPr>
                <w:ilvl w:val="0"/>
                <w:numId w:val="5"/>
              </w:numPr>
              <w:tabs>
                <w:tab w:val="clear" w:pos="720"/>
                <w:tab w:val="left" w:pos="567" w:leader="none"/>
              </w:tabs>
              <w:spacing w:lineRule="auto" w:line="240" w:before="60" w:after="60"/>
              <w:rPr>
                <w:rFonts w:cs="Arial"/>
              </w:rPr>
            </w:pPr>
            <w:r>
              <w:rPr>
                <w:rFonts w:cs="Arial"/>
              </w:rPr>
              <w:t xml:space="preserve">Fire and Police </w:t>
            </w:r>
          </w:p>
          <w:p>
            <w:pPr>
              <w:pStyle w:val="Normal"/>
              <w:numPr>
                <w:ilvl w:val="0"/>
                <w:numId w:val="5"/>
              </w:numPr>
              <w:tabs>
                <w:tab w:val="clear" w:pos="720"/>
                <w:tab w:val="left" w:pos="567" w:leader="none"/>
              </w:tabs>
              <w:spacing w:lineRule="auto" w:line="240" w:before="60" w:after="60"/>
              <w:rPr>
                <w:rFonts w:cs="Arial"/>
              </w:rPr>
            </w:pPr>
            <w:r>
              <w:rPr>
                <w:rFonts w:cs="Arial"/>
              </w:rPr>
              <w:t>Contractors and commercial suppliers</w:t>
            </w:r>
          </w:p>
          <w:p>
            <w:pPr>
              <w:pStyle w:val="Normal"/>
              <w:numPr>
                <w:ilvl w:val="0"/>
                <w:numId w:val="5"/>
              </w:numPr>
              <w:tabs>
                <w:tab w:val="clear" w:pos="720"/>
                <w:tab w:val="left" w:pos="567" w:leader="none"/>
              </w:tabs>
              <w:spacing w:lineRule="auto" w:line="240" w:before="60" w:after="60"/>
              <w:rPr>
                <w:rFonts w:cs="Arial"/>
              </w:rPr>
            </w:pPr>
            <w:r>
              <w:rPr>
                <w:rFonts w:cs="Arial"/>
              </w:rPr>
              <w:t xml:space="preserve">National bodies </w:t>
            </w:r>
          </w:p>
          <w:p>
            <w:pPr>
              <w:pStyle w:val="Normal"/>
              <w:numPr>
                <w:ilvl w:val="0"/>
                <w:numId w:val="5"/>
              </w:numPr>
              <w:tabs>
                <w:tab w:val="clear" w:pos="720"/>
                <w:tab w:val="left" w:pos="567" w:leader="none"/>
              </w:tabs>
              <w:spacing w:lineRule="auto" w:line="240" w:before="60" w:after="60"/>
              <w:rPr>
                <w:rFonts w:cs="Arial"/>
              </w:rPr>
            </w:pPr>
            <w:r>
              <w:rPr>
                <w:rFonts w:cs="Arial"/>
              </w:rPr>
              <w:t>Voluntary sector organisations</w:t>
            </w:r>
          </w:p>
          <w:p>
            <w:pPr>
              <w:pStyle w:val="Normal"/>
              <w:numPr>
                <w:ilvl w:val="0"/>
                <w:numId w:val="5"/>
              </w:numPr>
              <w:tabs>
                <w:tab w:val="clear" w:pos="720"/>
                <w:tab w:val="left" w:pos="567" w:leader="none"/>
              </w:tabs>
              <w:spacing w:lineRule="auto" w:line="240" w:before="60" w:after="60"/>
              <w:rPr>
                <w:rFonts w:cs="Arial"/>
              </w:rPr>
            </w:pPr>
            <w:r>
              <w:rPr>
                <w:rFonts w:cs="Arial"/>
              </w:rPr>
              <w:t>Six Town Housing and other Registered Social Landlords</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numPr>
                <w:ilvl w:val="0"/>
                <w:numId w:val="6"/>
              </w:numPr>
              <w:spacing w:before="120" w:after="120"/>
              <w:rPr>
                <w:rFonts w:cs="Arial"/>
              </w:rPr>
            </w:pPr>
            <w:r>
              <w:rPr>
                <w:rFonts w:cs="Arial"/>
              </w:rPr>
              <w:t>Effective use of ICT equipment and systems (e.g. APP)</w:t>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rPr>
              <w:t>Duties/Responsibilities</w:t>
            </w:r>
            <w:r>
              <w:rPr>
                <w:rFonts w:cs="Arial"/>
              </w:rPr>
              <w:t xml:space="preserve">: </w:t>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numPr>
                <w:ilvl w:val="0"/>
                <w:numId w:val="8"/>
              </w:numPr>
              <w:spacing w:before="120" w:after="120"/>
              <w:rPr>
                <w:sz w:val="20"/>
                <w:szCs w:val="20"/>
                <w:lang w:val="en-US"/>
              </w:rPr>
            </w:pPr>
            <w:r>
              <w:rPr>
                <w:sz w:val="20"/>
                <w:szCs w:val="20"/>
                <w:lang w:val="en-US"/>
              </w:rPr>
              <w:t>To support and further develop, update, monitor and review the progress of the Empty Homes Strategy, being innovative and solution focused</w:t>
            </w:r>
          </w:p>
          <w:p>
            <w:pPr>
              <w:pStyle w:val="Normal"/>
              <w:numPr>
                <w:ilvl w:val="0"/>
                <w:numId w:val="8"/>
              </w:numPr>
              <w:spacing w:before="120" w:after="120"/>
              <w:rPr>
                <w:sz w:val="20"/>
                <w:szCs w:val="20"/>
              </w:rPr>
            </w:pPr>
            <w:r>
              <w:rPr>
                <w:sz w:val="20"/>
                <w:szCs w:val="20"/>
              </w:rPr>
              <w:t>To support the delivery of the Greater Manchester Empty Homes Programme, implementing and contributing to agreed actions to ensure successful outcomes</w:t>
            </w:r>
          </w:p>
          <w:p>
            <w:pPr>
              <w:pStyle w:val="Normal"/>
              <w:numPr>
                <w:ilvl w:val="0"/>
                <w:numId w:val="8"/>
              </w:numPr>
              <w:spacing w:before="120" w:after="120"/>
              <w:rPr>
                <w:sz w:val="20"/>
                <w:szCs w:val="20"/>
              </w:rPr>
            </w:pPr>
            <w:r>
              <w:rPr>
                <w:sz w:val="20"/>
                <w:szCs w:val="20"/>
              </w:rPr>
              <w:t>To interpret and analyse complex information and data in order to support the development of policies and strategies and to provide advice and recommendations to managers.</w:t>
            </w:r>
          </w:p>
          <w:p>
            <w:pPr>
              <w:pStyle w:val="Normal"/>
              <w:numPr>
                <w:ilvl w:val="0"/>
                <w:numId w:val="8"/>
              </w:numPr>
              <w:spacing w:before="120" w:after="120"/>
              <w:rPr>
                <w:sz w:val="20"/>
                <w:szCs w:val="20"/>
              </w:rPr>
            </w:pPr>
            <w:r>
              <w:rPr>
                <w:sz w:val="20"/>
                <w:szCs w:val="20"/>
              </w:rPr>
              <w:t>To identify, gather and monitor information on empty properties within the borough, supporting the development and maintenance of a robust Empty Property Database</w:t>
            </w:r>
          </w:p>
          <w:p>
            <w:pPr>
              <w:pStyle w:val="Normal"/>
              <w:numPr>
                <w:ilvl w:val="0"/>
                <w:numId w:val="8"/>
              </w:numPr>
              <w:spacing w:before="120" w:after="120"/>
              <w:rPr>
                <w:sz w:val="20"/>
                <w:szCs w:val="20"/>
              </w:rPr>
            </w:pPr>
            <w:r>
              <w:rPr>
                <w:sz w:val="20"/>
                <w:szCs w:val="20"/>
              </w:rPr>
              <w:t>To undertake operational activities within the Private Rented Service, including sourcing, inspecting, viewing and securing private rented properties for long</w:t>
              <w:noBreakHyphen/>
              <w:t>term move</w:t>
              <w:noBreakHyphen/>
              <w:t>on or use as temporary accommodation. To support income maximisation for customers.</w:t>
            </w:r>
          </w:p>
          <w:p>
            <w:pPr>
              <w:pStyle w:val="Normal"/>
              <w:numPr>
                <w:ilvl w:val="0"/>
                <w:numId w:val="8"/>
              </w:numPr>
              <w:spacing w:before="120" w:after="120"/>
              <w:rPr>
                <w:rFonts w:cs="Arial"/>
                <w:sz w:val="20"/>
                <w:szCs w:val="20"/>
              </w:rPr>
            </w:pPr>
            <w:r>
              <w:rPr>
                <w:rFonts w:cs="Arial"/>
                <w:sz w:val="20"/>
                <w:szCs w:val="20"/>
              </w:rPr>
              <w:t>To support the investigation and management of complaints and enquiries concerning empty properties across the borough, ensuring that appropriate enforcement action is taken where required.</w:t>
            </w:r>
          </w:p>
          <w:p>
            <w:pPr>
              <w:pStyle w:val="Normal"/>
              <w:numPr>
                <w:ilvl w:val="0"/>
                <w:numId w:val="8"/>
              </w:numPr>
              <w:spacing w:before="120" w:after="120"/>
              <w:rPr>
                <w:rFonts w:cs="Arial"/>
                <w:sz w:val="20"/>
                <w:szCs w:val="20"/>
              </w:rPr>
            </w:pPr>
            <w:r>
              <w:rPr>
                <w:rFonts w:cs="Arial"/>
                <w:sz w:val="20"/>
                <w:szCs w:val="20"/>
              </w:rPr>
              <w:t>To support the development and implementation of robust systems to ensure the effective delivery of the empty homes offer, including communications, conveyancing and housing management functions, working in strong partnership with delivery organisations.</w:t>
            </w:r>
          </w:p>
          <w:p>
            <w:pPr>
              <w:pStyle w:val="Normal"/>
              <w:numPr>
                <w:ilvl w:val="0"/>
                <w:numId w:val="8"/>
              </w:numPr>
              <w:spacing w:before="120" w:after="120"/>
              <w:rPr>
                <w:rFonts w:cs="Arial"/>
                <w:sz w:val="20"/>
                <w:szCs w:val="20"/>
                <w:lang w:val="en-US"/>
              </w:rPr>
            </w:pPr>
            <w:r>
              <w:rPr>
                <w:rFonts w:cs="Arial"/>
                <w:sz w:val="20"/>
                <w:szCs w:val="20"/>
                <w:lang w:val="en-US"/>
              </w:rPr>
              <w:t>To provide advice, assistance and information to owners of empty properties for bringing them back into use and offer advice and information on housing related issues to tenants, landlords, owner occupiers and members of the public.</w:t>
            </w:r>
          </w:p>
          <w:p>
            <w:pPr>
              <w:pStyle w:val="Normal"/>
              <w:numPr>
                <w:ilvl w:val="0"/>
                <w:numId w:val="8"/>
              </w:numPr>
              <w:spacing w:before="120" w:after="120"/>
              <w:rPr>
                <w:rFonts w:cs="Arial"/>
                <w:sz w:val="20"/>
                <w:szCs w:val="20"/>
              </w:rPr>
            </w:pPr>
            <w:r>
              <w:rPr>
                <w:rFonts w:cs="Arial"/>
                <w:sz w:val="20"/>
                <w:szCs w:val="20"/>
              </w:rPr>
              <w:t>To seek and implement innovative and creative solutions to bring empty properties back into use.</w:t>
            </w:r>
          </w:p>
          <w:p>
            <w:pPr>
              <w:pStyle w:val="Normal"/>
              <w:numPr>
                <w:ilvl w:val="0"/>
                <w:numId w:val="8"/>
              </w:numPr>
              <w:spacing w:before="120" w:after="120"/>
              <w:rPr>
                <w:rFonts w:cs="Arial"/>
                <w:sz w:val="20"/>
                <w:szCs w:val="20"/>
              </w:rPr>
            </w:pPr>
            <w:r>
              <w:rPr>
                <w:rFonts w:cs="Arial"/>
                <w:sz w:val="20"/>
                <w:szCs w:val="20"/>
              </w:rPr>
              <w:t>To liaise with other departments of the Council to establish a co-ordinated approach towards the implementation of the Strategy. Develop appropriate referral and feedback systems between sections dealing with empty properties.</w:t>
            </w:r>
          </w:p>
          <w:p>
            <w:pPr>
              <w:pStyle w:val="Normal"/>
              <w:numPr>
                <w:ilvl w:val="0"/>
                <w:numId w:val="8"/>
              </w:numPr>
              <w:spacing w:before="120" w:after="120"/>
              <w:rPr>
                <w:rFonts w:cs="Arial"/>
                <w:sz w:val="20"/>
                <w:szCs w:val="20"/>
                <w:lang w:val="en-US"/>
              </w:rPr>
            </w:pPr>
            <w:r>
              <w:rPr>
                <w:rFonts w:cs="Arial"/>
                <w:sz w:val="20"/>
                <w:szCs w:val="20"/>
                <w:lang w:val="en-US"/>
              </w:rPr>
              <w:t>To actively identify and submit funding applications to regional and national sources to facilitate the reuse of empty properties.</w:t>
            </w:r>
          </w:p>
          <w:p>
            <w:pPr>
              <w:pStyle w:val="Normal"/>
              <w:numPr>
                <w:ilvl w:val="0"/>
                <w:numId w:val="8"/>
              </w:numPr>
              <w:spacing w:before="120" w:after="120"/>
              <w:rPr>
                <w:sz w:val="20"/>
                <w:szCs w:val="20"/>
              </w:rPr>
            </w:pPr>
            <w:r>
              <w:rPr>
                <w:sz w:val="20"/>
                <w:szCs w:val="20"/>
              </w:rPr>
              <w:t>To support with investigating and responding to enquiries and complaints received by the team, including those from Elected Members, in accordance with Council procedures and ensure that any resultant recommendations are followed up.</w:t>
            </w:r>
          </w:p>
          <w:p>
            <w:pPr>
              <w:pStyle w:val="Normal"/>
              <w:numPr>
                <w:ilvl w:val="0"/>
                <w:numId w:val="8"/>
              </w:numPr>
              <w:spacing w:before="120" w:after="120"/>
              <w:rPr>
                <w:sz w:val="20"/>
                <w:szCs w:val="20"/>
              </w:rPr>
            </w:pPr>
            <w:r>
              <w:rPr>
                <w:sz w:val="20"/>
                <w:szCs w:val="20"/>
              </w:rPr>
              <w:t>To keep up to date with legislation and other developments in related matters and to produce regular updates of implications for the borough.</w:t>
            </w:r>
          </w:p>
          <w:p>
            <w:pPr>
              <w:pStyle w:val="Normal"/>
              <w:numPr>
                <w:ilvl w:val="0"/>
                <w:numId w:val="8"/>
              </w:numPr>
              <w:spacing w:before="120" w:after="120"/>
              <w:rPr>
                <w:rFonts w:cs="Arial"/>
                <w:sz w:val="20"/>
                <w:szCs w:val="20"/>
              </w:rPr>
            </w:pPr>
            <w:r>
              <w:rPr>
                <w:rFonts w:cs="Arial"/>
                <w:sz w:val="20"/>
                <w:szCs w:val="20"/>
              </w:rPr>
              <w:t>To ensure compliance with Data Protection, Freedom of Information and other relevant legislation and regulations, as directed by line manager.</w:t>
            </w:r>
          </w:p>
          <w:p>
            <w:pPr>
              <w:pStyle w:val="Normal"/>
              <w:numPr>
                <w:ilvl w:val="0"/>
                <w:numId w:val="8"/>
              </w:numPr>
              <w:rPr>
                <w:rFonts w:cs="Arial"/>
                <w:sz w:val="20"/>
                <w:szCs w:val="20"/>
              </w:rPr>
            </w:pPr>
            <w:r>
              <w:rPr>
                <w:rFonts w:cs="Arial"/>
                <w:sz w:val="20"/>
                <w:szCs w:val="20"/>
              </w:rPr>
              <w:t>To undertake such other duties commensurate with the grade and/or hours of work, as may reasonably be required at the initial place of work or at any other of the Authority’s establishments.</w:t>
            </w:r>
          </w:p>
          <w:p>
            <w:pPr>
              <w:pStyle w:val="Normal"/>
              <w:spacing w:before="0" w:after="200"/>
              <w:ind w:left="720" w:right="0" w:hanging="0"/>
              <w:rPr>
                <w:rFonts w:cs="Arial"/>
                <w:sz w:val="20"/>
                <w:szCs w:val="20"/>
              </w:rPr>
            </w:pPr>
            <w:r>
              <w:rPr>
                <w:rFonts w:cs="Arial"/>
                <w:sz w:val="20"/>
                <w:szCs w:val="20"/>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567" w:leader="none"/>
              </w:tabs>
              <w:jc w:val="both"/>
              <w:rPr>
                <w:rFonts w:cs="Arial"/>
                <w:b/>
                <w:b/>
              </w:rPr>
            </w:pPr>
            <w:r>
              <w:rPr>
                <w:rFonts w:cs="Arial"/>
                <w:b/>
              </w:rPr>
              <w:t>Health and Safety Responsibilities</w:t>
            </w:r>
          </w:p>
          <w:p>
            <w:pPr>
              <w:pStyle w:val="Title"/>
              <w:numPr>
                <w:ilvl w:val="0"/>
                <w:numId w:val="7"/>
              </w:numPr>
              <w:jc w:val="left"/>
              <w:rPr>
                <w:rFonts w:ascii="Verdana" w:hAnsi="Verdana" w:cs="Verdana"/>
                <w:b w:val="false"/>
                <w:b w:val="false"/>
                <w:sz w:val="22"/>
                <w:szCs w:val="22"/>
              </w:rPr>
            </w:pPr>
            <w:r>
              <w:rPr>
                <w:rFonts w:cs="Verdana" w:ascii="Verdana" w:hAnsi="Verdana"/>
                <w:b w:val="false"/>
                <w:sz w:val="22"/>
                <w:szCs w:val="22"/>
              </w:rPr>
              <w:t xml:space="preserve">To ensure that issues that require action that is beyond your control are reported through line management structures and/or to the Departmental Health and Safety Coordinator </w:t>
            </w:r>
          </w:p>
          <w:p>
            <w:pPr>
              <w:pStyle w:val="Title"/>
              <w:numPr>
                <w:ilvl w:val="0"/>
                <w:numId w:val="7"/>
              </w:numPr>
              <w:jc w:val="both"/>
              <w:rPr>
                <w:rFonts w:ascii="Verdana" w:hAnsi="Verdana" w:cs="Verdana"/>
                <w:b w:val="false"/>
                <w:b w:val="false"/>
                <w:sz w:val="22"/>
                <w:szCs w:val="22"/>
              </w:rPr>
            </w:pPr>
            <w:r>
              <w:rPr>
                <w:rFonts w:cs="Verdana" w:ascii="Verdana" w:hAnsi="Verdana"/>
                <w:b w:val="false"/>
                <w:sz w:val="22"/>
                <w:szCs w:val="22"/>
              </w:rPr>
              <w:t xml:space="preserve">To co-operate and coordinate with relevant internal and external parties on matters of health and safety to ensure that each party is able to appropriately control health and safety risks. </w:t>
            </w:r>
          </w:p>
          <w:p>
            <w:pPr>
              <w:pStyle w:val="Normal"/>
              <w:numPr>
                <w:ilvl w:val="0"/>
                <w:numId w:val="7"/>
              </w:numPr>
              <w:spacing w:lineRule="auto" w:line="240" w:before="0" w:after="0"/>
              <w:jc w:val="both"/>
              <w:rPr>
                <w:rFonts w:cs="Arial"/>
              </w:rPr>
            </w:pPr>
            <w:r>
              <w:rPr>
                <w:rFonts w:cs="Arial"/>
              </w:rPr>
              <w:t>To carry out work in a manner that does not place the health and safety of yourself or others at unnecessary and/or inappropriate levels of risk.</w:t>
            </w:r>
          </w:p>
          <w:p>
            <w:pPr>
              <w:pStyle w:val="Normal"/>
              <w:numPr>
                <w:ilvl w:val="0"/>
                <w:numId w:val="7"/>
              </w:numPr>
              <w:spacing w:lineRule="auto" w:line="240" w:before="0" w:after="0"/>
              <w:jc w:val="both"/>
              <w:rPr>
                <w:rFonts w:cs="Arial"/>
              </w:rPr>
            </w:pPr>
            <w:r>
              <w:rPr>
                <w:rFonts w:cs="Arial"/>
              </w:rPr>
              <w:t xml:space="preserve">To fully co-operate with the Department’s and the Council’s managers in all matters relating to occupational health and safety </w:t>
            </w:r>
          </w:p>
          <w:p>
            <w:pPr>
              <w:pStyle w:val="Normal"/>
              <w:numPr>
                <w:ilvl w:val="0"/>
                <w:numId w:val="7"/>
              </w:numPr>
              <w:spacing w:lineRule="auto" w:line="240" w:before="0" w:after="0"/>
              <w:jc w:val="both"/>
              <w:rPr>
                <w:rFonts w:cs="Arial"/>
              </w:rPr>
            </w:pPr>
            <w:r>
              <w:rPr>
                <w:rFonts w:cs="Arial"/>
              </w:rPr>
              <w:t>To ensure that the Department’s and the Council’s health and safety arrangements are applied.</w:t>
            </w:r>
          </w:p>
          <w:p>
            <w:pPr>
              <w:pStyle w:val="Normal"/>
              <w:numPr>
                <w:ilvl w:val="0"/>
                <w:numId w:val="7"/>
              </w:numPr>
              <w:spacing w:lineRule="auto" w:line="240" w:before="0" w:after="0"/>
              <w:jc w:val="both"/>
              <w:rPr>
                <w:rFonts w:cs="Arial"/>
              </w:rPr>
            </w:pPr>
            <w:r>
              <w:rPr>
                <w:rFonts w:cs="Arial"/>
              </w:rPr>
              <w:t xml:space="preserve">To report any damage to equipment and shortcomings in local arrangements to a supervisor or line manager. </w:t>
            </w:r>
          </w:p>
          <w:p>
            <w:pPr>
              <w:pStyle w:val="Title"/>
              <w:numPr>
                <w:ilvl w:val="0"/>
                <w:numId w:val="7"/>
              </w:numPr>
              <w:jc w:val="both"/>
              <w:rPr>
                <w:rFonts w:ascii="Verdana" w:hAnsi="Verdana" w:cs="Verdana"/>
                <w:b w:val="false"/>
                <w:b w:val="false"/>
                <w:sz w:val="22"/>
                <w:szCs w:val="22"/>
              </w:rPr>
            </w:pPr>
            <w:r>
              <w:rPr>
                <w:rFonts w:cs="Verdana" w:ascii="Verdana" w:hAnsi="Verdana"/>
                <w:b w:val="false"/>
                <w:sz w:val="22"/>
                <w:szCs w:val="22"/>
              </w:rPr>
              <w:t>To ensure that appropriate management or organisational representatives are informed of any apparent cases of serious or imminent danger, situations which present a significant risk to health or safety, and any shortcomings in departmental and/or organisational arrangements.</w:t>
            </w:r>
          </w:p>
          <w:p>
            <w:pPr>
              <w:pStyle w:val="Normal"/>
              <w:spacing w:lineRule="auto" w:line="240" w:before="0" w:after="0"/>
              <w:rPr/>
            </w:pPr>
            <w:r>
              <w:rPr/>
            </w:r>
          </w:p>
          <w:tbl>
            <w:tblPr>
              <w:tblW w:w="5000" w:type="pct"/>
              <w:jc w:val="left"/>
              <w:tblInd w:w="0" w:type="dxa"/>
              <w:tblCellMar>
                <w:top w:w="0" w:type="dxa"/>
                <w:left w:w="108" w:type="dxa"/>
                <w:bottom w:w="0" w:type="dxa"/>
                <w:right w:w="108" w:type="dxa"/>
              </w:tblCellMar>
            </w:tblPr>
            <w:tblGrid>
              <w:gridCol w:w="10250"/>
            </w:tblGrid>
            <w:tr>
              <w:trPr>
                <w:trHeight w:val="240" w:hRule="atLeast"/>
                <w:cantSplit w:val="true"/>
              </w:trPr>
              <w:tc>
                <w:tcPr>
                  <w:tcW w:w="10250" w:type="dxa"/>
                  <w:tcBorders>
                    <w:left w:val="single" w:sz="6" w:space="0" w:color="000000"/>
                    <w:right w:val="single" w:sz="6" w:space="0" w:color="000000"/>
                  </w:tcBorders>
                  <w:shd w:fill="auto" w:val="clear"/>
                </w:tcPr>
                <w:p>
                  <w:pPr>
                    <w:pStyle w:val="Normal"/>
                    <w:numPr>
                      <w:ilvl w:val="0"/>
                      <w:numId w:val="2"/>
                    </w:numPr>
                    <w:spacing w:lineRule="auto" w:line="240" w:before="120" w:after="240"/>
                    <w:rPr>
                      <w:rFonts w:eastAsia="Times New Roman" w:cs="Arial"/>
                      <w:lang w:eastAsia="en-GB"/>
                    </w:rPr>
                  </w:pPr>
                  <w:r>
                    <w:rPr>
                      <w:rFonts w:eastAsia="Times New Roman" w:cs="Arial"/>
                      <w:lang w:eastAsia="en-GB"/>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lineRule="auto" w:line="240" w:before="120" w:after="240"/>
                    <w:rPr>
                      <w:rFonts w:eastAsia="Times New Roman" w:cs="Arial"/>
                      <w:lang w:eastAsia="en-GB"/>
                    </w:rPr>
                  </w:pPr>
                  <w:r>
                    <w:rPr>
                      <w:rFonts w:eastAsia="Times New Roman" w:cs="Arial"/>
                      <w:lang w:eastAsia="en-GB"/>
                    </w:rPr>
                    <w:t>Bury Council is committed to equality, diversity and inclusion, and expects all staff to comply with its equality related policies/procedures, and to treat others with fairness and respect.</w:t>
                  </w:r>
                </w:p>
                <w:p>
                  <w:pPr>
                    <w:pStyle w:val="Normal"/>
                    <w:numPr>
                      <w:ilvl w:val="0"/>
                      <w:numId w:val="2"/>
                    </w:numPr>
                    <w:spacing w:lineRule="auto" w:line="240" w:before="120" w:after="240"/>
                    <w:rPr/>
                  </w:pPr>
                  <w:r>
                    <w:rPr>
                      <w:rFonts w:eastAsia="Times New Roman" w:cs="Arial"/>
                      <w:lang w:eastAsia="en-GB"/>
                    </w:rPr>
                    <w:t>The post holder is responsible for Employees Duties as specified with the Corporate and Departmental Health and Safety Policies.</w:t>
                  </w:r>
                  <w:r>
                    <w:rPr>
                      <w:rFonts w:eastAsia="Times New Roman" w:cs="Times New Roman"/>
                      <w:b/>
                      <w:bCs/>
                      <w:lang w:eastAsia="en-GB"/>
                    </w:rPr>
                    <w:t xml:space="preserve"> </w:t>
                  </w:r>
                </w:p>
                <w:p>
                  <w:pPr>
                    <w:pStyle w:val="Normal"/>
                    <w:numPr>
                      <w:ilvl w:val="0"/>
                      <w:numId w:val="2"/>
                    </w:numPr>
                    <w:spacing w:lineRule="auto" w:line="240" w:before="120" w:after="240"/>
                    <w:rPr/>
                  </w:pPr>
                  <w:r>
                    <w:rPr>
                      <w:rFonts w:eastAsia="Times New Roman" w:cs="Times New Roman"/>
                      <w:bCs/>
                      <w:lang w:eastAsia="en-GB"/>
                    </w:rPr>
                    <w:t>Health and Wellbeing</w:t>
                  </w:r>
                  <w:r>
                    <w:rPr>
                      <w:rFonts w:eastAsia="Times New Roman" w:cs="Times New Roman"/>
                      <w:lang w:eastAsia="en-GB"/>
                    </w:rPr>
                    <w:t xml:space="preserve"> -As an employee of Bury Council you should contribute to a culture that values and supports the physical and emotional wellbeing of your colleagues</w:t>
                  </w:r>
                </w:p>
              </w:tc>
            </w:tr>
            <w:tr>
              <w:trPr>
                <w:trHeight w:val="240" w:hRule="atLeast"/>
                <w:cantSplit w:val="true"/>
              </w:trPr>
              <w:tc>
                <w:tcPr>
                  <w:tcW w:w="10250" w:type="dxa"/>
                  <w:tcBorders>
                    <w:left w:val="single" w:sz="6" w:space="0" w:color="000000"/>
                    <w:bottom w:val="double" w:sz="6" w:space="0" w:color="000000"/>
                    <w:right w:val="single" w:sz="6" w:space="0" w:color="000000"/>
                  </w:tcBorders>
                  <w:shd w:fill="auto" w:val="clear"/>
                </w:tcPr>
                <w:p>
                  <w:pPr>
                    <w:pStyle w:val="Normal"/>
                    <w:spacing w:lineRule="auto" w:line="240" w:before="120" w:after="240"/>
                    <w:rPr>
                      <w:rFonts w:eastAsia="Times New Roman" w:cs="Arial"/>
                      <w:lang w:eastAsia="en-GB"/>
                    </w:rPr>
                  </w:pPr>
                  <w:r>
                    <w:rPr>
                      <w:rFonts w:eastAsia="Times New Roman" w:cs="Arial"/>
                      <w:lang w:eastAsia="en-GB"/>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pPr>
              <w:pStyle w:val="Normal"/>
              <w:spacing w:lineRule="auto" w:line="240" w:before="0" w:after="0"/>
              <w:rPr/>
            </w:pPr>
            <w:r>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567" w:leader="none"/>
              </w:tabs>
              <w:snapToGrid w:val="false"/>
              <w:spacing w:before="0" w:after="200"/>
              <w:jc w:val="both"/>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567" w:leader="none"/>
              </w:tabs>
              <w:snapToGrid w:val="false"/>
              <w:spacing w:before="0" w:after="200"/>
              <w:jc w:val="both"/>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4545" w:leader="none"/>
              </w:tabs>
              <w:snapToGrid w:val="false"/>
              <w:spacing w:before="0" w:after="200"/>
              <w:jc w:val="both"/>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0"/>
              <w:ind w:left="612" w:right="0" w:hanging="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1415" w:leader="none"/>
              </w:tabs>
              <w:snapToGrid w:val="false"/>
              <w:spacing w:before="0" w:after="200"/>
              <w:jc w:val="both"/>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4508" w:leader="none"/>
              </w:tabs>
              <w:snapToGrid w:val="false"/>
              <w:spacing w:before="0" w:after="200"/>
              <w:jc w:val="both"/>
              <w:rPr>
                <w:rFonts w:cs="Arial"/>
              </w:rPr>
            </w:pPr>
            <w:r>
              <w:rPr>
                <w:rFonts w:cs="Arial"/>
              </w:rPr>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napToGrid w:val="false"/>
              <w:spacing w:lineRule="auto" w:line="240" w:before="0" w:after="0"/>
              <w:rPr>
                <w:rFonts w:cs="Arial"/>
              </w:rPr>
            </w:pPr>
            <w:r>
              <w:rPr>
                <w:rFonts w:cs="Arial"/>
              </w:rPr>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tabs>
                <w:tab w:val="clear" w:pos="720"/>
                <w:tab w:val="left" w:pos="567" w:leader="none"/>
              </w:tabs>
              <w:snapToGrid w:val="false"/>
              <w:spacing w:before="0" w:after="200"/>
              <w:jc w:val="both"/>
              <w:rPr>
                <w:rFonts w:cs="Arial"/>
              </w:rPr>
            </w:pPr>
            <w:r>
              <w:rPr>
                <w:rFonts w:cs="Arial"/>
              </w:rPr>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napToGrid w:val="false"/>
              <w:spacing w:lineRule="auto" w:line="240" w:before="0" w:after="0"/>
              <w:ind w:left="612" w:right="0" w:hanging="0"/>
              <w:rPr/>
            </w:pPr>
            <w:r>
              <w:rPr/>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pPr>
      <w:r>
        <w:rPr/>
      </w:r>
    </w:p>
    <w:p>
      <w:pPr>
        <w:pStyle w:val="Normal"/>
        <w:rPr/>
      </w:pPr>
      <w:r>
        <w:rPr/>
      </w:r>
      <w:r>
        <w:br w:type="page"/>
      </w:r>
    </w:p>
    <w:p>
      <w:pPr>
        <w:pStyle w:val="Normal"/>
        <w:ind w:left="7200" w:right="0" w:firstLine="720"/>
        <w:rPr>
          <w:b/>
          <w:b/>
        </w:rPr>
      </w:pPr>
      <w:r>
        <w:rPr/>
        <w:drawing>
          <wp:inline distT="0" distB="0" distL="0" distR="0">
            <wp:extent cx="1485265" cy="6089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8965"/>
                    </a:xfrm>
                    <a:prstGeom prst="rect">
                      <a:avLst/>
                    </a:prstGeom>
                  </pic:spPr>
                </pic:pic>
              </a:graphicData>
            </a:graphic>
          </wp:inline>
        </w:drawing>
      </w:r>
    </w:p>
    <w:p>
      <w:pPr>
        <w:pStyle w:val="Normal"/>
        <w:jc w:val="center"/>
        <w:rPr>
          <w:b/>
          <w:b/>
        </w:rPr>
      </w:pPr>
      <w:r>
        <w:rPr>
          <w:b/>
        </w:rPr>
        <w:t>DEPARTMENT FOR OPERATIONS</w:t>
      </w:r>
    </w:p>
    <w:p>
      <w:pPr>
        <w:pStyle w:val="Normal"/>
        <w:jc w:val="center"/>
        <w:rPr>
          <w:b/>
          <w:b/>
        </w:rPr>
      </w:pPr>
      <w:r>
        <w:rPr>
          <w:b/>
        </w:rPr>
        <w:t>JOB TITLE: EMPTY HOMES OFFICER</w:t>
      </w:r>
    </w:p>
    <w:tbl>
      <w:tblPr>
        <w:tblW w:w="10467" w:type="dxa"/>
        <w:jc w:val="left"/>
        <w:tblInd w:w="0" w:type="dxa"/>
        <w:tblCellMar>
          <w:top w:w="0" w:type="dxa"/>
          <w:left w:w="108" w:type="dxa"/>
          <w:bottom w:w="0" w:type="dxa"/>
          <w:right w:w="108" w:type="dxa"/>
        </w:tblCellMar>
      </w:tblPr>
      <w:tblGrid>
        <w:gridCol w:w="4679"/>
        <w:gridCol w:w="562"/>
        <w:gridCol w:w="4655"/>
        <w:gridCol w:w="561"/>
        <w:gridCol w:w="10"/>
      </w:tblGrid>
      <w:tr>
        <w:trPr>
          <w:trHeight w:val="454" w:hRule="atLeast"/>
        </w:trPr>
        <w:tc>
          <w:tcPr>
            <w:tcW w:w="1046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b/>
              </w:rPr>
              <w:t xml:space="preserve">CORE BEHAVIOURS FOR THE POST </w:t>
            </w:r>
            <w:r>
              <w:rPr>
                <w:b/>
                <w:sz w:val="16"/>
              </w:rPr>
              <w:t>(Please tick those relevant)</w:t>
            </w:r>
          </w:p>
        </w:tc>
      </w:tr>
      <w:tr>
        <w:trPr>
          <w:trHeight w:val="567" w:hRule="atLeast"/>
        </w:trPr>
        <w:tc>
          <w:tcPr>
            <w:tcW w:w="467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Commercial Thinking &amp; Analysis</w:t>
            </w:r>
          </w:p>
        </w:tc>
        <w:tc>
          <w:tcPr>
            <w:tcW w:w="5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c>
          <w:tcPr>
            <w:tcW w:w="465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Planning</w:t>
            </w:r>
          </w:p>
        </w:tc>
        <w:tc>
          <w:tcPr>
            <w:tcW w:w="5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r>
      <w:tr>
        <w:trPr>
          <w:trHeight w:val="567" w:hRule="atLeast"/>
        </w:trPr>
        <w:tc>
          <w:tcPr>
            <w:tcW w:w="467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Customer Service</w:t>
            </w:r>
          </w:p>
        </w:tc>
        <w:tc>
          <w:tcPr>
            <w:tcW w:w="5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c>
          <w:tcPr>
            <w:tcW w:w="465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Developing Self &amp; Others</w:t>
            </w:r>
          </w:p>
        </w:tc>
        <w:tc>
          <w:tcPr>
            <w:tcW w:w="5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r>
      <w:tr>
        <w:trPr>
          <w:trHeight w:val="567" w:hRule="atLeast"/>
        </w:trPr>
        <w:tc>
          <w:tcPr>
            <w:tcW w:w="467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Delivering Results</w:t>
            </w:r>
          </w:p>
        </w:tc>
        <w:tc>
          <w:tcPr>
            <w:tcW w:w="5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c>
          <w:tcPr>
            <w:tcW w:w="465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Teams, Networking &amp; Partnerships</w:t>
            </w:r>
          </w:p>
        </w:tc>
        <w:tc>
          <w:tcPr>
            <w:tcW w:w="5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r>
      <w:tr>
        <w:trPr>
          <w:trHeight w:val="567" w:hRule="atLeast"/>
        </w:trPr>
        <w:tc>
          <w:tcPr>
            <w:tcW w:w="467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Values, Ethics &amp; Diversity</w:t>
            </w:r>
          </w:p>
        </w:tc>
        <w:tc>
          <w:tcPr>
            <w:tcW w:w="5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c>
          <w:tcPr>
            <w:tcW w:w="465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Adapting to Change</w:t>
            </w:r>
          </w:p>
        </w:tc>
        <w:tc>
          <w:tcPr>
            <w:tcW w:w="5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r>
      <w:tr>
        <w:trPr>
          <w:trHeight w:val="567" w:hRule="atLeast"/>
        </w:trPr>
        <w:tc>
          <w:tcPr>
            <w:tcW w:w="467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Delivering a Quality Service(Continuous Improvement)</w:t>
            </w:r>
          </w:p>
        </w:tc>
        <w:tc>
          <w:tcPr>
            <w:tcW w:w="5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w:hAnsi="Wingdings" w:eastAsia="Wingdings" w:cs="Wingdings"/>
                <w:b/>
                <w:b/>
              </w:rPr>
            </w:pPr>
            <w:r>
              <w:rPr>
                <w:rFonts w:eastAsia="Wingdings" w:cs="Wingdings" w:ascii="Wingdings" w:hAnsi="Wingdings"/>
                <w:b/>
              </w:rPr>
              <w:t></w:t>
            </w:r>
          </w:p>
        </w:tc>
        <w:tc>
          <w:tcPr>
            <w:tcW w:w="4655" w:type="dxa"/>
            <w:tcBorders>
              <w:top w:val="single" w:sz="4" w:space="0" w:color="000000"/>
              <w:left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c>
          <w:tcPr>
            <w:tcW w:w="561" w:type="dxa"/>
            <w:tcBorders>
              <w:top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r>
    </w:tbl>
    <w:p>
      <w:pPr>
        <w:pStyle w:val="Normal"/>
        <w:rPr>
          <w:sz w:val="6"/>
        </w:rPr>
      </w:pPr>
      <w:r>
        <w:rPr>
          <w:sz w:val="6"/>
        </w:rPr>
      </w:r>
    </w:p>
    <w:tbl>
      <w:tblPr>
        <w:tblW w:w="9838" w:type="dxa"/>
        <w:jc w:val="left"/>
        <w:tblInd w:w="0" w:type="dxa"/>
        <w:tblCellMar>
          <w:top w:w="0" w:type="dxa"/>
          <w:left w:w="108" w:type="dxa"/>
          <w:bottom w:w="0" w:type="dxa"/>
          <w:right w:w="108" w:type="dxa"/>
        </w:tblCellMar>
      </w:tblPr>
      <w:tblGrid>
        <w:gridCol w:w="6587"/>
        <w:gridCol w:w="1621"/>
        <w:gridCol w:w="1630"/>
      </w:tblGrid>
      <w:tr>
        <w:trPr/>
        <w:tc>
          <w:tcPr>
            <w:tcW w:w="6587" w:type="dxa"/>
            <w:tcBorders>
              <w:top w:val="single" w:sz="4" w:space="0" w:color="000000"/>
              <w:left w:val="single" w:sz="4" w:space="0" w:color="000000"/>
            </w:tcBorders>
            <w:shd w:fill="auto" w:val="clear"/>
          </w:tcPr>
          <w:p>
            <w:pPr>
              <w:pStyle w:val="Normal"/>
              <w:tabs>
                <w:tab w:val="clear" w:pos="720"/>
                <w:tab w:val="left" w:pos="567" w:leader="none"/>
              </w:tabs>
              <w:spacing w:before="60" w:after="60"/>
              <w:rPr/>
            </w:pPr>
            <w:r>
              <w:rPr/>
              <w:t>SHORT LISTING CRITERIA</w:t>
            </w:r>
          </w:p>
        </w:tc>
        <w:tc>
          <w:tcPr>
            <w:tcW w:w="1621" w:type="dxa"/>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60" w:after="60"/>
              <w:jc w:val="center"/>
              <w:rPr/>
            </w:pPr>
            <w:r>
              <w:rPr/>
              <w:t>ESSENTIAL</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60" w:after="60"/>
              <w:jc w:val="center"/>
              <w:rPr/>
            </w:pPr>
            <w:r>
              <w:rPr/>
              <w:t>DESIRABLE</w:t>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A relevant professional housing qualification or equivalent</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Full UK driving license and access to a vehicle</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pPr>
            <w:r>
              <w:rPr/>
              <w:t xml:space="preserve">Experience of private sector housing matters including the technical inspection of houses </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pPr>
            <w:r>
              <w:rPr/>
              <w:t>Knowledge of issues of enforcement and preparation and service of statutory notices</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napToGrid w:val="false"/>
              <w:spacing w:before="60" w:after="60"/>
              <w:jc w:val="center"/>
              <w:rPr>
                <w:b/>
                <w:b/>
                <w:strike/>
              </w:rPr>
            </w:pPr>
            <w:r>
              <w:rPr>
                <w:b/>
                <w:strike/>
              </w:rPr>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pPr>
            <w:r>
              <w:rPr/>
              <w:t>Knowledge of legislation changes in the Private Rented Sector</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Knowledge of Universal Credit, Local Housing Allowances and other incomes</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Experience and knowledge of housing strategy development</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Ability to work with people and/or external organisations to gather information (eg data sharing, consultation)</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w:hAnsi="Wingdings" w:eastAsia="Wingdings" w:cs="Wingdings"/>
                <w:b/>
                <w:b/>
              </w:rPr>
            </w:pPr>
            <w:r>
              <w:rPr>
                <w:rFonts w:eastAsia="Wingdings" w:cs="Wingdings" w:ascii="Wingdings" w:hAnsi="Wingdings"/>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 xml:space="preserve">Ability to work in partnership to achieve common objectives </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w:hAnsi="Wingdings" w:eastAsia="Wingdings" w:cs="Wingdings"/>
                <w:b/>
                <w:b/>
              </w:rPr>
            </w:pPr>
            <w:r>
              <w:rPr>
                <w:rFonts w:eastAsia="Wingdings" w:cs="Wingdings" w:ascii="Wingdings" w:hAnsi="Wingdings"/>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pPr>
            <w:r>
              <w:rPr/>
              <w:t>Ability to interpret and apply legal and policy demands to improve services</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pPr>
            <w:r>
              <w:rPr/>
              <w:t>Work proactively to adapt policies</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Experience of working to deadlines/short timescales</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w:hAnsi="Wingdings" w:eastAsia="Wingdings" w:cs="Wingdings"/>
                <w:b/>
                <w:b/>
              </w:rPr>
            </w:pPr>
            <w:r>
              <w:rPr>
                <w:rFonts w:eastAsia="Wingdings" w:cs="Wingdings" w:ascii="Wingdings" w:hAnsi="Wingdings"/>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Proven ability to analyse complex information, interpret key messages and translate the findings in to workable solutions.</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w:hAnsi="Wingdings" w:eastAsia="Wingdings" w:cs="Wingdings"/>
                <w:b/>
                <w:b/>
              </w:rPr>
            </w:pPr>
            <w:r>
              <w:rPr>
                <w:rFonts w:eastAsia="Wingdings" w:cs="Wingdings" w:ascii="Wingdings" w:hAnsi="Wingdings"/>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rPr>
                <w:rFonts w:cs="Arial"/>
              </w:rPr>
            </w:pPr>
            <w:r>
              <w:rPr>
                <w:rFonts w:cs="Arial"/>
              </w:rPr>
              <w:t>Knowledge and experience of using relevant IT packages, e.g. Microsoft Office</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w:hAnsi="Wingdings" w:eastAsia="Wingdings" w:cs="Wingdings"/>
                <w:b/>
                <w:b/>
              </w:rPr>
            </w:pPr>
            <w:r>
              <w:rPr>
                <w:rFonts w:eastAsia="Wingdings" w:cs="Wingdings" w:ascii="Wingdings" w:hAnsi="Wingdings"/>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567" w:leader="none"/>
              </w:tabs>
              <w:spacing w:before="60" w:after="60"/>
              <w:rPr>
                <w:rFonts w:ascii="Verdana" w:hAnsi="Verdana" w:cs="Verdana"/>
                <w:sz w:val="22"/>
                <w:szCs w:val="22"/>
              </w:rPr>
            </w:pPr>
            <w:r>
              <w:rPr>
                <w:rFonts w:cs="Verdana" w:ascii="Verdana" w:hAnsi="Verdana"/>
                <w:sz w:val="22"/>
                <w:szCs w:val="22"/>
              </w:rPr>
              <w:t>Team working</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567" w:leader="none"/>
              </w:tabs>
              <w:spacing w:before="60" w:after="60"/>
              <w:rPr>
                <w:rFonts w:ascii="Verdana" w:hAnsi="Verdana" w:cs="Verdana"/>
                <w:sz w:val="22"/>
                <w:szCs w:val="22"/>
              </w:rPr>
            </w:pPr>
            <w:r>
              <w:rPr>
                <w:rFonts w:cs="Verdana" w:ascii="Verdana" w:hAnsi="Verdana"/>
                <w:sz w:val="22"/>
                <w:szCs w:val="22"/>
              </w:rPr>
              <w:t>Excellent communication skills, including negotiating skills and diplomacy</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2" w:hAnsi="Wingdings 2" w:eastAsia="Wingdings 2" w:cs="Wingdings 2"/>
                <w:b/>
                <w:b/>
              </w:rPr>
            </w:pPr>
            <w:r>
              <w:rPr>
                <w:rFonts w:eastAsia="Wingdings 2" w:cs="Wingdings 2" w:ascii="Wingdings 2" w:hAnsi="Wingdings 2"/>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567" w:leader="none"/>
              </w:tabs>
              <w:spacing w:before="60" w:after="60"/>
              <w:rPr>
                <w:rFonts w:ascii="Verdana" w:hAnsi="Verdana" w:cs="Verdana"/>
                <w:sz w:val="22"/>
                <w:szCs w:val="22"/>
              </w:rPr>
            </w:pPr>
            <w:r>
              <w:rPr>
                <w:rFonts w:cs="Verdana" w:ascii="Verdana" w:hAnsi="Verdana"/>
                <w:sz w:val="22"/>
                <w:szCs w:val="22"/>
              </w:rPr>
              <w:t>Awareness and understanding of the contemporary issues, policy/legislative framework and other initiatives affecting housing</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60" w:after="60"/>
              <w:jc w:val="center"/>
              <w:rPr>
                <w:rFonts w:ascii="Wingdings" w:hAnsi="Wingdings" w:eastAsia="Wingdings" w:cs="Wingdings"/>
                <w:b/>
                <w:b/>
              </w:rPr>
            </w:pPr>
            <w:r>
              <w:rPr>
                <w:rFonts w:eastAsia="Wingdings" w:cs="Wingdings" w:ascii="Wingdings" w:hAnsi="Wingdings"/>
                <w:b/>
              </w:rPr>
              <w:t></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r>
        <w:trPr/>
        <w:tc>
          <w:tcPr>
            <w:tcW w:w="6587"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567" w:leader="none"/>
              </w:tabs>
              <w:spacing w:before="60" w:after="60"/>
              <w:rPr>
                <w:rFonts w:ascii="Verdana" w:hAnsi="Verdana" w:cs="Verdana"/>
                <w:sz w:val="22"/>
                <w:szCs w:val="22"/>
              </w:rPr>
            </w:pPr>
            <w:r>
              <w:rPr>
                <w:rFonts w:cs="Verdana" w:ascii="Verdana" w:hAnsi="Verdana"/>
                <w:sz w:val="22"/>
                <w:szCs w:val="22"/>
              </w:rPr>
              <w:t>Willing to work towards continuous professional development</w:t>
            </w:r>
          </w:p>
        </w:tc>
        <w:tc>
          <w:tcPr>
            <w:tcW w:w="16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snapToGrid w:val="false"/>
              <w:spacing w:before="60" w:after="60"/>
              <w:jc w:val="center"/>
              <w:rPr>
                <w:b/>
                <w:b/>
              </w:rPr>
            </w:pPr>
            <w:r>
              <w:rPr>
                <w:b/>
              </w:rPr>
            </w:r>
          </w:p>
        </w:tc>
      </w:tr>
    </w:tbl>
    <w:p>
      <w:pPr>
        <w:pStyle w:val="Normal"/>
        <w:rPr/>
      </w:pPr>
      <w:r>
        <w:rPr/>
      </w:r>
    </w:p>
    <w:p>
      <w:pPr>
        <w:pStyle w:val="Normal"/>
        <w:rPr/>
      </w:pPr>
      <w:r>
        <w:rPr/>
      </w:r>
    </w:p>
    <w:p>
      <w:pPr>
        <w:pStyle w:val="Normal"/>
        <w:rPr/>
      </w:pPr>
      <w:r>
        <w:rPr/>
      </w:r>
    </w:p>
    <w:p>
      <w:pPr>
        <w:pStyle w:val="Normal"/>
        <w:jc w:val="center"/>
        <w:rPr>
          <w:rFonts w:cs="Arial"/>
          <w:b/>
          <w:b/>
        </w:rPr>
      </w:pPr>
      <w:r>
        <w:rPr>
          <w:rFonts w:cs="Arial"/>
          <w:b/>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b/>
                <w:b/>
              </w:rPr>
            </w:pPr>
            <w:r>
              <w:rPr>
                <w:b/>
              </w:rPr>
              <w:t xml:space="preserve">Interview </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b/>
                <w:b/>
              </w:rPr>
            </w:pPr>
            <w:r>
              <w:rPr>
                <w:b/>
              </w:rPr>
              <w:t xml:space="preserve">Questions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20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20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20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17" w:right="0" w:hanging="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2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2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2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20"/>
              <w:rPr>
                <w:b/>
                <w:b/>
              </w:rPr>
            </w:pPr>
            <w:r>
              <w:rPr>
                <w:b/>
              </w:rPr>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2"/>
    <w:family w:val="roman"/>
    <w:pitch w:val="variable"/>
  </w:font>
  <w:font w:name="Wingdings 2">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lang w:eastAsia="en-GB"/>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lang w:eastAsia="en-GB"/>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lang w:eastAsia="en-GB"/>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5"/>
      <w:numFmt w:val="bullet"/>
      <w:lvlText w:val="-"/>
      <w:lvlJc w:val="left"/>
      <w:pPr>
        <w:tabs>
          <w:tab w:val="num" w:pos="1080"/>
        </w:tabs>
        <w:ind w:left="1080" w:hanging="360"/>
      </w:pPr>
      <w:rPr>
        <w:rFonts w:ascii="Times New Roman" w:hAnsi="Times New Roman" w:cs="Times New Roman" w:hint="default"/>
        <w:rFonts w:cs="Times New Roman"/>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eastAsia="Times New Roman" w:cs="Symbol"/>
      <w:lang w:eastAsia="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Times New Roman" w:hAnsi="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TitleChar">
    <w:name w:val="Title Char"/>
    <w:qFormat/>
    <w:rPr>
      <w:rFonts w:ascii="Times New Roman" w:hAnsi="Times New Roman" w:eastAsia="Times New Roman" w:cs="Times New Roman"/>
      <w:b/>
      <w:sz w:val="2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Title">
    <w:name w:val="Title"/>
    <w:basedOn w:val="Normal"/>
    <w:next w:val="TextBody"/>
    <w:qFormat/>
    <w:pPr>
      <w:spacing w:lineRule="auto" w:line="240" w:before="0" w:after="0"/>
      <w:jc w:val="center"/>
    </w:pPr>
    <w:rPr>
      <w:rFonts w:ascii="Times New Roman" w:hAnsi="Times New Roman" w:eastAsia="Times New Roman" w:cs="Times New Roman"/>
      <w:b/>
      <w:sz w:val="26"/>
      <w:szCs w:val="20"/>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LibreOffice/6.3.4.2$Windows_X86_64 LibreOffice_project/60da17e045e08f1793c57c00ba83cdfce946d0aa</Application>
  <Company>Bury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2026-07-16T11:28:00Z</dcterms:created>
  <dc:creator>a.c.bailey</dc:creator>
  <dc:description/>
  <dc:language>en-US</dc:language>
  <cp:lastModifiedBy>Gabriel, Andrew</cp:lastModifiedBy>
  <cp:lastPrinted>1995-11-21T17:41:00Z</cp:lastPrinted>
  <dcterms:modified xsi:type="dcterms:W3CDTF">2026-07-16T11:29:00Z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