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18" w:left="7920" w:right="0"/>
        <w:rPr>
          <w:b/>
        </w:rPr>
      </w:pPr>
      <w:r>
        <w:rPr/>
        <w:drawing>
          <wp:inline distT="0" distB="0" distL="0" distR="0">
            <wp:extent cx="1472565" cy="608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4" t="-59" r="-24" b="-59"/>
                    <a:stretch>
                      <a:fillRect/>
                    </a:stretch>
                  </pic:blipFill>
                  <pic:spPr bwMode="auto">
                    <a:xfrm>
                      <a:off x="0" y="0"/>
                      <a:ext cx="1472565" cy="608965"/>
                    </a:xfrm>
                    <a:prstGeom prst="rect">
                      <a:avLst/>
                    </a:prstGeom>
                  </pic:spPr>
                </pic:pic>
              </a:graphicData>
            </a:graphic>
          </wp:inline>
        </w:drawing>
      </w:r>
    </w:p>
    <w:p>
      <w:pPr>
        <w:pStyle w:val="Normal"/>
        <w:jc w:val="center"/>
        <w:rPr>
          <w:b/>
        </w:rPr>
      </w:pPr>
      <w:r>
        <w:rPr>
          <w:b/>
        </w:rPr>
        <w:t>JOB DESCRIPTION</w:t>
      </w:r>
    </w:p>
    <w:p>
      <w:pPr>
        <w:pStyle w:val="Normal"/>
        <w:jc w:val="center"/>
        <w:rPr>
          <w:b/>
        </w:rPr>
      </w:pPr>
      <w:r>
        <w:rPr>
          <w:b/>
        </w:rPr>
      </w:r>
    </w:p>
    <w:tbl>
      <w:tblPr>
        <w:tblW w:w="5000" w:type="pct"/>
        <w:jc w:val="left"/>
        <w:tblInd w:w="108" w:type="dxa"/>
        <w:tblLayout w:type="fixed"/>
        <w:tblCellMar>
          <w:top w:w="0" w:type="dxa"/>
          <w:left w:w="108" w:type="dxa"/>
          <w:bottom w:w="0" w:type="dxa"/>
          <w:right w:w="108" w:type="dxa"/>
        </w:tblCellMar>
      </w:tblPr>
      <w:tblGrid>
        <w:gridCol w:w="4454"/>
        <w:gridCol w:w="747"/>
        <w:gridCol w:w="2692"/>
        <w:gridCol w:w="2573"/>
      </w:tblGrid>
      <w:tr>
        <w:trPr>
          <w:trHeight w:val="720" w:hRule="atLeast"/>
          <w:cantSplit w:val="true"/>
        </w:trPr>
        <w:tc>
          <w:tcPr>
            <w:tcW w:w="10466" w:type="dxa"/>
            <w:gridSpan w:val="4"/>
            <w:tcBorders>
              <w:top w:val="single" w:sz="6" w:space="0" w:color="000000"/>
              <w:left w:val="single" w:sz="6" w:space="0" w:color="000000"/>
              <w:bottom w:val="double" w:sz="6" w:space="0" w:color="000000"/>
              <w:right w:val="single" w:sz="6" w:space="0" w:color="000000"/>
            </w:tcBorders>
          </w:tcPr>
          <w:p>
            <w:pPr>
              <w:pStyle w:val="Normal"/>
              <w:spacing w:before="120" w:after="240"/>
              <w:rPr/>
            </w:pPr>
            <w:r>
              <w:rPr>
                <w:rFonts w:cs="Arial"/>
                <w:b/>
              </w:rPr>
              <w:t>Post Title</w:t>
            </w:r>
            <w:r>
              <w:rPr>
                <w:rFonts w:cs="Arial"/>
              </w:rPr>
              <w:t xml:space="preserve">: </w:t>
            </w:r>
            <w:r>
              <w:rPr>
                <w:rFonts w:cs="Arial" w:ascii="Arial" w:hAnsi="Arial"/>
                <w:color w:val="000000"/>
                <w:sz w:val="24"/>
                <w:szCs w:val="24"/>
              </w:rPr>
              <w:t xml:space="preserve">SW Practice Development Officer </w:t>
            </w:r>
          </w:p>
        </w:tc>
      </w:tr>
      <w:tr>
        <w:trPr>
          <w:cantSplit w:val="true"/>
        </w:trPr>
        <w:tc>
          <w:tcPr>
            <w:tcW w:w="5201" w:type="dxa"/>
            <w:gridSpan w:val="2"/>
            <w:tcBorders>
              <w:top w:val="double" w:sz="6" w:space="0" w:color="000000"/>
              <w:left w:val="single" w:sz="6" w:space="0" w:color="000000"/>
              <w:bottom w:val="double" w:sz="6" w:space="0" w:color="000000"/>
              <w:right w:val="single" w:sz="6" w:space="0" w:color="000000"/>
            </w:tcBorders>
          </w:tcPr>
          <w:p>
            <w:pPr>
              <w:pStyle w:val="Normal"/>
              <w:spacing w:before="120" w:after="240"/>
              <w:rPr/>
            </w:pPr>
            <w:r>
              <w:rPr>
                <w:rFonts w:cs="Arial"/>
                <w:b/>
              </w:rPr>
              <w:t>Department</w:t>
            </w:r>
            <w:r>
              <w:rPr>
                <w:rFonts w:cs="Arial"/>
              </w:rPr>
              <w:t>: Health and Adult Care</w:t>
            </w:r>
          </w:p>
        </w:tc>
        <w:tc>
          <w:tcPr>
            <w:tcW w:w="5265" w:type="dxa"/>
            <w:gridSpan w:val="2"/>
            <w:tcBorders>
              <w:top w:val="double" w:sz="6" w:space="0" w:color="000000"/>
              <w:bottom w:val="double" w:sz="6" w:space="0" w:color="000000"/>
              <w:right w:val="single" w:sz="6" w:space="0" w:color="000000"/>
            </w:tcBorders>
          </w:tcPr>
          <w:p>
            <w:pPr>
              <w:pStyle w:val="Normal"/>
              <w:spacing w:before="120" w:after="240"/>
              <w:rPr/>
            </w:pPr>
            <w:r>
              <w:rPr>
                <w:rFonts w:cs="Arial"/>
                <w:b/>
              </w:rPr>
              <w:t>Post No</w:t>
            </w:r>
            <w:r>
              <w:rPr>
                <w:rFonts w:cs="Arial"/>
              </w:rPr>
              <w:t xml:space="preserve">: </w:t>
            </w:r>
          </w:p>
        </w:tc>
      </w:tr>
      <w:tr>
        <w:trPr>
          <w:trHeight w:val="720" w:hRule="atLeast"/>
          <w:cantSplit w:val="true"/>
        </w:trPr>
        <w:tc>
          <w:tcPr>
            <w:tcW w:w="5201" w:type="dxa"/>
            <w:gridSpan w:val="2"/>
            <w:tcBorders>
              <w:top w:val="double" w:sz="6" w:space="0" w:color="000000"/>
              <w:left w:val="single" w:sz="6" w:space="0" w:color="000000"/>
              <w:right w:val="single" w:sz="6" w:space="0" w:color="000000"/>
            </w:tcBorders>
          </w:tcPr>
          <w:p>
            <w:pPr>
              <w:pStyle w:val="Normal"/>
              <w:spacing w:before="120" w:after="240"/>
              <w:rPr/>
            </w:pPr>
            <w:r>
              <w:rPr>
                <w:rFonts w:cs="Arial"/>
                <w:b/>
              </w:rPr>
              <w:t>Division/Section</w:t>
            </w:r>
            <w:r>
              <w:rPr>
                <w:rFonts w:cs="Arial"/>
              </w:rPr>
              <w:t>: PSW Team</w:t>
            </w:r>
          </w:p>
        </w:tc>
        <w:tc>
          <w:tcPr>
            <w:tcW w:w="5265" w:type="dxa"/>
            <w:gridSpan w:val="2"/>
            <w:tcBorders>
              <w:top w:val="double" w:sz="6" w:space="0" w:color="000000"/>
              <w:bottom w:val="double" w:sz="6" w:space="0" w:color="000000"/>
              <w:right w:val="single" w:sz="6" w:space="0" w:color="000000"/>
            </w:tcBorders>
          </w:tcPr>
          <w:p>
            <w:pPr>
              <w:pStyle w:val="Normal"/>
              <w:spacing w:before="120" w:after="240"/>
              <w:rPr/>
            </w:pPr>
            <w:r>
              <w:rPr>
                <w:rFonts w:cs="Arial"/>
                <w:b/>
              </w:rPr>
              <w:t>Post Grade</w:t>
            </w:r>
            <w:r>
              <w:rPr>
                <w:rFonts w:cs="Arial"/>
              </w:rPr>
              <w:t xml:space="preserve">: 12 </w:t>
            </w:r>
          </w:p>
        </w:tc>
      </w:tr>
      <w:tr>
        <w:trPr>
          <w:trHeight w:val="720" w:hRule="atLeast"/>
          <w:cantSplit w:val="true"/>
        </w:trPr>
        <w:tc>
          <w:tcPr>
            <w:tcW w:w="5201" w:type="dxa"/>
            <w:gridSpan w:val="2"/>
            <w:tcBorders>
              <w:top w:val="double" w:sz="6" w:space="0" w:color="000000"/>
              <w:left w:val="single" w:sz="6" w:space="0" w:color="000000"/>
              <w:bottom w:val="double" w:sz="6" w:space="0" w:color="000000"/>
              <w:right w:val="single" w:sz="6" w:space="0" w:color="000000"/>
            </w:tcBorders>
          </w:tcPr>
          <w:p>
            <w:pPr>
              <w:pStyle w:val="Normal"/>
              <w:spacing w:before="120" w:after="240"/>
              <w:rPr/>
            </w:pPr>
            <w:r>
              <w:rPr>
                <w:rFonts w:cs="Arial"/>
                <w:b/>
              </w:rPr>
              <w:t>Location</w:t>
            </w:r>
            <w:r>
              <w:rPr>
                <w:rFonts w:cs="Arial"/>
              </w:rPr>
              <w:t>: Various</w:t>
            </w:r>
          </w:p>
        </w:tc>
        <w:tc>
          <w:tcPr>
            <w:tcW w:w="5265" w:type="dxa"/>
            <w:gridSpan w:val="2"/>
            <w:tcBorders>
              <w:bottom w:val="double" w:sz="6" w:space="0" w:color="000000"/>
              <w:right w:val="single" w:sz="6" w:space="0" w:color="000000"/>
            </w:tcBorders>
          </w:tcPr>
          <w:p>
            <w:pPr>
              <w:pStyle w:val="Normal"/>
              <w:spacing w:before="120" w:after="240"/>
              <w:rPr/>
            </w:pPr>
            <w:r>
              <w:rPr>
                <w:rFonts w:cs="Arial"/>
                <w:b/>
              </w:rPr>
              <w:t>Post Hours</w:t>
            </w:r>
            <w:r>
              <w:rPr>
                <w:rFonts w:cs="Arial"/>
              </w:rPr>
              <w:t>: 37</w:t>
            </w:r>
          </w:p>
        </w:tc>
      </w:tr>
      <w:tr>
        <w:trPr>
          <w:trHeight w:val="960"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tcPr>
          <w:p>
            <w:pPr>
              <w:pStyle w:val="Normal"/>
              <w:spacing w:before="120" w:after="240"/>
              <w:rPr/>
            </w:pPr>
            <w:r>
              <w:rPr>
                <w:rFonts w:cs="Arial"/>
                <w:b/>
              </w:rPr>
              <w:t>Special Conditions of Service</w:t>
            </w:r>
            <w:r>
              <w:rPr>
                <w:rFonts w:cs="Arial"/>
              </w:rPr>
              <w:t xml:space="preserve">: </w:t>
            </w:r>
          </w:p>
          <w:p>
            <w:pPr>
              <w:pStyle w:val="Normal"/>
              <w:numPr>
                <w:ilvl w:val="0"/>
                <w:numId w:val="2"/>
              </w:numPr>
              <w:tabs>
                <w:tab w:val="clear" w:pos="720"/>
                <w:tab w:val="left" w:pos="567" w:leader="none"/>
              </w:tabs>
              <w:spacing w:lineRule="auto" w:line="240" w:before="40" w:after="40"/>
              <w:jc w:val="both"/>
              <w:rPr/>
            </w:pPr>
            <w:r>
              <w:rPr>
                <w:rFonts w:eastAsia="Verdana" w:cs="Verdana"/>
                <w:lang w:eastAsia="en-GB"/>
              </w:rPr>
              <w:t xml:space="preserve"> </w:t>
            </w:r>
            <w:r>
              <w:rPr>
                <w:rFonts w:eastAsia="Times New Roman" w:cs="Arial"/>
                <w:lang w:eastAsia="en-GB"/>
              </w:rPr>
              <w:t>Ability to travel inside and outside the Borough, on occasion transporting customers or colleagues as required in accordance with corporate car user policy for which expenses will be payable in accordance with the council’s conditions of service.</w:t>
            </w:r>
          </w:p>
          <w:p>
            <w:pPr>
              <w:pStyle w:val="Normal"/>
              <w:tabs>
                <w:tab w:val="clear" w:pos="720"/>
                <w:tab w:val="left" w:pos="567" w:leader="none"/>
              </w:tabs>
              <w:spacing w:lineRule="auto" w:line="240" w:before="40" w:after="40"/>
              <w:ind w:left="360" w:right="0"/>
              <w:jc w:val="both"/>
              <w:rPr>
                <w:rFonts w:eastAsia="Times New Roman" w:cs="Arial"/>
                <w:lang w:eastAsia="en-GB"/>
              </w:rPr>
            </w:pPr>
            <w:r>
              <w:rPr>
                <w:rFonts w:eastAsia="Times New Roman" w:cs="Arial"/>
                <w:lang w:eastAsia="en-GB"/>
              </w:rPr>
            </w:r>
          </w:p>
          <w:p>
            <w:pPr>
              <w:pStyle w:val="Normal"/>
              <w:numPr>
                <w:ilvl w:val="0"/>
                <w:numId w:val="2"/>
              </w:numPr>
              <w:tabs>
                <w:tab w:val="clear" w:pos="720"/>
                <w:tab w:val="left" w:pos="567" w:leader="none"/>
              </w:tabs>
              <w:spacing w:lineRule="auto" w:line="240" w:before="40" w:after="40"/>
              <w:jc w:val="both"/>
              <w:rPr/>
            </w:pPr>
            <w:r>
              <w:rPr>
                <w:rFonts w:eastAsia="Times New Roman" w:cs="Times New Roman"/>
                <w:lang w:eastAsia="en-GB"/>
              </w:rPr>
              <w:t>Satisfactory DBS disclosure at the enhanced level to be renewed in line with the authority’s timescales.</w:t>
            </w:r>
          </w:p>
          <w:p>
            <w:pPr>
              <w:pStyle w:val="Normal"/>
              <w:spacing w:lineRule="auto" w:line="240" w:before="0" w:after="0"/>
              <w:ind w:left="720" w:right="0"/>
              <w:rPr>
                <w:rFonts w:eastAsia="Times New Roman" w:cs="Arial"/>
                <w:lang w:eastAsia="en-GB"/>
              </w:rPr>
            </w:pPr>
            <w:r>
              <w:rPr>
                <w:rFonts w:eastAsia="Times New Roman" w:cs="Arial"/>
                <w:lang w:eastAsia="en-GB"/>
              </w:rPr>
            </w:r>
          </w:p>
          <w:p>
            <w:pPr>
              <w:pStyle w:val="ListParagraph"/>
              <w:numPr>
                <w:ilvl w:val="0"/>
                <w:numId w:val="2"/>
              </w:numPr>
              <w:tabs>
                <w:tab w:val="clear" w:pos="720"/>
                <w:tab w:val="left" w:pos="567" w:leader="none"/>
              </w:tabs>
              <w:spacing w:lineRule="auto" w:line="240" w:before="40" w:after="0"/>
              <w:contextualSpacing/>
              <w:jc w:val="both"/>
              <w:rPr/>
            </w:pPr>
            <w:r>
              <w:rPr>
                <w:rFonts w:eastAsia="Times New Roman" w:cs="Arial"/>
                <w:lang w:eastAsia="en-GB"/>
              </w:rPr>
              <w:t xml:space="preserve">To maintain registration and compliance with Social Work England </w:t>
            </w:r>
          </w:p>
          <w:p>
            <w:pPr>
              <w:pStyle w:val="ListParagraph"/>
              <w:rPr>
                <w:rFonts w:cs="Arial"/>
              </w:rPr>
            </w:pPr>
            <w:r>
              <w:rPr>
                <w:rFonts w:cs="Arial"/>
              </w:rPr>
            </w:r>
          </w:p>
          <w:p>
            <w:pPr>
              <w:pStyle w:val="ListParagraph"/>
              <w:tabs>
                <w:tab w:val="clear" w:pos="720"/>
                <w:tab w:val="left" w:pos="567" w:leader="none"/>
              </w:tabs>
              <w:spacing w:lineRule="auto" w:line="240" w:before="40" w:after="0"/>
              <w:ind w:left="360" w:right="0"/>
              <w:contextualSpacing/>
              <w:jc w:val="both"/>
              <w:rPr>
                <w:rFonts w:cs="Arial"/>
              </w:rPr>
            </w:pPr>
            <w:r>
              <w:rPr>
                <w:rFonts w:cs="Arial"/>
              </w:rPr>
            </w:r>
          </w:p>
        </w:tc>
      </w:tr>
      <w:tr>
        <w:trPr>
          <w:trHeight w:val="960"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tcPr>
          <w:p>
            <w:pPr>
              <w:pStyle w:val="Normal"/>
              <w:spacing w:before="120" w:after="120"/>
              <w:rPr/>
            </w:pPr>
            <w:r>
              <w:rPr>
                <w:rFonts w:cs="Arial"/>
                <w:b/>
              </w:rPr>
              <w:t>Purpose and Objectives of Post</w:t>
            </w:r>
            <w:r>
              <w:rPr>
                <w:rFonts w:cs="Arial"/>
              </w:rPr>
              <w:t xml:space="preserve">: </w:t>
            </w:r>
          </w:p>
          <w:p>
            <w:pPr>
              <w:pStyle w:val="Normal"/>
              <w:spacing w:before="120" w:after="120"/>
              <w:rPr/>
            </w:pPr>
            <w:r>
              <w:rPr>
                <w:rFonts w:cs="Arial"/>
              </w:rPr>
              <w:t xml:space="preserve">To support the Principal Social Work (PSW) Team manager to deliver the Council’s responsibilities in relation to </w:t>
            </w:r>
            <w:r>
              <w:rPr>
                <w:rFonts w:cs="Arial"/>
                <w:color w:val="000000"/>
              </w:rPr>
              <w:t>Social Work entry, progression and development working mainly with Social Work (SW) Students /SW Apprenticeships</w:t>
            </w:r>
            <w:r>
              <w:rPr>
                <w:rFonts w:cs="Arial"/>
                <w:color w:val="FF0000"/>
              </w:rPr>
              <w:t xml:space="preserve"> </w:t>
            </w:r>
            <w:r>
              <w:rPr>
                <w:rFonts w:cs="Arial"/>
                <w:color w:val="000000"/>
              </w:rPr>
              <w:t>/Newly Qualified Social Workers (NQSW’s) and Practice Educators (PE’s)</w:t>
            </w:r>
          </w:p>
          <w:p>
            <w:pPr>
              <w:pStyle w:val="Normal"/>
              <w:spacing w:before="120" w:after="120"/>
              <w:rPr>
                <w:rFonts w:cs="Arial"/>
              </w:rPr>
            </w:pPr>
            <w:r>
              <w:rPr>
                <w:rFonts w:cs="Arial"/>
              </w:rPr>
              <w:t xml:space="preserve">To Mentor all social work learners completing the Assessed and Supported Year in Employment (ASYE) for NQSWs and the SW Apprenticeship programme.  </w:t>
            </w:r>
          </w:p>
          <w:p>
            <w:pPr>
              <w:pStyle w:val="Normal"/>
              <w:spacing w:before="120" w:after="120"/>
              <w:rPr>
                <w:rFonts w:cs="Arial"/>
              </w:rPr>
            </w:pPr>
            <w:r>
              <w:rPr>
                <w:rFonts w:cs="Arial"/>
              </w:rPr>
              <w:t>To coordinate practice placement opportunities and support the development of Practice Educators especially those completing the Practice Educator professional standards</w:t>
            </w:r>
          </w:p>
          <w:p>
            <w:pPr>
              <w:pStyle w:val="Normal"/>
              <w:spacing w:before="120" w:after="120"/>
              <w:rPr>
                <w:rFonts w:cs="Arial"/>
              </w:rPr>
            </w:pPr>
            <w:r>
              <w:rPr>
                <w:rFonts w:cs="Arial"/>
              </w:rPr>
              <w:t>To represent the department and Council at a local, regional, and national level in relation to the Social Care workforce.</w:t>
            </w:r>
          </w:p>
          <w:p>
            <w:pPr>
              <w:pStyle w:val="Normal"/>
              <w:spacing w:before="120" w:after="120"/>
              <w:rPr>
                <w:rFonts w:cs="Arial"/>
              </w:rPr>
            </w:pPr>
            <w:r>
              <w:rPr>
                <w:rFonts w:cs="Arial"/>
              </w:rPr>
              <w:t>To raise the quality of Social Work practice across health and adult social care.</w:t>
            </w:r>
          </w:p>
          <w:p>
            <w:pPr>
              <w:pStyle w:val="Normal"/>
              <w:spacing w:before="120" w:after="240"/>
              <w:rPr>
                <w:rFonts w:cs="Arial"/>
                <w:b/>
              </w:rPr>
            </w:pPr>
            <w:r>
              <w:rPr>
                <w:rFonts w:cs="Arial"/>
                <w:b/>
              </w:rPr>
            </w:r>
          </w:p>
        </w:tc>
      </w:tr>
      <w:tr>
        <w:trPr>
          <w:cantSplit w:val="true"/>
        </w:trPr>
        <w:tc>
          <w:tcPr>
            <w:tcW w:w="10466" w:type="dxa"/>
            <w:gridSpan w:val="4"/>
            <w:tcBorders>
              <w:top w:val="double" w:sz="6" w:space="0" w:color="000000"/>
              <w:left w:val="single" w:sz="6" w:space="0" w:color="000000"/>
              <w:bottom w:val="double" w:sz="6" w:space="0" w:color="000000"/>
              <w:right w:val="single" w:sz="6" w:space="0" w:color="000000"/>
            </w:tcBorders>
          </w:tcPr>
          <w:p>
            <w:pPr>
              <w:pStyle w:val="Normal"/>
              <w:spacing w:before="120" w:after="240"/>
              <w:rPr/>
            </w:pPr>
            <w:r>
              <w:rPr>
                <w:rFonts w:cs="Arial"/>
                <w:b/>
              </w:rPr>
              <w:t>Accountable to</w:t>
            </w:r>
            <w:r>
              <w:rPr>
                <w:rFonts w:cs="Arial"/>
              </w:rPr>
              <w:t>: Assistant Director (Adult social care operations)</w:t>
            </w:r>
          </w:p>
        </w:tc>
      </w:tr>
      <w:tr>
        <w:trPr>
          <w:cantSplit w:val="true"/>
        </w:trPr>
        <w:tc>
          <w:tcPr>
            <w:tcW w:w="10466" w:type="dxa"/>
            <w:gridSpan w:val="4"/>
            <w:tcBorders>
              <w:top w:val="double" w:sz="6" w:space="0" w:color="000000"/>
              <w:left w:val="single" w:sz="6" w:space="0" w:color="000000"/>
              <w:bottom w:val="double" w:sz="6" w:space="0" w:color="000000"/>
              <w:right w:val="single" w:sz="6" w:space="0" w:color="000000"/>
            </w:tcBorders>
          </w:tcPr>
          <w:p>
            <w:pPr>
              <w:pStyle w:val="Normal"/>
              <w:spacing w:before="120" w:after="240"/>
              <w:rPr/>
            </w:pPr>
            <w:r>
              <w:rPr>
                <w:rFonts w:cs="Arial"/>
                <w:b/>
              </w:rPr>
              <w:t>Immediately Responsible to</w:t>
            </w:r>
            <w:r>
              <w:rPr>
                <w:rFonts w:cs="Arial"/>
              </w:rPr>
              <w:t>: PSW Team Manager</w:t>
            </w:r>
          </w:p>
        </w:tc>
      </w:tr>
      <w:tr>
        <w:trPr>
          <w:trHeight w:val="680"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tcPr>
          <w:p>
            <w:pPr>
              <w:pStyle w:val="Normal"/>
              <w:spacing w:before="120" w:after="120"/>
              <w:rPr/>
            </w:pPr>
            <w:r>
              <w:rPr>
                <w:rFonts w:cs="Arial"/>
                <w:b/>
                <w:bCs/>
              </w:rPr>
              <w:t>Immediately Responsible for</w:t>
            </w:r>
            <w:r>
              <w:rPr>
                <w:rFonts w:cs="Arial"/>
              </w:rPr>
              <w:t>:  None</w:t>
            </w:r>
          </w:p>
        </w:tc>
      </w:tr>
      <w:tr>
        <w:trPr>
          <w:trHeight w:val="2048" w:hRule="atLeast"/>
          <w:cantSplit w:val="true"/>
        </w:trPr>
        <w:tc>
          <w:tcPr>
            <w:tcW w:w="10466" w:type="dxa"/>
            <w:gridSpan w:val="4"/>
            <w:tcBorders>
              <w:top w:val="double" w:sz="6" w:space="0" w:color="000000"/>
              <w:left w:val="single" w:sz="6" w:space="0" w:color="000000"/>
              <w:right w:val="single" w:sz="6" w:space="0" w:color="000000"/>
            </w:tcBorders>
          </w:tcPr>
          <w:p>
            <w:pPr>
              <w:pStyle w:val="Normal"/>
              <w:tabs>
                <w:tab w:val="clear" w:pos="720"/>
                <w:tab w:val="left" w:pos="4320" w:leader="none"/>
              </w:tabs>
              <w:spacing w:before="120" w:after="120"/>
              <w:rPr>
                <w:rFonts w:cs="Arial"/>
                <w:b/>
              </w:rPr>
            </w:pPr>
            <w:r>
              <w:rPr>
                <w:rFonts w:cs="Arial"/>
                <w:b/>
              </w:rPr>
              <w:t xml:space="preserve">Relationships: (Internal and External)               </w:t>
            </w:r>
          </w:p>
          <w:p>
            <w:pPr>
              <w:pStyle w:val="Normal"/>
              <w:keepLines/>
              <w:tabs>
                <w:tab w:val="clear" w:pos="720"/>
                <w:tab w:val="left" w:pos="4320" w:leader="none"/>
              </w:tabs>
              <w:spacing w:lineRule="exact" w:line="240" w:before="0" w:after="0"/>
              <w:rPr>
                <w:rFonts w:eastAsia="Times New Roman" w:cs="Times New Roman"/>
                <w:lang w:eastAsia="en-GB"/>
              </w:rPr>
            </w:pPr>
            <w:r>
              <w:rPr>
                <w:rFonts w:eastAsia="Times New Roman" w:cs="Times New Roman"/>
                <w:lang w:eastAsia="en-GB"/>
              </w:rPr>
              <w:t>All staff within the Department and across the Council.</w:t>
            </w:r>
          </w:p>
          <w:p>
            <w:pPr>
              <w:pStyle w:val="Normal"/>
              <w:keepLines/>
              <w:tabs>
                <w:tab w:val="clear" w:pos="720"/>
                <w:tab w:val="left" w:pos="4320" w:leader="none"/>
              </w:tabs>
              <w:spacing w:lineRule="exact" w:line="240" w:before="0" w:after="0"/>
              <w:rPr>
                <w:rFonts w:eastAsia="Times New Roman" w:cs="Times New Roman"/>
                <w:lang w:eastAsia="en-GB"/>
              </w:rPr>
            </w:pPr>
            <w:r>
              <w:rPr>
                <w:rFonts w:eastAsia="Times New Roman" w:cs="Times New Roman"/>
                <w:lang w:eastAsia="en-GB"/>
              </w:rPr>
              <w:t>Adults carers and their support networks</w:t>
            </w:r>
          </w:p>
          <w:p>
            <w:pPr>
              <w:pStyle w:val="Normal"/>
              <w:keepLines/>
              <w:tabs>
                <w:tab w:val="clear" w:pos="720"/>
                <w:tab w:val="left" w:pos="4320" w:leader="none"/>
              </w:tabs>
              <w:spacing w:lineRule="exact" w:line="240" w:before="0" w:after="0"/>
              <w:rPr>
                <w:rFonts w:eastAsia="Times New Roman" w:cs="Times New Roman"/>
                <w:lang w:eastAsia="en-GB"/>
              </w:rPr>
            </w:pPr>
            <w:r>
              <w:rPr>
                <w:rFonts w:eastAsia="Times New Roman" w:cs="Times New Roman"/>
                <w:lang w:eastAsia="en-GB"/>
              </w:rPr>
              <w:t>Health employees including hospital staff</w:t>
            </w:r>
          </w:p>
          <w:p>
            <w:pPr>
              <w:pStyle w:val="Normal"/>
              <w:keepLines/>
              <w:tabs>
                <w:tab w:val="clear" w:pos="720"/>
                <w:tab w:val="left" w:pos="4320" w:leader="none"/>
              </w:tabs>
              <w:spacing w:lineRule="exact" w:line="240" w:before="0" w:after="0"/>
              <w:rPr>
                <w:rFonts w:eastAsia="Times New Roman" w:cs="Times New Roman"/>
                <w:lang w:eastAsia="en-GB"/>
              </w:rPr>
            </w:pPr>
            <w:r>
              <w:rPr>
                <w:rFonts w:eastAsia="Times New Roman" w:cs="Times New Roman"/>
                <w:lang w:eastAsia="en-GB"/>
              </w:rPr>
              <w:t>Education employees</w:t>
            </w:r>
          </w:p>
          <w:p>
            <w:pPr>
              <w:pStyle w:val="Normal"/>
              <w:keepLines/>
              <w:tabs>
                <w:tab w:val="clear" w:pos="720"/>
                <w:tab w:val="left" w:pos="4320" w:leader="none"/>
              </w:tabs>
              <w:spacing w:lineRule="exact" w:line="240" w:before="0" w:after="0"/>
              <w:rPr>
                <w:rFonts w:eastAsia="Times New Roman" w:cs="Times New Roman"/>
                <w:lang w:eastAsia="en-GB"/>
              </w:rPr>
            </w:pPr>
            <w:r>
              <w:rPr>
                <w:rFonts w:eastAsia="Times New Roman" w:cs="Times New Roman"/>
                <w:lang w:eastAsia="en-GB"/>
              </w:rPr>
              <w:t>VCFA</w:t>
            </w:r>
          </w:p>
          <w:p>
            <w:pPr>
              <w:pStyle w:val="Normal"/>
              <w:keepLines/>
              <w:tabs>
                <w:tab w:val="clear" w:pos="720"/>
                <w:tab w:val="left" w:pos="4320" w:leader="none"/>
              </w:tabs>
              <w:spacing w:lineRule="exact" w:line="240" w:before="0" w:after="0"/>
              <w:rPr>
                <w:rFonts w:eastAsia="Times New Roman" w:cs="Times New Roman"/>
                <w:lang w:eastAsia="en-GB"/>
              </w:rPr>
            </w:pPr>
            <w:r>
              <w:rPr>
                <w:rFonts w:eastAsia="Times New Roman" w:cs="Times New Roman"/>
                <w:lang w:eastAsia="en-GB"/>
              </w:rPr>
              <w:t>Police</w:t>
            </w:r>
          </w:p>
          <w:p>
            <w:pPr>
              <w:pStyle w:val="Normal"/>
              <w:keepLines/>
              <w:tabs>
                <w:tab w:val="clear" w:pos="720"/>
                <w:tab w:val="left" w:pos="4320" w:leader="none"/>
              </w:tabs>
              <w:spacing w:lineRule="exact" w:line="240" w:before="0" w:after="0"/>
              <w:rPr>
                <w:rFonts w:eastAsia="Times New Roman" w:cs="Times New Roman"/>
                <w:lang w:eastAsia="en-GB"/>
              </w:rPr>
            </w:pPr>
            <w:r>
              <w:rPr>
                <w:rFonts w:eastAsia="Times New Roman" w:cs="Times New Roman"/>
                <w:lang w:eastAsia="en-GB"/>
              </w:rPr>
              <w:t xml:space="preserve">Other key stakeholders                                  </w:t>
            </w:r>
          </w:p>
          <w:p>
            <w:pPr>
              <w:pStyle w:val="Normal"/>
              <w:tabs>
                <w:tab w:val="clear" w:pos="720"/>
                <w:tab w:val="left" w:pos="4320" w:leader="none"/>
              </w:tabs>
              <w:spacing w:lineRule="auto" w:line="240" w:before="0" w:after="0"/>
              <w:rPr>
                <w:rFonts w:cs="Arial"/>
              </w:rPr>
            </w:pPr>
            <w:r>
              <w:rPr>
                <w:rFonts w:cs="Arial"/>
              </w:rPr>
            </w:r>
          </w:p>
        </w:tc>
      </w:tr>
      <w:tr>
        <w:trPr>
          <w:trHeight w:val="1653" w:hRule="atLeast"/>
          <w:cantSplit w:val="true"/>
        </w:trPr>
        <w:tc>
          <w:tcPr>
            <w:tcW w:w="10466" w:type="dxa"/>
            <w:gridSpan w:val="4"/>
            <w:tcBorders>
              <w:top w:val="double" w:sz="6" w:space="0" w:color="000000"/>
              <w:left w:val="single" w:sz="6" w:space="0" w:color="000000"/>
              <w:bottom w:val="single" w:sz="6" w:space="0" w:color="000000"/>
              <w:right w:val="single" w:sz="6" w:space="0" w:color="000000"/>
            </w:tcBorders>
          </w:tcPr>
          <w:p>
            <w:pPr>
              <w:pStyle w:val="Normal"/>
              <w:spacing w:before="120" w:after="120"/>
              <w:rPr/>
            </w:pPr>
            <w:r>
              <w:rPr>
                <w:rFonts w:cs="Arial"/>
                <w:b/>
              </w:rPr>
              <w:t>Control of Resources</w:t>
            </w:r>
            <w:r>
              <w:rPr>
                <w:rFonts w:cs="Arial"/>
              </w:rPr>
              <w:t xml:space="preserve">: </w:t>
            </w:r>
          </w:p>
          <w:p>
            <w:pPr>
              <w:pStyle w:val="Normal"/>
              <w:spacing w:before="120" w:after="120"/>
              <w:rPr>
                <w:rFonts w:cs="Arial"/>
              </w:rPr>
            </w:pPr>
            <w:r>
              <w:rPr>
                <w:rFonts w:cs="Arial"/>
              </w:rPr>
              <w:t>Management of sensitive and confidential information and information systems in accordance with GDPR and policy</w:t>
            </w:r>
          </w:p>
          <w:p>
            <w:pPr>
              <w:pStyle w:val="Normal"/>
              <w:tabs>
                <w:tab w:val="clear" w:pos="720"/>
                <w:tab w:val="left" w:pos="567" w:leader="none"/>
              </w:tabs>
              <w:spacing w:lineRule="auto" w:line="240" w:before="40" w:after="40"/>
              <w:jc w:val="both"/>
              <w:rPr>
                <w:rFonts w:cs="Arial"/>
              </w:rPr>
            </w:pPr>
            <w:r>
              <w:rPr>
                <w:rFonts w:cs="Arial"/>
              </w:rPr>
              <w:t>Laptop &amp; mobile telephone</w:t>
            </w:r>
          </w:p>
        </w:tc>
      </w:tr>
      <w:tr>
        <w:trPr>
          <w:trHeight w:val="240" w:hRule="atLeast"/>
        </w:trPr>
        <w:tc>
          <w:tcPr>
            <w:tcW w:w="10466" w:type="dxa"/>
            <w:gridSpan w:val="4"/>
            <w:tcBorders>
              <w:top w:val="single" w:sz="6" w:space="0" w:color="000000"/>
              <w:left w:val="single" w:sz="6" w:space="0" w:color="000000"/>
              <w:right w:val="single" w:sz="6" w:space="0" w:color="000000"/>
            </w:tcBorders>
          </w:tcPr>
          <w:p>
            <w:pPr>
              <w:pStyle w:val="Normal"/>
              <w:spacing w:before="120" w:after="120"/>
              <w:rPr/>
            </w:pPr>
            <w:r>
              <w:rPr>
                <w:rFonts w:cs="Arial"/>
                <w:b/>
              </w:rPr>
              <w:t>Duties/Responsibilities</w:t>
            </w:r>
            <w:r>
              <w:rPr>
                <w:rFonts w:cs="Arial"/>
              </w:rPr>
              <w:t xml:space="preserve">: </w:t>
            </w:r>
          </w:p>
          <w:p>
            <w:pPr>
              <w:pStyle w:val="Normal"/>
              <w:spacing w:before="120" w:after="120"/>
              <w:rPr>
                <w:rFonts w:eastAsia="Times New Roman" w:cs="Arial"/>
                <w:b/>
                <w:bCs/>
              </w:rPr>
            </w:pPr>
            <w:r>
              <w:rPr>
                <w:rFonts w:eastAsia="Times New Roman" w:cs="Arial"/>
                <w:b/>
                <w:bCs/>
              </w:rPr>
              <w:t>SW Placement and Practice Educator coordination and support</w:t>
            </w:r>
          </w:p>
          <w:p>
            <w:pPr>
              <w:pStyle w:val="ListParagraph"/>
              <w:numPr>
                <w:ilvl w:val="0"/>
                <w:numId w:val="4"/>
              </w:numPr>
              <w:spacing w:before="120" w:after="120"/>
              <w:contextualSpacing/>
              <w:rPr/>
            </w:pPr>
            <w:r>
              <w:rPr>
                <w:rFonts w:cs="Arial"/>
              </w:rPr>
              <w:t>To organise and support practice placements for all Social Work students in Bury</w:t>
            </w:r>
          </w:p>
          <w:p>
            <w:pPr>
              <w:pStyle w:val="ListParagraph"/>
              <w:spacing w:before="120" w:after="120"/>
              <w:contextualSpacing/>
              <w:rPr>
                <w:rFonts w:cs="Arial"/>
              </w:rPr>
            </w:pPr>
            <w:r>
              <w:rPr>
                <w:rFonts w:cs="Arial"/>
              </w:rPr>
            </w:r>
          </w:p>
          <w:p>
            <w:pPr>
              <w:pStyle w:val="ListParagraph"/>
              <w:numPr>
                <w:ilvl w:val="0"/>
                <w:numId w:val="4"/>
              </w:numPr>
              <w:spacing w:before="120" w:after="120"/>
              <w:contextualSpacing/>
              <w:rPr/>
            </w:pPr>
            <w:r>
              <w:rPr>
                <w:rFonts w:cs="Arial"/>
              </w:rPr>
              <w:t>Ensure Social Work placements are compliant with the statutory and professional requirements.</w:t>
            </w:r>
          </w:p>
          <w:p>
            <w:pPr>
              <w:pStyle w:val="ListParagraph"/>
              <w:spacing w:before="120" w:after="120"/>
              <w:contextualSpacing/>
              <w:rPr>
                <w:rFonts w:cs="Arial"/>
              </w:rPr>
            </w:pPr>
            <w:r>
              <w:rPr>
                <w:rFonts w:cs="Arial"/>
              </w:rPr>
            </w:r>
          </w:p>
          <w:p>
            <w:pPr>
              <w:pStyle w:val="ListParagraph"/>
              <w:numPr>
                <w:ilvl w:val="0"/>
                <w:numId w:val="4"/>
              </w:numPr>
              <w:spacing w:before="120" w:after="120"/>
              <w:contextualSpacing/>
              <w:rPr/>
            </w:pPr>
            <w:r>
              <w:rPr>
                <w:rFonts w:cs="Arial"/>
              </w:rPr>
              <w:t>To coordinate and support the development of PE’s completing the PE Professional standards</w:t>
            </w:r>
          </w:p>
          <w:p>
            <w:pPr>
              <w:pStyle w:val="ListParagraph"/>
              <w:spacing w:before="120" w:after="120"/>
              <w:contextualSpacing/>
              <w:rPr>
                <w:rFonts w:cs="Arial"/>
              </w:rPr>
            </w:pPr>
            <w:r>
              <w:rPr>
                <w:rFonts w:cs="Arial"/>
              </w:rPr>
            </w:r>
          </w:p>
          <w:p>
            <w:pPr>
              <w:pStyle w:val="ListParagraph"/>
              <w:numPr>
                <w:ilvl w:val="0"/>
                <w:numId w:val="4"/>
              </w:numPr>
              <w:spacing w:before="120" w:after="120"/>
              <w:contextualSpacing/>
              <w:rPr/>
            </w:pPr>
            <w:r>
              <w:rPr>
                <w:rFonts w:cs="Arial"/>
              </w:rPr>
              <w:t>To offer training to PE’s completing the PE Professional standards</w:t>
            </w:r>
          </w:p>
          <w:p>
            <w:pPr>
              <w:pStyle w:val="ListParagraph"/>
              <w:spacing w:before="120" w:after="120"/>
              <w:contextualSpacing/>
              <w:rPr>
                <w:rFonts w:cs="Arial"/>
              </w:rPr>
            </w:pPr>
            <w:r>
              <w:rPr>
                <w:rFonts w:cs="Arial"/>
              </w:rPr>
            </w:r>
          </w:p>
          <w:p>
            <w:pPr>
              <w:pStyle w:val="ListParagraph"/>
              <w:numPr>
                <w:ilvl w:val="0"/>
                <w:numId w:val="4"/>
              </w:numPr>
              <w:spacing w:before="120" w:after="120"/>
              <w:contextualSpacing/>
              <w:rPr/>
            </w:pPr>
            <w:r>
              <w:rPr>
                <w:rFonts w:eastAsia="Times New Roman" w:cs="Arial"/>
                <w:lang w:eastAsia="en-GB"/>
              </w:rPr>
              <w:t>To generate, monitor and evaluate the standards and quality of student placements and practice education</w:t>
            </w:r>
          </w:p>
          <w:p>
            <w:pPr>
              <w:pStyle w:val="ListParagraph"/>
              <w:rPr>
                <w:rFonts w:cs="Arial"/>
              </w:rPr>
            </w:pPr>
            <w:r>
              <w:rPr>
                <w:rFonts w:cs="Arial"/>
              </w:rPr>
            </w:r>
          </w:p>
          <w:p>
            <w:pPr>
              <w:pStyle w:val="ListParagraph"/>
              <w:numPr>
                <w:ilvl w:val="0"/>
                <w:numId w:val="4"/>
              </w:numPr>
              <w:spacing w:before="120" w:after="120"/>
              <w:contextualSpacing/>
              <w:rPr/>
            </w:pPr>
            <w:r>
              <w:rPr>
                <w:rFonts w:cs="Arial"/>
              </w:rPr>
              <w:t>Provide advice and guidance to Team Managers in supporting and managing placements.</w:t>
            </w:r>
          </w:p>
          <w:p>
            <w:pPr>
              <w:pStyle w:val="Normal"/>
              <w:numPr>
                <w:ilvl w:val="0"/>
                <w:numId w:val="3"/>
              </w:numPr>
              <w:spacing w:lineRule="auto" w:line="240" w:before="0" w:after="0"/>
              <w:rPr/>
            </w:pPr>
            <w:r>
              <w:rPr>
                <w:rFonts w:eastAsia="Times New Roman" w:cs="Arial"/>
                <w:lang w:eastAsia="en-GB"/>
              </w:rPr>
              <w:t>With guidance from the PSW Team Manager Lead, support the negotiation, management, and resolution of complex placement issues involving Universities, Students, and Practice Educators.</w:t>
            </w:r>
          </w:p>
          <w:p>
            <w:pPr>
              <w:pStyle w:val="Normal"/>
              <w:spacing w:lineRule="auto" w:line="240" w:before="0" w:after="0"/>
              <w:ind w:left="720" w:right="0"/>
              <w:rPr>
                <w:rFonts w:eastAsia="Times New Roman" w:cs="Arial"/>
                <w:b/>
                <w:lang w:eastAsia="en-GB"/>
              </w:rPr>
            </w:pPr>
            <w:r>
              <w:rPr>
                <w:rFonts w:eastAsia="Times New Roman" w:cs="Arial"/>
                <w:b/>
                <w:lang w:eastAsia="en-GB"/>
              </w:rPr>
            </w:r>
          </w:p>
          <w:p>
            <w:pPr>
              <w:pStyle w:val="Normal"/>
              <w:numPr>
                <w:ilvl w:val="0"/>
                <w:numId w:val="3"/>
              </w:numPr>
              <w:spacing w:lineRule="auto" w:line="240" w:before="0" w:after="0"/>
              <w:rPr/>
            </w:pPr>
            <w:r>
              <w:rPr>
                <w:rFonts w:eastAsia="Verdana" w:cs="Verdana"/>
                <w:lang w:eastAsia="en-GB"/>
              </w:rPr>
              <w:t xml:space="preserve"> </w:t>
            </w:r>
            <w:r>
              <w:rPr>
                <w:rFonts w:eastAsia="Times New Roman" w:cs="Arial"/>
                <w:lang w:eastAsia="en-GB"/>
              </w:rPr>
              <w:t>Represent the Council on appropriate regional and national student and practice educator groups.</w:t>
            </w:r>
          </w:p>
          <w:p>
            <w:pPr>
              <w:pStyle w:val="ListParagraph"/>
              <w:rPr>
                <w:rFonts w:eastAsia="Times New Roman" w:cs="Arial"/>
                <w:lang w:eastAsia="en-GB"/>
              </w:rPr>
            </w:pPr>
            <w:r>
              <w:rPr>
                <w:rFonts w:eastAsia="Times New Roman" w:cs="Arial"/>
                <w:lang w:eastAsia="en-GB"/>
              </w:rPr>
            </w:r>
          </w:p>
          <w:p>
            <w:pPr>
              <w:pStyle w:val="Normal"/>
              <w:numPr>
                <w:ilvl w:val="0"/>
                <w:numId w:val="3"/>
              </w:numPr>
              <w:spacing w:lineRule="auto" w:line="240" w:before="0" w:after="0"/>
              <w:rPr/>
            </w:pPr>
            <w:r>
              <w:rPr>
                <w:rFonts w:eastAsia="Times New Roman" w:cs="Arial"/>
                <w:lang w:eastAsia="en-GB"/>
              </w:rPr>
              <w:t>To lead on planning, with managers, future PE training opportunities with their teams</w:t>
            </w:r>
          </w:p>
          <w:p>
            <w:pPr>
              <w:pStyle w:val="Normal"/>
              <w:spacing w:lineRule="auto" w:line="240" w:before="0" w:after="0"/>
              <w:rPr>
                <w:rFonts w:eastAsia="Verdana" w:cs="Verdana"/>
                <w:lang w:eastAsia="en-GB"/>
              </w:rPr>
            </w:pPr>
            <w:r>
              <w:rPr>
                <w:rFonts w:eastAsia="Verdana" w:cs="Verdana"/>
                <w:lang w:eastAsia="en-GB"/>
              </w:rPr>
              <w:t xml:space="preserve"> </w:t>
            </w:r>
          </w:p>
          <w:p>
            <w:pPr>
              <w:pStyle w:val="Normal"/>
              <w:numPr>
                <w:ilvl w:val="0"/>
                <w:numId w:val="3"/>
              </w:numPr>
              <w:spacing w:lineRule="auto" w:line="240" w:before="0" w:after="240"/>
              <w:rPr/>
            </w:pPr>
            <w:r>
              <w:rPr>
                <w:rFonts w:eastAsia="Times New Roman" w:cs="Arial"/>
                <w:lang w:eastAsia="en-GB"/>
              </w:rPr>
              <w:t>Act as the lead representative in providing interpretation, guidance, and advice to the PSW Team manager on changes to student and Practice Educator programmes, policies, and processes, ensuring effective implementation and compliance.</w:t>
            </w:r>
          </w:p>
          <w:p>
            <w:pPr>
              <w:pStyle w:val="Normal"/>
              <w:spacing w:lineRule="auto" w:line="240" w:before="0" w:after="0"/>
              <w:rPr>
                <w:rFonts w:eastAsia="Times New Roman" w:cs="Times New Roman"/>
                <w:b/>
                <w:lang w:eastAsia="en-GB"/>
              </w:rPr>
            </w:pPr>
            <w:r>
              <w:rPr>
                <w:rFonts w:eastAsia="Times New Roman" w:cs="Times New Roman"/>
                <w:b/>
                <w:lang w:eastAsia="en-GB"/>
              </w:rPr>
            </w:r>
          </w:p>
          <w:p>
            <w:pPr>
              <w:pStyle w:val="Normal"/>
              <w:spacing w:lineRule="auto" w:line="240" w:before="0" w:after="0"/>
              <w:rPr>
                <w:rFonts w:eastAsia="Times New Roman" w:cs="Times New Roman"/>
                <w:b/>
                <w:lang w:eastAsia="en-GB"/>
              </w:rPr>
            </w:pPr>
            <w:r>
              <w:rPr>
                <w:rFonts w:eastAsia="Times New Roman" w:cs="Times New Roman"/>
                <w:b/>
                <w:lang w:eastAsia="en-GB"/>
              </w:rPr>
              <w:t xml:space="preserve">NQSW &amp; SW Apprenticeship mentoring and support </w:t>
            </w:r>
          </w:p>
          <w:p>
            <w:pPr>
              <w:pStyle w:val="Normal"/>
              <w:spacing w:lineRule="auto" w:line="240" w:before="0" w:after="0"/>
              <w:rPr>
                <w:rFonts w:eastAsia="Times New Roman" w:cs="Times New Roman"/>
                <w:b/>
                <w:lang w:eastAsia="en-GB"/>
              </w:rPr>
            </w:pPr>
            <w:r>
              <w:rPr>
                <w:rFonts w:eastAsia="Times New Roman" w:cs="Times New Roman"/>
                <w:b/>
                <w:lang w:eastAsia="en-GB"/>
              </w:rPr>
            </w:r>
          </w:p>
          <w:tbl>
            <w:tblPr>
              <w:tblW w:w="9356" w:type="dxa"/>
              <w:jc w:val="left"/>
              <w:tblInd w:w="0" w:type="dxa"/>
              <w:tblLayout w:type="fixed"/>
              <w:tblCellMar>
                <w:top w:w="0" w:type="dxa"/>
                <w:left w:w="108" w:type="dxa"/>
                <w:bottom w:w="0" w:type="dxa"/>
                <w:right w:w="108" w:type="dxa"/>
              </w:tblCellMar>
            </w:tblPr>
            <w:tblGrid>
              <w:gridCol w:w="9356"/>
            </w:tblGrid>
            <w:tr>
              <w:trPr>
                <w:trHeight w:val="506" w:hRule="atLeast"/>
              </w:trPr>
              <w:tc>
                <w:tcPr>
                  <w:tcW w:w="9356" w:type="dxa"/>
                  <w:tcBorders/>
                </w:tcPr>
                <w:p>
                  <w:pPr>
                    <w:pStyle w:val="ListParagraph"/>
                    <w:numPr>
                      <w:ilvl w:val="0"/>
                      <w:numId w:val="3"/>
                    </w:numPr>
                    <w:spacing w:lineRule="auto" w:line="240"/>
                    <w:jc w:val="both"/>
                    <w:rPr/>
                  </w:pPr>
                  <w:r>
                    <w:rPr>
                      <w:rFonts w:cs="Arial"/>
                    </w:rPr>
                    <w:t>To support the coordination of the ASYE programme</w:t>
                  </w:r>
                </w:p>
                <w:p>
                  <w:pPr>
                    <w:pStyle w:val="ListParagraph"/>
                    <w:spacing w:lineRule="auto" w:line="240"/>
                    <w:jc w:val="both"/>
                    <w:rPr>
                      <w:rFonts w:cs="Arial"/>
                    </w:rPr>
                  </w:pPr>
                  <w:r>
                    <w:rPr>
                      <w:rFonts w:cs="Arial"/>
                    </w:rPr>
                  </w:r>
                </w:p>
                <w:p>
                  <w:pPr>
                    <w:pStyle w:val="ListParagraph"/>
                    <w:numPr>
                      <w:ilvl w:val="0"/>
                      <w:numId w:val="3"/>
                    </w:numPr>
                    <w:spacing w:lineRule="auto" w:line="240"/>
                    <w:jc w:val="both"/>
                    <w:rPr/>
                  </w:pPr>
                  <w:r>
                    <w:rPr>
                      <w:rFonts w:cs="Arial"/>
                    </w:rPr>
                    <w:t>To assess learners against the social work frameworks such as the Professional capability framework and the post qualifying standards</w:t>
                  </w:r>
                </w:p>
                <w:p>
                  <w:pPr>
                    <w:pStyle w:val="ListParagraph"/>
                    <w:rPr>
                      <w:rFonts w:cs="Arial"/>
                    </w:rPr>
                  </w:pPr>
                  <w:r>
                    <w:rPr>
                      <w:rFonts w:cs="Arial"/>
                    </w:rPr>
                  </w:r>
                </w:p>
                <w:p>
                  <w:pPr>
                    <w:pStyle w:val="ListParagraph"/>
                    <w:numPr>
                      <w:ilvl w:val="0"/>
                      <w:numId w:val="3"/>
                    </w:numPr>
                    <w:spacing w:lineRule="auto" w:line="240"/>
                    <w:jc w:val="both"/>
                    <w:rPr/>
                  </w:pPr>
                  <w:r>
                    <w:rPr>
                      <w:rFonts w:cs="Arial"/>
                    </w:rPr>
                    <w:t>To provide reflective supervision for all NQSW’s and SW Apprentices individually and within a group setting</w:t>
                  </w:r>
                </w:p>
                <w:p>
                  <w:pPr>
                    <w:pStyle w:val="ListParagraph"/>
                    <w:spacing w:lineRule="auto" w:line="240"/>
                    <w:jc w:val="both"/>
                    <w:rPr>
                      <w:rFonts w:cs="Arial"/>
                    </w:rPr>
                  </w:pPr>
                  <w:r>
                    <w:rPr>
                      <w:rFonts w:cs="Arial"/>
                    </w:rPr>
                  </w:r>
                </w:p>
                <w:p>
                  <w:pPr>
                    <w:pStyle w:val="ListParagraph"/>
                    <w:numPr>
                      <w:ilvl w:val="0"/>
                      <w:numId w:val="3"/>
                    </w:numPr>
                    <w:spacing w:lineRule="auto" w:line="240" w:before="0" w:after="200"/>
                    <w:contextualSpacing/>
                    <w:jc w:val="both"/>
                    <w:rPr>
                      <w:rFonts w:cs="Arial"/>
                    </w:rPr>
                  </w:pPr>
                  <w:r>
                    <w:rPr>
                      <w:rFonts w:cs="Arial"/>
                    </w:rPr>
                    <w:t>Organise, attend, support and record the learning agreement contract meetings and the subsequent reviews with learners and their managers.</w:t>
                  </w:r>
                </w:p>
              </w:tc>
            </w:tr>
            <w:tr>
              <w:trPr>
                <w:trHeight w:val="506" w:hRule="atLeast"/>
              </w:trPr>
              <w:tc>
                <w:tcPr>
                  <w:tcW w:w="9356" w:type="dxa"/>
                  <w:tcBorders/>
                </w:tcPr>
                <w:p>
                  <w:pPr>
                    <w:pStyle w:val="ListParagraph"/>
                    <w:numPr>
                      <w:ilvl w:val="0"/>
                      <w:numId w:val="3"/>
                    </w:numPr>
                    <w:spacing w:lineRule="auto" w:line="240" w:before="0" w:after="200"/>
                    <w:contextualSpacing/>
                    <w:jc w:val="both"/>
                    <w:rPr>
                      <w:rFonts w:cs="Arial"/>
                    </w:rPr>
                  </w:pPr>
                  <w:r>
                    <w:rPr>
                      <w:rFonts w:cs="Arial"/>
                    </w:rPr>
                    <w:t>Through the learning agreement contract and subsequent reviews produce a programme of learning and development for each learner in consultation with the learner and their manager.</w:t>
                  </w:r>
                </w:p>
              </w:tc>
            </w:tr>
            <w:tr>
              <w:trPr>
                <w:trHeight w:val="506" w:hRule="atLeast"/>
              </w:trPr>
              <w:tc>
                <w:tcPr>
                  <w:tcW w:w="9356" w:type="dxa"/>
                  <w:tcBorders/>
                </w:tcPr>
                <w:p>
                  <w:pPr>
                    <w:pStyle w:val="ListParagraph"/>
                    <w:numPr>
                      <w:ilvl w:val="0"/>
                      <w:numId w:val="3"/>
                    </w:numPr>
                    <w:tabs>
                      <w:tab w:val="clear" w:pos="720"/>
                      <w:tab w:val="left" w:pos="3600" w:leader="none"/>
                    </w:tabs>
                    <w:spacing w:before="0" w:after="200"/>
                    <w:contextualSpacing/>
                    <w:rPr>
                      <w:rFonts w:cs="Arial"/>
                    </w:rPr>
                  </w:pPr>
                  <w:r>
                    <w:rPr>
                      <w:rFonts w:cs="Arial"/>
                    </w:rPr>
                    <w:t>Complete some of the formal direct observations of learners in consultation with managers</w:t>
                  </w:r>
                </w:p>
              </w:tc>
            </w:tr>
            <w:tr>
              <w:trPr>
                <w:trHeight w:val="506" w:hRule="atLeast"/>
              </w:trPr>
              <w:tc>
                <w:tcPr>
                  <w:tcW w:w="9356" w:type="dxa"/>
                  <w:tcBorders/>
                </w:tcPr>
                <w:p>
                  <w:pPr>
                    <w:pStyle w:val="ListParagraph"/>
                    <w:numPr>
                      <w:ilvl w:val="0"/>
                      <w:numId w:val="3"/>
                    </w:numPr>
                    <w:tabs>
                      <w:tab w:val="left" w:pos="720" w:leader="none"/>
                      <w:tab w:val="left" w:pos="3600" w:leader="none"/>
                    </w:tabs>
                    <w:spacing w:before="0" w:after="200"/>
                    <w:contextualSpacing/>
                    <w:rPr/>
                  </w:pPr>
                  <w:bookmarkStart w:id="0" w:name="_Hlk24038235"/>
                  <w:r>
                    <w:rPr>
                      <w:rFonts w:cs="Arial"/>
                    </w:rPr>
                    <w:t xml:space="preserve">Offer a range of workshops and group supervision to NQSW’s, SW Apprentices and SW students in consultation with the PSW Team manager </w:t>
                  </w:r>
                  <w:bookmarkEnd w:id="0"/>
                  <w:r>
                    <w:rPr>
                      <w:rFonts w:cs="Arial"/>
                    </w:rPr>
                    <w:t xml:space="preserve"> </w:t>
                  </w:r>
                </w:p>
              </w:tc>
            </w:tr>
            <w:tr>
              <w:trPr>
                <w:trHeight w:val="506" w:hRule="atLeast"/>
              </w:trPr>
              <w:tc>
                <w:tcPr>
                  <w:tcW w:w="9356" w:type="dxa"/>
                  <w:tcBorders/>
                </w:tcPr>
                <w:p>
                  <w:pPr>
                    <w:pStyle w:val="ListParagraph"/>
                    <w:numPr>
                      <w:ilvl w:val="0"/>
                      <w:numId w:val="3"/>
                    </w:numPr>
                    <w:tabs>
                      <w:tab w:val="left" w:pos="720" w:leader="none"/>
                      <w:tab w:val="left" w:pos="3600" w:leader="none"/>
                    </w:tabs>
                    <w:spacing w:before="0" w:after="200"/>
                    <w:contextualSpacing/>
                    <w:rPr>
                      <w:rFonts w:cs="Arial"/>
                    </w:rPr>
                  </w:pPr>
                  <w:r>
                    <w:rPr>
                      <w:rFonts w:cs="Arial"/>
                    </w:rPr>
                    <w:t xml:space="preserve">Take the lead in completing the final assessment report for NQSW’s and apprentices in consultation with managers </w:t>
                  </w:r>
                </w:p>
              </w:tc>
            </w:tr>
            <w:tr>
              <w:trPr>
                <w:trHeight w:val="506" w:hRule="atLeast"/>
              </w:trPr>
              <w:tc>
                <w:tcPr>
                  <w:tcW w:w="9356" w:type="dxa"/>
                  <w:tcBorders/>
                </w:tcPr>
                <w:p>
                  <w:pPr>
                    <w:pStyle w:val="ListParagraph"/>
                    <w:numPr>
                      <w:ilvl w:val="0"/>
                      <w:numId w:val="3"/>
                    </w:numPr>
                    <w:tabs>
                      <w:tab w:val="left" w:pos="720" w:leader="none"/>
                      <w:tab w:val="left" w:pos="3600" w:leader="none"/>
                    </w:tabs>
                    <w:spacing w:before="0" w:after="200"/>
                    <w:contextualSpacing/>
                    <w:rPr>
                      <w:rFonts w:cs="Arial"/>
                    </w:rPr>
                  </w:pPr>
                  <w:r>
                    <w:rPr>
                      <w:rFonts w:cs="Arial"/>
                    </w:rPr>
                    <w:t>Support the Practice Learning Team Lead in an advisory role on the implications of, and response to any updates in relation to ASYE/Apprenticeship programmes and related funding</w:t>
                  </w:r>
                </w:p>
              </w:tc>
            </w:tr>
            <w:tr>
              <w:trPr>
                <w:trHeight w:val="506" w:hRule="atLeast"/>
              </w:trPr>
              <w:tc>
                <w:tcPr>
                  <w:tcW w:w="9356" w:type="dxa"/>
                  <w:tcBorders/>
                </w:tcPr>
                <w:p>
                  <w:pPr>
                    <w:pStyle w:val="ListParagraph"/>
                    <w:numPr>
                      <w:ilvl w:val="0"/>
                      <w:numId w:val="3"/>
                    </w:numPr>
                    <w:spacing w:lineRule="auto" w:line="240" w:before="0" w:after="200"/>
                    <w:contextualSpacing/>
                    <w:rPr>
                      <w:rFonts w:cs="Arial"/>
                    </w:rPr>
                  </w:pPr>
                  <w:r>
                    <w:rPr>
                      <w:rFonts w:cs="Arial"/>
                    </w:rPr>
                    <w:t xml:space="preserve">Liaise with the PSW team manager regarding learners development, progress, and alert them to learner’s experiencing problems </w:t>
                  </w:r>
                </w:p>
              </w:tc>
            </w:tr>
            <w:tr>
              <w:trPr>
                <w:trHeight w:val="506" w:hRule="atLeast"/>
              </w:trPr>
              <w:tc>
                <w:tcPr>
                  <w:tcW w:w="9356" w:type="dxa"/>
                  <w:tcBorders/>
                </w:tcPr>
                <w:p>
                  <w:pPr>
                    <w:pStyle w:val="ListParagraph"/>
                    <w:numPr>
                      <w:ilvl w:val="0"/>
                      <w:numId w:val="3"/>
                    </w:numPr>
                    <w:tabs>
                      <w:tab w:val="left" w:pos="720" w:leader="none"/>
                      <w:tab w:val="left" w:pos="3600" w:leader="none"/>
                    </w:tabs>
                    <w:spacing w:before="0" w:after="200"/>
                    <w:contextualSpacing/>
                    <w:rPr>
                      <w:rFonts w:cs="Arial"/>
                    </w:rPr>
                  </w:pPr>
                  <w:r>
                    <w:rPr>
                      <w:rFonts w:cs="Arial"/>
                    </w:rPr>
                    <w:t>Help the learner to relate social work theory and methods to practice and integrate social work values and anti – discriminatory practice.</w:t>
                  </w:r>
                </w:p>
              </w:tc>
            </w:tr>
            <w:tr>
              <w:trPr>
                <w:trHeight w:val="506" w:hRule="atLeast"/>
              </w:trPr>
              <w:tc>
                <w:tcPr>
                  <w:tcW w:w="9356" w:type="dxa"/>
                  <w:tcBorders/>
                </w:tcPr>
                <w:p>
                  <w:pPr>
                    <w:pStyle w:val="ListParagraph"/>
                    <w:numPr>
                      <w:ilvl w:val="0"/>
                      <w:numId w:val="3"/>
                    </w:numPr>
                    <w:tabs>
                      <w:tab w:val="left" w:pos="720" w:leader="none"/>
                      <w:tab w:val="left" w:pos="3600" w:leader="none"/>
                    </w:tabs>
                    <w:rPr/>
                  </w:pPr>
                  <w:r>
                    <w:rPr>
                      <w:rFonts w:cs="Arial"/>
                    </w:rPr>
                    <w:t>Develop and ensure a culture of learning and provide advice, support and mentoring</w:t>
                  </w:r>
                </w:p>
                <w:p>
                  <w:pPr>
                    <w:pStyle w:val="ListParagraph"/>
                    <w:tabs>
                      <w:tab w:val="left" w:pos="720" w:leader="none"/>
                      <w:tab w:val="left" w:pos="3600" w:leader="none"/>
                    </w:tabs>
                    <w:rPr>
                      <w:rFonts w:cs="Arial"/>
                    </w:rPr>
                  </w:pPr>
                  <w:r>
                    <w:rPr>
                      <w:rFonts w:cs="Arial"/>
                    </w:rPr>
                  </w:r>
                </w:p>
                <w:p>
                  <w:pPr>
                    <w:pStyle w:val="ListParagraph"/>
                    <w:numPr>
                      <w:ilvl w:val="0"/>
                      <w:numId w:val="3"/>
                    </w:numPr>
                    <w:spacing w:before="0" w:after="200"/>
                    <w:contextualSpacing/>
                    <w:rPr>
                      <w:rFonts w:cs="Arial"/>
                    </w:rPr>
                  </w:pPr>
                  <w:r>
                    <w:rPr>
                      <w:rFonts w:cs="Arial"/>
                    </w:rPr>
                    <w:t>To contribute to and support the judgment, in consultation with line managers, at the end of the programme as to whether the learner has passed the ASYE or SW Apprenticeship</w:t>
                  </w:r>
                </w:p>
              </w:tc>
            </w:tr>
          </w:tbl>
          <w:p>
            <w:pPr>
              <w:pStyle w:val="Normal"/>
              <w:spacing w:lineRule="auto" w:line="240" w:before="0" w:after="0"/>
              <w:ind w:left="720" w:right="0"/>
              <w:rPr>
                <w:rFonts w:eastAsia="Times New Roman" w:cs="Times New Roman"/>
                <w:lang w:eastAsia="en-GB"/>
              </w:rPr>
            </w:pPr>
            <w:r>
              <w:rPr>
                <w:rFonts w:eastAsia="Times New Roman" w:cs="Times New Roman"/>
                <w:lang w:eastAsia="en-GB"/>
              </w:rPr>
            </w:r>
          </w:p>
          <w:p>
            <w:pPr>
              <w:pStyle w:val="Normal"/>
              <w:spacing w:lineRule="auto" w:line="240" w:before="0" w:after="240"/>
              <w:ind w:left="720" w:right="0"/>
              <w:rPr>
                <w:rFonts w:eastAsia="Times New Roman" w:cs="Arial"/>
                <w:lang w:eastAsia="en-GB"/>
              </w:rPr>
            </w:pPr>
            <w:r>
              <w:rPr>
                <w:rFonts w:eastAsia="Times New Roman" w:cs="Arial"/>
                <w:lang w:eastAsia="en-GB"/>
              </w:rPr>
            </w:r>
          </w:p>
        </w:tc>
      </w:tr>
      <w:tr>
        <w:trPr>
          <w:trHeight w:val="240" w:hRule="atLeast"/>
        </w:trPr>
        <w:tc>
          <w:tcPr>
            <w:tcW w:w="10466" w:type="dxa"/>
            <w:gridSpan w:val="4"/>
            <w:tcBorders>
              <w:left w:val="single" w:sz="6" w:space="0" w:color="000000"/>
              <w:right w:val="single" w:sz="6" w:space="0" w:color="000000"/>
            </w:tcBorders>
          </w:tcPr>
          <w:p>
            <w:pPr>
              <w:pStyle w:val="ListParagraph"/>
              <w:snapToGrid w:val="false"/>
              <w:spacing w:lineRule="atLeast" w:line="300" w:before="0" w:after="105"/>
              <w:contextualSpacing/>
              <w:textAlignment w:val="baseline"/>
              <w:rPr>
                <w:rFonts w:eastAsia="Times New Roman" w:cs="Arial"/>
                <w:lang w:eastAsia="en-GB"/>
              </w:rPr>
            </w:pPr>
            <w:r>
              <w:rPr>
                <w:rFonts w:eastAsia="Times New Roman" w:cs="Arial"/>
                <w:lang w:eastAsia="en-GB"/>
              </w:rPr>
            </w:r>
          </w:p>
        </w:tc>
      </w:tr>
      <w:tr>
        <w:trPr>
          <w:trHeight w:val="240" w:hRule="atLeast"/>
        </w:trPr>
        <w:tc>
          <w:tcPr>
            <w:tcW w:w="10466" w:type="dxa"/>
            <w:gridSpan w:val="4"/>
            <w:tcBorders>
              <w:left w:val="single" w:sz="6" w:space="0" w:color="000000"/>
              <w:right w:val="single" w:sz="6" w:space="0" w:color="000000"/>
            </w:tcBorders>
          </w:tcPr>
          <w:p>
            <w:pPr>
              <w:pStyle w:val="ListParagraph"/>
              <w:numPr>
                <w:ilvl w:val="0"/>
                <w:numId w:val="3"/>
              </w:numPr>
              <w:spacing w:before="120" w:after="120"/>
              <w:contextualSpacing/>
              <w:rPr/>
            </w:pPr>
            <w:r>
              <w:rPr>
                <w:rFonts w:cs="Arial"/>
              </w:rPr>
              <w:t>As an employee of Bury Council you have a responsibility for, and must be committed to, safeguarding and promoting the welfare of children, young people and adults and for ensuring that they are protected from harm.</w:t>
            </w:r>
          </w:p>
          <w:p>
            <w:pPr>
              <w:pStyle w:val="ListParagraph"/>
              <w:spacing w:before="120" w:after="120"/>
              <w:contextualSpacing/>
              <w:rPr>
                <w:rFonts w:cs="Arial"/>
              </w:rPr>
            </w:pPr>
            <w:r>
              <w:rPr>
                <w:rFonts w:cs="Arial"/>
              </w:rPr>
            </w:r>
          </w:p>
          <w:p>
            <w:pPr>
              <w:pStyle w:val="ListParagraph"/>
              <w:numPr>
                <w:ilvl w:val="0"/>
                <w:numId w:val="3"/>
              </w:numPr>
              <w:spacing w:before="120" w:after="120"/>
              <w:contextualSpacing/>
              <w:rPr/>
            </w:pPr>
            <w:r>
              <w:rPr>
                <w:rFonts w:cs="Arial"/>
              </w:rPr>
              <w:t xml:space="preserve">Bury Council is committed to equality, diversity and inclusion, and expects all staff to comply with its equality related policies/procedures, and to treat others with fairness and respect. </w:t>
            </w:r>
          </w:p>
          <w:p>
            <w:pPr>
              <w:pStyle w:val="ListParagraph"/>
              <w:rPr>
                <w:rFonts w:cs="Arial"/>
              </w:rPr>
            </w:pPr>
            <w:r>
              <w:rPr>
                <w:rFonts w:cs="Arial"/>
              </w:rPr>
            </w:r>
          </w:p>
          <w:p>
            <w:pPr>
              <w:pStyle w:val="ListParagraph"/>
              <w:numPr>
                <w:ilvl w:val="0"/>
                <w:numId w:val="3"/>
              </w:numPr>
              <w:spacing w:before="120" w:after="120"/>
              <w:contextualSpacing/>
              <w:rPr/>
            </w:pPr>
            <w:r>
              <w:rPr>
                <w:rFonts w:cs="Arial"/>
              </w:rPr>
              <w:t>The post holder is responsible for Employees Duties as specified with the Corporate and Departmental Health and Safety Policies.</w:t>
            </w:r>
          </w:p>
          <w:p>
            <w:pPr>
              <w:pStyle w:val="ListParagraph"/>
              <w:rPr>
                <w:rFonts w:cs="Arial"/>
              </w:rPr>
            </w:pPr>
            <w:r>
              <w:rPr>
                <w:rFonts w:cs="Arial"/>
              </w:rPr>
            </w:r>
          </w:p>
          <w:p>
            <w:pPr>
              <w:pStyle w:val="ListParagraph"/>
              <w:numPr>
                <w:ilvl w:val="0"/>
                <w:numId w:val="3"/>
              </w:numPr>
              <w:spacing w:before="120" w:after="120"/>
              <w:contextualSpacing/>
              <w:rPr/>
            </w:pPr>
            <w:r>
              <w:rPr>
                <w:rFonts w:cs="Arial"/>
              </w:rPr>
              <w:t>As an employee of Bury Council you should contribute to a culture that values and supports the physical and emotional wellbeing of your colleagues.</w:t>
            </w:r>
          </w:p>
          <w:p>
            <w:pPr>
              <w:pStyle w:val="ListParagraph"/>
              <w:rPr>
                <w:rFonts w:cs="Arial"/>
              </w:rPr>
            </w:pPr>
            <w:r>
              <w:rPr>
                <w:rFonts w:cs="Arial"/>
              </w:rPr>
            </w:r>
          </w:p>
          <w:p>
            <w:pPr>
              <w:pStyle w:val="ListParagraph"/>
              <w:numPr>
                <w:ilvl w:val="0"/>
                <w:numId w:val="3"/>
              </w:numPr>
              <w:spacing w:before="120" w:after="120"/>
              <w:contextualSpacing/>
              <w:rPr>
                <w:rFonts w:cs="Arial"/>
              </w:rPr>
            </w:pPr>
            <w:r>
              <w:rPr>
                <w:rFonts w:cs="Arial"/>
              </w:rPr>
              <w:t>Where an employee is asked to undertake duties other than those specified directly in his/her job description, such duties shall be discussed with the employee concerned who may have his/her Trade Union Representative present if so desired. (See Conditions of Service)</w:t>
            </w:r>
          </w:p>
        </w:tc>
      </w:tr>
      <w:tr>
        <w:trPr>
          <w:trHeight w:val="240" w:hRule="atLeast"/>
        </w:trPr>
        <w:tc>
          <w:tcPr>
            <w:tcW w:w="10466" w:type="dxa"/>
            <w:gridSpan w:val="4"/>
            <w:tcBorders>
              <w:left w:val="single" w:sz="6" w:space="0" w:color="000000"/>
              <w:right w:val="single" w:sz="6" w:space="0" w:color="000000"/>
            </w:tcBorders>
          </w:tcPr>
          <w:p>
            <w:pPr>
              <w:pStyle w:val="Normal"/>
              <w:snapToGrid w:val="false"/>
              <w:spacing w:before="120" w:after="120"/>
              <w:rPr>
                <w:rFonts w:cs="Arial"/>
              </w:rPr>
            </w:pPr>
            <w:r>
              <w:rPr>
                <w:rFonts w:cs="Arial"/>
              </w:rPr>
            </w:r>
          </w:p>
        </w:tc>
      </w:tr>
      <w:tr>
        <w:trPr>
          <w:trHeight w:val="60" w:hRule="atLeast"/>
          <w:cantSplit w:val="true"/>
        </w:trPr>
        <w:tc>
          <w:tcPr>
            <w:tcW w:w="10466" w:type="dxa"/>
            <w:gridSpan w:val="4"/>
            <w:tcBorders>
              <w:left w:val="single" w:sz="6" w:space="0" w:color="000000"/>
              <w:right w:val="single" w:sz="6" w:space="0" w:color="000000"/>
            </w:tcBorders>
          </w:tcPr>
          <w:p>
            <w:pPr>
              <w:pStyle w:val="Normal"/>
              <w:snapToGrid w:val="false"/>
              <w:spacing w:before="120" w:after="120"/>
              <w:rPr>
                <w:rFonts w:cs="Arial"/>
                <w:color w:val="000000"/>
              </w:rPr>
            </w:pPr>
            <w:r>
              <w:rPr>
                <w:rFonts w:cs="Arial"/>
                <w:color w:val="000000"/>
              </w:rPr>
            </w:r>
          </w:p>
        </w:tc>
      </w:tr>
      <w:tr>
        <w:trPr>
          <w:trHeight w:val="240" w:hRule="atLeast"/>
        </w:trPr>
        <w:tc>
          <w:tcPr>
            <w:tcW w:w="10466" w:type="dxa"/>
            <w:gridSpan w:val="4"/>
            <w:tcBorders>
              <w:left w:val="single" w:sz="6" w:space="0" w:color="000000"/>
              <w:right w:val="single" w:sz="6" w:space="0" w:color="000000"/>
            </w:tcBorders>
          </w:tcPr>
          <w:p>
            <w:pPr>
              <w:pStyle w:val="Normal"/>
              <w:snapToGrid w:val="false"/>
              <w:spacing w:before="120" w:after="240"/>
              <w:rPr>
                <w:rFonts w:cs="Arial"/>
                <w:color w:val="000000"/>
              </w:rPr>
            </w:pPr>
            <w:r>
              <w:rPr>
                <w:rFonts w:cs="Arial"/>
                <w:color w:val="000000"/>
              </w:rPr>
            </w:r>
          </w:p>
        </w:tc>
      </w:tr>
      <w:tr>
        <w:trPr>
          <w:trHeight w:val="240" w:hRule="atLeast"/>
          <w:cantSplit w:val="true"/>
        </w:trPr>
        <w:tc>
          <w:tcPr>
            <w:tcW w:w="10466" w:type="dxa"/>
            <w:gridSpan w:val="4"/>
            <w:tcBorders>
              <w:left w:val="single" w:sz="6" w:space="0" w:color="000000"/>
              <w:bottom w:val="double" w:sz="6" w:space="0" w:color="000000"/>
              <w:right w:val="single" w:sz="6" w:space="0" w:color="000000"/>
            </w:tcBorders>
          </w:tcPr>
          <w:p>
            <w:pPr>
              <w:pStyle w:val="Normal"/>
              <w:snapToGrid w:val="false"/>
              <w:spacing w:before="120" w:after="240"/>
              <w:rPr>
                <w:rFonts w:cs="Arial"/>
                <w:b/>
              </w:rPr>
            </w:pPr>
            <w:r>
              <w:rPr>
                <w:rFonts w:cs="Arial"/>
                <w:b/>
              </w:rPr>
            </w:r>
          </w:p>
        </w:tc>
      </w:tr>
      <w:tr>
        <w:trPr>
          <w:trHeight w:val="240" w:hRule="atLeast"/>
          <w:cantSplit w:val="true"/>
        </w:trPr>
        <w:tc>
          <w:tcPr>
            <w:tcW w:w="4454" w:type="dxa"/>
            <w:tcBorders>
              <w:top w:val="single" w:sz="6" w:space="0" w:color="000000"/>
              <w:left w:val="single" w:sz="6" w:space="0" w:color="000000"/>
              <w:bottom w:val="double" w:sz="6" w:space="0" w:color="000000"/>
              <w:right w:val="double" w:sz="6" w:space="0" w:color="000000"/>
            </w:tcBorders>
          </w:tcPr>
          <w:p>
            <w:pPr>
              <w:pStyle w:val="Normal"/>
              <w:spacing w:before="120" w:after="120"/>
              <w:rPr>
                <w:rFonts w:cs="Arial"/>
                <w:b/>
              </w:rPr>
            </w:pPr>
            <w:r>
              <w:rPr>
                <w:rFonts w:cs="Arial"/>
                <w:b/>
              </w:rPr>
              <w:t>Job Description prepared by:</w:t>
            </w:r>
          </w:p>
        </w:tc>
        <w:tc>
          <w:tcPr>
            <w:tcW w:w="3439" w:type="dxa"/>
            <w:gridSpan w:val="2"/>
            <w:tcBorders>
              <w:top w:val="single" w:sz="6" w:space="0" w:color="000000"/>
              <w:left w:val="double" w:sz="6" w:space="0" w:color="000000"/>
              <w:bottom w:val="double" w:sz="6" w:space="0" w:color="000000"/>
              <w:right w:val="double" w:sz="6" w:space="0" w:color="000000"/>
            </w:tcBorders>
          </w:tcPr>
          <w:p>
            <w:pPr>
              <w:pStyle w:val="Normal"/>
              <w:spacing w:before="120" w:after="120"/>
              <w:rPr>
                <w:rFonts w:cs="Arial"/>
                <w:b/>
              </w:rPr>
            </w:pPr>
            <w:r>
              <w:rPr>
                <w:rFonts w:cs="Arial"/>
                <w:b/>
              </w:rPr>
              <w:t>Sign: Lisa Mitchell</w:t>
            </w:r>
          </w:p>
        </w:tc>
        <w:tc>
          <w:tcPr>
            <w:tcW w:w="2573" w:type="dxa"/>
            <w:tcBorders>
              <w:top w:val="single" w:sz="6" w:space="0" w:color="000000"/>
              <w:left w:val="double" w:sz="6" w:space="0" w:color="000000"/>
              <w:bottom w:val="double" w:sz="6" w:space="0" w:color="000000"/>
              <w:right w:val="single" w:sz="6" w:space="0" w:color="000000"/>
            </w:tcBorders>
          </w:tcPr>
          <w:p>
            <w:pPr>
              <w:pStyle w:val="Normal"/>
              <w:spacing w:before="120" w:after="120"/>
              <w:rPr>
                <w:rFonts w:cs="Arial"/>
                <w:b/>
              </w:rPr>
            </w:pPr>
            <w:r>
              <w:rPr>
                <w:rFonts w:cs="Arial"/>
                <w:b/>
              </w:rPr>
              <w:t>Date: 20/7/26</w:t>
            </w:r>
          </w:p>
        </w:tc>
      </w:tr>
      <w:tr>
        <w:trPr>
          <w:trHeight w:val="240" w:hRule="atLeast"/>
          <w:cantSplit w:val="true"/>
        </w:trPr>
        <w:tc>
          <w:tcPr>
            <w:tcW w:w="4454" w:type="dxa"/>
            <w:tcBorders>
              <w:top w:val="double" w:sz="6" w:space="0" w:color="000000"/>
              <w:left w:val="single" w:sz="6" w:space="0" w:color="000000"/>
              <w:bottom w:val="double" w:sz="6" w:space="0" w:color="000000"/>
              <w:right w:val="double" w:sz="6" w:space="0" w:color="000000"/>
            </w:tcBorders>
          </w:tcPr>
          <w:p>
            <w:pPr>
              <w:pStyle w:val="Normal"/>
              <w:spacing w:before="120" w:after="120"/>
              <w:rPr>
                <w:rFonts w:cs="Arial"/>
                <w:b/>
              </w:rPr>
            </w:pPr>
            <w:r>
              <w:rPr>
                <w:rFonts w:cs="Arial"/>
                <w:b/>
              </w:rPr>
              <w:t xml:space="preserve">Agreed correct by Postholder: </w:t>
            </w:r>
          </w:p>
        </w:tc>
        <w:tc>
          <w:tcPr>
            <w:tcW w:w="3439" w:type="dxa"/>
            <w:gridSpan w:val="2"/>
            <w:tcBorders>
              <w:top w:val="double" w:sz="6" w:space="0" w:color="000000"/>
              <w:left w:val="double" w:sz="6" w:space="0" w:color="000000"/>
              <w:bottom w:val="double" w:sz="6" w:space="0" w:color="000000"/>
              <w:right w:val="double" w:sz="6" w:space="0" w:color="000000"/>
            </w:tcBorders>
          </w:tcPr>
          <w:p>
            <w:pPr>
              <w:pStyle w:val="Normal"/>
              <w:spacing w:before="120" w:after="120"/>
              <w:rPr>
                <w:rFonts w:cs="Arial"/>
                <w:b/>
              </w:rPr>
            </w:pPr>
            <w:r>
              <w:rPr>
                <w:rFonts w:cs="Arial"/>
                <w:b/>
              </w:rPr>
              <w:t>Sign:</w:t>
            </w:r>
          </w:p>
        </w:tc>
        <w:tc>
          <w:tcPr>
            <w:tcW w:w="2573" w:type="dxa"/>
            <w:tcBorders>
              <w:top w:val="double" w:sz="6" w:space="0" w:color="000000"/>
              <w:left w:val="double" w:sz="6" w:space="0" w:color="000000"/>
              <w:bottom w:val="double" w:sz="6" w:space="0" w:color="000000"/>
              <w:right w:val="single" w:sz="6" w:space="0" w:color="000000"/>
            </w:tcBorders>
          </w:tcPr>
          <w:p>
            <w:pPr>
              <w:pStyle w:val="Normal"/>
              <w:spacing w:before="120" w:after="120"/>
              <w:rPr>
                <w:rFonts w:cs="Arial"/>
                <w:b/>
              </w:rPr>
            </w:pPr>
            <w:r>
              <w:rPr>
                <w:rFonts w:cs="Arial"/>
                <w:b/>
              </w:rPr>
              <w:t>Date:</w:t>
            </w:r>
          </w:p>
        </w:tc>
      </w:tr>
      <w:tr>
        <w:trPr>
          <w:trHeight w:val="240" w:hRule="atLeast"/>
          <w:cantSplit w:val="true"/>
        </w:trPr>
        <w:tc>
          <w:tcPr>
            <w:tcW w:w="4454" w:type="dxa"/>
            <w:tcBorders>
              <w:top w:val="double" w:sz="6" w:space="0" w:color="000000"/>
              <w:left w:val="single" w:sz="6" w:space="0" w:color="000000"/>
              <w:bottom w:val="single" w:sz="6" w:space="0" w:color="000000"/>
              <w:right w:val="double" w:sz="6" w:space="0" w:color="000000"/>
            </w:tcBorders>
          </w:tcPr>
          <w:p>
            <w:pPr>
              <w:pStyle w:val="Normal"/>
              <w:spacing w:before="120" w:after="120"/>
              <w:rPr>
                <w:rFonts w:cs="Arial"/>
                <w:b/>
              </w:rPr>
            </w:pPr>
            <w:r>
              <w:rPr>
                <w:rFonts w:cs="Arial"/>
                <w:b/>
              </w:rPr>
              <w:t>Agreed correct by Supervisor/Manager:</w:t>
            </w:r>
          </w:p>
        </w:tc>
        <w:tc>
          <w:tcPr>
            <w:tcW w:w="3439" w:type="dxa"/>
            <w:gridSpan w:val="2"/>
            <w:tcBorders>
              <w:top w:val="double" w:sz="6" w:space="0" w:color="000000"/>
              <w:left w:val="double" w:sz="6" w:space="0" w:color="000000"/>
              <w:bottom w:val="single" w:sz="6" w:space="0" w:color="000000"/>
              <w:right w:val="double" w:sz="6" w:space="0" w:color="000000"/>
            </w:tcBorders>
          </w:tcPr>
          <w:p>
            <w:pPr>
              <w:pStyle w:val="Normal"/>
              <w:spacing w:before="120" w:after="120"/>
              <w:rPr>
                <w:rFonts w:cs="Arial"/>
                <w:b/>
              </w:rPr>
            </w:pPr>
            <w:r>
              <w:rPr>
                <w:rFonts w:cs="Arial"/>
                <w:b/>
              </w:rPr>
              <w:t>Sign:</w:t>
            </w:r>
          </w:p>
        </w:tc>
        <w:tc>
          <w:tcPr>
            <w:tcW w:w="2573" w:type="dxa"/>
            <w:tcBorders>
              <w:top w:val="double" w:sz="6" w:space="0" w:color="000000"/>
              <w:left w:val="double" w:sz="6" w:space="0" w:color="000000"/>
              <w:bottom w:val="single" w:sz="6" w:space="0" w:color="000000"/>
              <w:right w:val="single" w:sz="6" w:space="0" w:color="000000"/>
            </w:tcBorders>
          </w:tcPr>
          <w:p>
            <w:pPr>
              <w:pStyle w:val="Normal"/>
              <w:spacing w:before="120" w:after="120"/>
              <w:rPr>
                <w:rFonts w:cs="Arial"/>
                <w:b/>
              </w:rPr>
            </w:pPr>
            <w:r>
              <w:rPr>
                <w:rFonts w:cs="Arial"/>
                <w:b/>
              </w:rPr>
              <w:t>Date:</w:t>
            </w:r>
          </w:p>
        </w:tc>
      </w:tr>
    </w:tbl>
    <w:p>
      <w:pPr>
        <w:pStyle w:val="Normal"/>
        <w:rPr/>
      </w:pPr>
      <w:r>
        <w:rPr/>
      </w:r>
    </w:p>
    <w:p>
      <w:pPr>
        <w:pStyle w:val="Normal"/>
        <w:rPr/>
      </w:pPr>
      <w:r>
        <w:rPr/>
      </w:r>
      <w:r>
        <w:br w:type="page"/>
      </w:r>
    </w:p>
    <w:p>
      <w:pPr>
        <w:pStyle w:val="Normal"/>
        <w:ind w:firstLine="720" w:left="7200" w:right="0"/>
        <w:rPr>
          <w:rFonts w:ascii="Arial" w:hAnsi="Arial" w:cs="Arial"/>
          <w:b/>
          <w:bCs/>
          <w:color w:val="000000"/>
          <w:sz w:val="32"/>
          <w:szCs w:val="32"/>
        </w:rPr>
      </w:pPr>
      <w:r>
        <w:rPr/>
        <w:drawing>
          <wp:inline distT="0" distB="0" distL="0" distR="0">
            <wp:extent cx="1498600" cy="6089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4" t="-59" r="-24" b="-59"/>
                    <a:stretch>
                      <a:fillRect/>
                    </a:stretch>
                  </pic:blipFill>
                  <pic:spPr bwMode="auto">
                    <a:xfrm>
                      <a:off x="0" y="0"/>
                      <a:ext cx="1498600" cy="608965"/>
                    </a:xfrm>
                    <a:prstGeom prst="rect">
                      <a:avLst/>
                    </a:prstGeom>
                  </pic:spPr>
                </pic:pic>
              </a:graphicData>
            </a:graphic>
          </wp:inline>
        </w:drawing>
      </w:r>
    </w:p>
    <w:p>
      <w:pPr>
        <w:pStyle w:val="Normal"/>
        <w:jc w:val="center"/>
        <w:rPr>
          <w:rFonts w:ascii="Arial" w:hAnsi="Arial" w:cs="Arial"/>
          <w:b/>
          <w:bCs/>
          <w:color w:val="000000"/>
          <w:sz w:val="32"/>
          <w:szCs w:val="32"/>
        </w:rPr>
      </w:pPr>
      <w:r>
        <w:rPr>
          <w:rFonts w:cs="Arial" w:ascii="Arial" w:hAnsi="Arial"/>
          <w:b/>
          <w:bCs/>
          <w:color w:val="000000"/>
          <w:sz w:val="32"/>
          <w:szCs w:val="32"/>
        </w:rPr>
        <w:t>DEPARTMENT FOR HEALTH AND ADULT CARE</w:t>
      </w:r>
    </w:p>
    <w:p>
      <w:pPr>
        <w:pStyle w:val="Normal"/>
        <w:jc w:val="center"/>
        <w:rPr>
          <w:rFonts w:ascii="Arial" w:hAnsi="Arial" w:cs="Arial"/>
          <w:b/>
          <w:bCs/>
          <w:color w:val="000000"/>
          <w:sz w:val="32"/>
          <w:szCs w:val="32"/>
        </w:rPr>
      </w:pPr>
      <w:r>
        <w:rPr>
          <w:rFonts w:cs="Arial" w:ascii="Arial" w:hAnsi="Arial"/>
          <w:b/>
          <w:bCs/>
          <w:color w:val="000000"/>
          <w:sz w:val="32"/>
          <w:szCs w:val="32"/>
        </w:rPr>
        <w:t>SW Practice Development Officer</w:t>
      </w:r>
    </w:p>
    <w:p>
      <w:pPr>
        <w:pStyle w:val="Normal"/>
        <w:jc w:val="center"/>
        <w:rPr>
          <w:b/>
        </w:rPr>
      </w:pPr>
      <w:r>
        <w:rPr>
          <w:b/>
        </w:rPr>
      </w:r>
    </w:p>
    <w:tbl>
      <w:tblPr>
        <w:tblW w:w="5000" w:type="pct"/>
        <w:jc w:val="left"/>
        <w:tblInd w:w="108" w:type="dxa"/>
        <w:tblLayout w:type="fixed"/>
        <w:tblCellMar>
          <w:top w:w="0" w:type="dxa"/>
          <w:left w:w="108" w:type="dxa"/>
          <w:bottom w:w="0" w:type="dxa"/>
          <w:right w:w="108" w:type="dxa"/>
        </w:tblCellMar>
      </w:tblPr>
      <w:tblGrid>
        <w:gridCol w:w="2574"/>
        <w:gridCol w:w="5179"/>
        <w:gridCol w:w="1329"/>
        <w:gridCol w:w="1384"/>
      </w:tblGrid>
      <w:tr>
        <w:trPr>
          <w:trHeight w:val="345" w:hRule="atLeast"/>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b/>
              </w:rPr>
            </w:pPr>
            <w:r>
              <w:rPr>
                <w:b/>
              </w:rPr>
              <w:t>ASSESSMENT</w:t>
            </w:r>
          </w:p>
          <w:p>
            <w:pPr>
              <w:pStyle w:val="Normal"/>
              <w:spacing w:lineRule="auto" w:line="240" w:before="0" w:after="0"/>
              <w:jc w:val="center"/>
              <w:rPr>
                <w:b/>
              </w:rPr>
            </w:pPr>
            <w:r>
              <w:rPr>
                <w:b/>
              </w:rPr>
              <w:t>METHOD</w:t>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b/>
              </w:rPr>
            </w:pPr>
            <w:r>
              <w:rPr>
                <w:b/>
              </w:rPr>
              <w:t xml:space="preserve">Shortlisting criteria </w:t>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 xml:space="preserve">Essential </w:t>
            </w:r>
          </w:p>
        </w:tc>
        <w:tc>
          <w:tcPr>
            <w:tcW w:w="13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Desirable</w:t>
            </w:r>
          </w:p>
        </w:tc>
      </w:tr>
      <w:tr>
        <w:trPr>
          <w:trHeight w:val="567" w:hRule="atLeast"/>
          <w:cantSplit w:val="true"/>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Application / Interview</w:t>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Professional Social Work Qualification SW Degree/MA (DipSW/CSS)</w:t>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rPr>
                <w:rFonts w:ascii="Wingdings 2" w:hAnsi="Wingdings 2" w:eastAsia="Wingdings 2" w:cs="Wingdings 2"/>
              </w:rPr>
            </w:pPr>
            <w:r>
              <w:rPr>
                <w:rFonts w:eastAsia="Wingdings 2" w:cs="Wingdings 2" w:ascii="Wingdings 2" w:hAnsi="Wingdings 2"/>
              </w:rPr>
              <w:sym w:font="Wingdings 2" w:char="f050"/>
            </w:r>
          </w:p>
        </w:tc>
        <w:tc>
          <w:tcPr>
            <w:tcW w:w="138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r>
      <w:tr>
        <w:trPr>
          <w:trHeight w:val="567" w:hRule="atLeast"/>
          <w:cantSplit w:val="true"/>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Application</w:t>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Practice Educator Professional Standards (Stage 2)</w:t>
            </w:r>
          </w:p>
        </w:tc>
        <w:tc>
          <w:tcPr>
            <w:tcW w:w="132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c>
          <w:tcPr>
            <w:tcW w:w="13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rPr>
                <w:rFonts w:ascii="Wingdings 2" w:hAnsi="Wingdings 2" w:eastAsia="Wingdings 2" w:cs="Wingdings 2"/>
              </w:rPr>
            </w:pPr>
            <w:r>
              <w:rPr>
                <w:rFonts w:eastAsia="Wingdings 2" w:cs="Wingdings 2" w:ascii="Wingdings 2" w:hAnsi="Wingdings 2"/>
              </w:rPr>
              <w:sym w:font="Wingdings 2" w:char="f050"/>
            </w:r>
          </w:p>
        </w:tc>
      </w:tr>
      <w:tr>
        <w:trPr>
          <w:trHeight w:val="567" w:hRule="atLeast"/>
          <w:cantSplit w:val="true"/>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Application</w:t>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Practice Educator Professional Standards at stage 1 with a commitment to work towards stage 2</w:t>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rPr>
                <w:rFonts w:ascii="Wingdings 2" w:hAnsi="Wingdings 2" w:eastAsia="Wingdings 2" w:cs="Wingdings 2"/>
              </w:rPr>
            </w:pPr>
            <w:r>
              <w:rPr>
                <w:rFonts w:eastAsia="Wingdings 2" w:cs="Wingdings 2" w:ascii="Wingdings 2" w:hAnsi="Wingdings 2"/>
              </w:rPr>
              <w:sym w:font="Wingdings 2" w:char="f050"/>
            </w:r>
          </w:p>
        </w:tc>
        <w:tc>
          <w:tcPr>
            <w:tcW w:w="138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r>
      <w:tr>
        <w:trPr>
          <w:trHeight w:val="567" w:hRule="atLeast"/>
          <w:cantSplit w:val="true"/>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Application</w:t>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SW Registered with Social Work England</w:t>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rPr>
                <w:rFonts w:ascii="Wingdings 2" w:hAnsi="Wingdings 2" w:eastAsia="Wingdings 2" w:cs="Wingdings 2"/>
              </w:rPr>
            </w:pPr>
            <w:r>
              <w:rPr>
                <w:rFonts w:eastAsia="Wingdings 2" w:cs="Wingdings 2" w:ascii="Wingdings 2" w:hAnsi="Wingdings 2"/>
              </w:rPr>
              <w:sym w:font="Wingdings 2" w:char="f050"/>
            </w:r>
          </w:p>
        </w:tc>
        <w:tc>
          <w:tcPr>
            <w:tcW w:w="138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r>
      <w:tr>
        <w:trPr>
          <w:trHeight w:val="567" w:hRule="atLeast"/>
          <w:cantSplit w:val="true"/>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Application</w:t>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Three years post qualification experience working in a social work setting</w:t>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rPr>
                <w:rFonts w:ascii="Wingdings 2" w:hAnsi="Wingdings 2" w:eastAsia="Wingdings 2" w:cs="Wingdings 2"/>
              </w:rPr>
            </w:pPr>
            <w:r>
              <w:rPr>
                <w:rFonts w:eastAsia="Wingdings 2" w:cs="Wingdings 2" w:ascii="Wingdings 2" w:hAnsi="Wingdings 2"/>
              </w:rPr>
              <w:sym w:font="Wingdings 2" w:char="f050"/>
            </w:r>
          </w:p>
        </w:tc>
        <w:tc>
          <w:tcPr>
            <w:tcW w:w="138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r>
      <w:tr>
        <w:trPr>
          <w:trHeight w:val="567" w:hRule="atLeast"/>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Application/Interview</w:t>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 xml:space="preserve">Excellent interpersonal skills, with the ability to influence and negotiate effectively </w:t>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rPr>
                <w:rFonts w:ascii="Wingdings 2" w:hAnsi="Wingdings 2" w:eastAsia="Wingdings 2" w:cs="Wingdings 2"/>
              </w:rPr>
            </w:pPr>
            <w:r>
              <w:rPr>
                <w:rFonts w:eastAsia="Wingdings 2" w:cs="Wingdings 2" w:ascii="Wingdings 2" w:hAnsi="Wingdings 2"/>
              </w:rPr>
              <w:sym w:font="Wingdings 2" w:char="f050"/>
            </w:r>
          </w:p>
        </w:tc>
        <w:tc>
          <w:tcPr>
            <w:tcW w:w="138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r>
      <w:tr>
        <w:trPr>
          <w:trHeight w:val="567" w:hRule="atLeast"/>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Application</w:t>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Evidence of commitment to ongoing professional development</w:t>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rPr>
                <w:rFonts w:ascii="Wingdings 2" w:hAnsi="Wingdings 2" w:eastAsia="Wingdings 2" w:cs="Wingdings 2"/>
              </w:rPr>
            </w:pPr>
            <w:r>
              <w:rPr>
                <w:rFonts w:eastAsia="Wingdings 2" w:cs="Wingdings 2" w:ascii="Wingdings 2" w:hAnsi="Wingdings 2"/>
              </w:rPr>
              <w:sym w:font="Wingdings 2" w:char="f050"/>
            </w:r>
          </w:p>
        </w:tc>
        <w:tc>
          <w:tcPr>
            <w:tcW w:w="138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r>
      <w:tr>
        <w:trPr>
          <w:trHeight w:val="567" w:hRule="atLeast"/>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Application</w:t>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Detailed knowledge and understanding of the statutory and professional frameworks in relation to Social Work</w:t>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rPr>
                <w:rFonts w:ascii="Wingdings 2" w:hAnsi="Wingdings 2" w:eastAsia="Wingdings 2" w:cs="Wingdings 2"/>
              </w:rPr>
            </w:pPr>
            <w:r>
              <w:rPr>
                <w:rFonts w:eastAsia="Wingdings 2" w:cs="Wingdings 2" w:ascii="Wingdings 2" w:hAnsi="Wingdings 2"/>
              </w:rPr>
              <w:sym w:font="Wingdings 2" w:char="f050"/>
            </w:r>
          </w:p>
        </w:tc>
        <w:tc>
          <w:tcPr>
            <w:tcW w:w="138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r>
      <w:tr>
        <w:trPr>
          <w:trHeight w:val="567" w:hRule="atLeast"/>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Application</w:t>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An understanding of working to and assessing against the Post Qualifying Standards/Knowledge and Skills Statements (KSS)</w:t>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rPr>
                <w:rFonts w:ascii="Wingdings 2" w:hAnsi="Wingdings 2" w:eastAsia="Wingdings 2" w:cs="Wingdings 2"/>
              </w:rPr>
            </w:pPr>
            <w:r>
              <w:rPr>
                <w:rFonts w:eastAsia="Wingdings 2" w:cs="Wingdings 2" w:ascii="Wingdings 2" w:hAnsi="Wingdings 2"/>
              </w:rPr>
              <w:sym w:font="Wingdings 2" w:char="f050"/>
            </w:r>
          </w:p>
        </w:tc>
        <w:tc>
          <w:tcPr>
            <w:tcW w:w="138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r>
      <w:tr>
        <w:trPr>
          <w:trHeight w:val="567" w:hRule="atLeast"/>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Application/Interview</w:t>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To understand and to be able to perform the assessor / mentor role with a group of learners and Newly Qualified Social Worker’s.</w:t>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rPr>
                <w:rFonts w:ascii="Wingdings 2" w:hAnsi="Wingdings 2" w:eastAsia="Wingdings 2" w:cs="Wingdings 2"/>
              </w:rPr>
            </w:pPr>
            <w:r>
              <w:rPr>
                <w:rFonts w:eastAsia="Wingdings 2" w:cs="Wingdings 2" w:ascii="Wingdings 2" w:hAnsi="Wingdings 2"/>
              </w:rPr>
              <w:sym w:font="Wingdings 2" w:char="f050"/>
            </w:r>
          </w:p>
        </w:tc>
        <w:tc>
          <w:tcPr>
            <w:tcW w:w="138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r>
      <w:tr>
        <w:trPr>
          <w:trHeight w:val="567" w:hRule="atLeast"/>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Application/Interview</w:t>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Extensive experience of supporting and assessing student social workers and NQSW’s</w:t>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rPr>
                <w:rFonts w:ascii="Wingdings 2" w:hAnsi="Wingdings 2" w:eastAsia="Wingdings 2" w:cs="Wingdings 2"/>
              </w:rPr>
            </w:pPr>
            <w:r>
              <w:rPr>
                <w:rFonts w:eastAsia="Wingdings 2" w:cs="Wingdings 2" w:ascii="Wingdings 2" w:hAnsi="Wingdings 2"/>
              </w:rPr>
              <w:sym w:font="Wingdings 2" w:char="f050"/>
            </w:r>
          </w:p>
        </w:tc>
        <w:tc>
          <w:tcPr>
            <w:tcW w:w="138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r>
      <w:tr>
        <w:trPr>
          <w:trHeight w:val="567" w:hRule="atLeast"/>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Interview</w:t>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To understand the dynamics of supervision and its function and purpose</w:t>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rPr>
                <w:rFonts w:ascii="Wingdings 2" w:hAnsi="Wingdings 2" w:eastAsia="Wingdings 2" w:cs="Wingdings 2"/>
              </w:rPr>
            </w:pPr>
            <w:r>
              <w:rPr>
                <w:rFonts w:eastAsia="Wingdings 2" w:cs="Wingdings 2" w:ascii="Wingdings 2" w:hAnsi="Wingdings 2"/>
              </w:rPr>
              <w:sym w:font="Wingdings 2" w:char="f050"/>
            </w:r>
          </w:p>
        </w:tc>
        <w:tc>
          <w:tcPr>
            <w:tcW w:w="138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r>
      <w:tr>
        <w:trPr>
          <w:trHeight w:val="567" w:hRule="atLeast"/>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Interview</w:t>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To have knowledge and understanding of learning barriers, adult learning styles and how adults learn best</w:t>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rPr>
                <w:rFonts w:ascii="Wingdings 2" w:hAnsi="Wingdings 2" w:eastAsia="Wingdings 2" w:cs="Wingdings 2"/>
              </w:rPr>
            </w:pPr>
            <w:r>
              <w:rPr>
                <w:rFonts w:eastAsia="Wingdings 2" w:cs="Wingdings 2" w:ascii="Wingdings 2" w:hAnsi="Wingdings 2"/>
              </w:rPr>
              <w:sym w:font="Wingdings 2" w:char="f050"/>
            </w:r>
          </w:p>
        </w:tc>
        <w:tc>
          <w:tcPr>
            <w:tcW w:w="138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r>
      <w:tr>
        <w:trPr>
          <w:trHeight w:val="567" w:hRule="atLeast"/>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Interview</w:t>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To demonstrate the ability to manage, plan and organise own workload</w:t>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rPr>
                <w:rFonts w:ascii="Wingdings 2" w:hAnsi="Wingdings 2" w:eastAsia="Wingdings 2" w:cs="Wingdings 2"/>
              </w:rPr>
            </w:pPr>
            <w:r>
              <w:rPr>
                <w:rFonts w:eastAsia="Wingdings 2" w:cs="Wingdings 2" w:ascii="Wingdings 2" w:hAnsi="Wingdings 2"/>
              </w:rPr>
              <w:sym w:font="Wingdings 2" w:char="f050"/>
            </w:r>
          </w:p>
        </w:tc>
        <w:tc>
          <w:tcPr>
            <w:tcW w:w="138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r>
      <w:tr>
        <w:trPr>
          <w:trHeight w:val="567" w:hRule="atLeast"/>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Application</w:t>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Experience of working in partnership with other organisations</w:t>
            </w:r>
          </w:p>
        </w:tc>
        <w:tc>
          <w:tcPr>
            <w:tcW w:w="132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c>
          <w:tcPr>
            <w:tcW w:w="13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rPr>
                <w:rFonts w:ascii="Wingdings 2" w:hAnsi="Wingdings 2" w:eastAsia="Wingdings 2" w:cs="Wingdings 2"/>
              </w:rPr>
            </w:pPr>
            <w:r>
              <w:rPr>
                <w:rFonts w:eastAsia="Wingdings 2" w:cs="Wingdings 2" w:ascii="Wingdings 2" w:hAnsi="Wingdings 2"/>
              </w:rPr>
              <w:sym w:font="Wingdings 2" w:char="f050"/>
            </w:r>
          </w:p>
        </w:tc>
      </w:tr>
      <w:tr>
        <w:trPr>
          <w:trHeight w:val="567" w:hRule="atLeast"/>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Application</w:t>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200"/>
              <w:rPr/>
            </w:pPr>
            <w:r>
              <w:rPr/>
              <w:t>To demonstrate the ability to manage, organise, support and maintain the use of information technology systems and software.</w:t>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rPr>
                <w:rFonts w:ascii="Wingdings 2" w:hAnsi="Wingdings 2" w:eastAsia="Wingdings 2" w:cs="Wingdings 2"/>
              </w:rPr>
            </w:pPr>
            <w:r>
              <w:rPr>
                <w:rFonts w:eastAsia="Wingdings 2" w:cs="Wingdings 2" w:ascii="Wingdings 2" w:hAnsi="Wingdings 2"/>
              </w:rPr>
              <w:sym w:font="Wingdings 2" w:char="f050"/>
            </w:r>
          </w:p>
        </w:tc>
        <w:tc>
          <w:tcPr>
            <w:tcW w:w="138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r>
      <w:tr>
        <w:trPr>
          <w:trHeight w:val="567" w:hRule="atLeast"/>
        </w:trPr>
        <w:tc>
          <w:tcPr>
            <w:tcW w:w="257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120" w:after="200"/>
              <w:rPr/>
            </w:pPr>
            <w:r>
              <w:rPr/>
            </w:r>
          </w:p>
        </w:tc>
        <w:tc>
          <w:tcPr>
            <w:tcW w:w="51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120" w:after="200"/>
              <w:rPr/>
            </w:pPr>
            <w:r>
              <w:rPr/>
            </w:r>
          </w:p>
        </w:tc>
        <w:tc>
          <w:tcPr>
            <w:tcW w:w="132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c>
          <w:tcPr>
            <w:tcW w:w="138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200"/>
              <w:rPr/>
            </w:pPr>
            <w:r>
              <w:rPr/>
            </w:r>
          </w:p>
        </w:tc>
      </w:tr>
    </w:tbl>
    <w:p>
      <w:pPr>
        <w:pStyle w:val="Normal"/>
        <w:jc w:val="center"/>
        <w:rPr>
          <w:b/>
        </w:rPr>
      </w:pPr>
      <w:r>
        <w:rPr>
          <w:b/>
        </w:rPr>
      </w:r>
    </w:p>
    <w:p>
      <w:pPr>
        <w:pStyle w:val="Normal"/>
        <w:rPr>
          <w:b/>
          <w:sz w:val="6"/>
        </w:rPr>
      </w:pPr>
      <w:r>
        <w:rPr>
          <w:b/>
          <w:sz w:val="6"/>
        </w:rPr>
      </w:r>
    </w:p>
    <w:p>
      <w:pPr>
        <w:pStyle w:val="Normal"/>
        <w:jc w:val="center"/>
        <w:rPr>
          <w:rFonts w:cs="Arial"/>
          <w:b/>
          <w:sz w:val="6"/>
        </w:rPr>
      </w:pPr>
      <w:r>
        <w:rPr>
          <w:rFonts w:cs="Arial"/>
          <w:b/>
          <w:sz w:val="6"/>
        </w:rPr>
      </w:r>
    </w:p>
    <w:p>
      <w:pPr>
        <w:pStyle w:val="Normal"/>
        <w:widowControl/>
        <w:bidi w:val="0"/>
        <w:spacing w:lineRule="auto" w:line="276" w:before="0" w:after="200"/>
        <w:jc w:val="left"/>
        <w:rPr>
          <w:rFonts w:cs="Arial"/>
          <w:b/>
        </w:rPr>
      </w:pPr>
      <w:r>
        <w:rPr>
          <w:rFonts w:cs="Arial"/>
          <w:b/>
        </w:rPr>
      </w:r>
    </w:p>
    <w:sectPr>
      <w:headerReference w:type="default" r:id="rId4"/>
      <w:footerReference w:type="default" r:id="rId5"/>
      <w:type w:val="nextPage"/>
      <w:pgSz w:w="11906" w:h="16838"/>
      <w:pgMar w:left="720" w:right="720" w:gutter="0" w:header="709" w:top="766"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Franklin Gothic Dem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 w:name="Wingdings 2">
    <w:charset w:val="02"/>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fldChar w:fldCharType="begin"/>
    </w:r>
    <w:r>
      <w:rPr/>
      <w:instrText xml:space="preserve"> PAGE </w:instrText>
    </w:r>
    <w:r>
      <w:rPr/>
      <w:fldChar w:fldCharType="separate"/>
    </w:r>
    <w:r>
      <w:rPr/>
      <w:t>6</w:t>
    </w:r>
    <w:r>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9"/>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Verdana" w:hAnsi="Verdana" w:eastAsia="Calibri" w:cs="Verdana"/>
      <w:color w:val="auto"/>
      <w:kern w:val="0"/>
      <w:sz w:val="22"/>
      <w:szCs w:val="22"/>
      <w:lang w:val="en-GB" w:eastAsia="en-US" w:bidi="ar-SA"/>
    </w:rPr>
  </w:style>
  <w:style w:type="paragraph" w:styleId="Heading3">
    <w:name w:val="Heading 3"/>
    <w:basedOn w:val="Normal"/>
    <w:next w:val="Normal"/>
    <w:qFormat/>
    <w:pPr>
      <w:keepNext w:val="true"/>
      <w:keepLines/>
      <w:numPr>
        <w:ilvl w:val="2"/>
        <w:numId w:val="1"/>
      </w:numPr>
      <w:spacing w:before="200" w:after="0"/>
      <w:outlineLvl w:val="2"/>
    </w:pPr>
    <w:rPr>
      <w:rFonts w:ascii="Franklin Gothic Demi" w:hAnsi="Franklin Gothic Demi" w:eastAsia="Times New Roman" w:cs="Franklin Gothic Demi"/>
      <w:bCs/>
      <w:sz w:val="24"/>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DefaultParagraphFont">
    <w:name w:val="Default Paragraph Font"/>
    <w:qFormat/>
    <w:rPr/>
  </w:style>
  <w:style w:type="character" w:styleId="Heading3Char">
    <w:name w:val="Heading 3 Char"/>
    <w:qFormat/>
    <w:rPr>
      <w:rFonts w:ascii="Franklin Gothic Demi" w:hAnsi="Franklin Gothic Demi" w:eastAsia="Times New Roman" w:cs="Vrinda"/>
      <w:bCs/>
      <w:sz w:val="24"/>
      <w:szCs w:val="24"/>
    </w:rPr>
  </w:style>
  <w:style w:type="character" w:styleId="BalloonTextChar">
    <w:name w:val="Balloon Text Char"/>
    <w:qFormat/>
    <w:rPr>
      <w:rFonts w:ascii="Tahoma" w:hAnsi="Tahoma" w:eastAsia="Calibri" w:cs="Tahoma"/>
      <w:sz w:val="16"/>
      <w:szCs w:val="16"/>
    </w:rPr>
  </w:style>
  <w:style w:type="character" w:styleId="HeaderChar">
    <w:name w:val="Header Char"/>
    <w:basedOn w:val="DefaultParagraphFont"/>
    <w:qFormat/>
    <w:rPr>
      <w:rFonts w:cs="Vrinda"/>
      <w:sz w:val="22"/>
      <w:szCs w:val="22"/>
      <w:lang w:eastAsia="en-US"/>
    </w:rPr>
  </w:style>
  <w:style w:type="character" w:styleId="FooterChar">
    <w:name w:val="Footer Char"/>
    <w:basedOn w:val="DefaultParagraphFont"/>
    <w:qFormat/>
    <w:rPr>
      <w:rFonts w:cs="Vrinda"/>
      <w:sz w:val="22"/>
      <w:szCs w:val="22"/>
      <w:lang w:eastAsia="en-U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msonospacing">
    <w:name w:val="msonospacing"/>
    <w:basedOn w:val="Normal"/>
    <w:qFormat/>
    <w:pPr>
      <w:spacing w:lineRule="auto" w:line="240" w:before="0" w:after="0"/>
    </w:pPr>
    <w:rPr>
      <w:rFonts w:ascii="Calibri" w:hAnsi="Calibri" w:cs="Calibri"/>
      <w:lang w:eastAsia="en-GB"/>
    </w:rPr>
  </w:style>
  <w:style w:type="paragraph" w:styleId="ListParagraph">
    <w:name w:val="List Paragraph"/>
    <w:basedOn w:val="Normal"/>
    <w:qFormat/>
    <w:pPr>
      <w:spacing w:before="0" w:after="20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