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b/>
          <w:b/>
        </w:rPr>
      </w:pPr>
      <w:r>
        <w:rPr/>
        <w:drawing>
          <wp:inline distT="0" distB="0" distL="0" distR="0">
            <wp:extent cx="1479550" cy="61150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4" t="-59" r="-24" b="-59"/>
                    <a:stretch>
                      <a:fillRect/>
                    </a:stretch>
                  </pic:blipFill>
                  <pic:spPr bwMode="auto">
                    <a:xfrm>
                      <a:off x="0" y="0"/>
                      <a:ext cx="1479550" cy="611505"/>
                    </a:xfrm>
                    <a:prstGeom prst="rect">
                      <a:avLst/>
                    </a:prstGeom>
                  </pic:spPr>
                </pic:pic>
              </a:graphicData>
            </a:graphic>
          </wp:inline>
        </w:drawing>
      </w:r>
    </w:p>
    <w:p>
      <w:pPr>
        <w:pStyle w:val="Normal"/>
        <w:jc w:val="center"/>
        <w:rPr>
          <w:b/>
          <w:b/>
        </w:rPr>
      </w:pPr>
      <w:r>
        <w:rPr>
          <w:b/>
        </w:rPr>
        <w:t xml:space="preserve">JOB DESCRIPTION </w:t>
      </w:r>
    </w:p>
    <w:tbl>
      <w:tblPr>
        <w:tblW w:w="5000" w:type="pct"/>
        <w:jc w:val="left"/>
        <w:tblInd w:w="0" w:type="dxa"/>
        <w:tblCellMar>
          <w:top w:w="0" w:type="dxa"/>
          <w:left w:w="108" w:type="dxa"/>
          <w:bottom w:w="0" w:type="dxa"/>
          <w:right w:w="108" w:type="dxa"/>
        </w:tblCellMar>
      </w:tblPr>
      <w:tblGrid>
        <w:gridCol w:w="4442"/>
        <w:gridCol w:w="4584"/>
      </w:tblGrid>
      <w:tr>
        <w:trPr>
          <w:trHeight w:val="720" w:hRule="atLeast"/>
          <w:cantSplit w:val="true"/>
        </w:trPr>
        <w:tc>
          <w:tcPr>
            <w:tcW w:w="9026" w:type="dxa"/>
            <w:gridSpan w:val="2"/>
            <w:tcBorders>
              <w:top w:val="sing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Post Title</w:t>
            </w:r>
            <w:r>
              <w:rPr>
                <w:rFonts w:cs="Arial"/>
              </w:rPr>
              <w:t xml:space="preserve">: </w:t>
            </w:r>
            <w:bookmarkStart w:id="0" w:name="_Hlk213772305"/>
            <w:r>
              <w:rPr>
                <w:rFonts w:cs="Arial"/>
              </w:rPr>
              <w:t xml:space="preserve">Housing and Neighbourhood / Independent Living Manager </w:t>
            </w:r>
            <w:bookmarkEnd w:id="0"/>
          </w:p>
        </w:tc>
      </w:tr>
      <w:tr>
        <w:trPr>
          <w:cantSplit w:val="true"/>
        </w:trPr>
        <w:tc>
          <w:tcPr>
            <w:tcW w:w="4442" w:type="dxa"/>
            <w:tcBorders>
              <w:top w:val="double" w:sz="6" w:space="0" w:color="000000"/>
              <w:left w:val="single" w:sz="6" w:space="0" w:color="000000"/>
              <w:bottom w:val="double" w:sz="6" w:space="0" w:color="000000"/>
            </w:tcBorders>
            <w:shd w:fill="auto" w:val="clear"/>
          </w:tcPr>
          <w:p>
            <w:pPr>
              <w:pStyle w:val="Normal"/>
              <w:spacing w:before="120" w:after="240"/>
              <w:rPr/>
            </w:pPr>
            <w:r>
              <w:rPr>
                <w:rFonts w:cs="Arial"/>
                <w:b/>
              </w:rPr>
              <w:t>Department</w:t>
            </w:r>
            <w:r>
              <w:rPr>
                <w:rFonts w:cs="Arial"/>
              </w:rPr>
              <w:t xml:space="preserve">: Housing &amp; Neighbourhoods </w:t>
            </w:r>
          </w:p>
        </w:tc>
        <w:tc>
          <w:tcPr>
            <w:tcW w:w="4584" w:type="dxa"/>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Post No</w:t>
            </w:r>
            <w:r>
              <w:rPr>
                <w:rFonts w:cs="Arial"/>
              </w:rPr>
              <w:t xml:space="preserve">: </w:t>
            </w:r>
          </w:p>
        </w:tc>
      </w:tr>
      <w:tr>
        <w:trPr>
          <w:trHeight w:val="720" w:hRule="atLeast"/>
          <w:cantSplit w:val="true"/>
        </w:trPr>
        <w:tc>
          <w:tcPr>
            <w:tcW w:w="4442" w:type="dxa"/>
            <w:tcBorders>
              <w:top w:val="double" w:sz="6" w:space="0" w:color="000000"/>
              <w:left w:val="single" w:sz="6" w:space="0" w:color="000000"/>
            </w:tcBorders>
            <w:shd w:fill="auto" w:val="clear"/>
          </w:tcPr>
          <w:p>
            <w:pPr>
              <w:pStyle w:val="Normal"/>
              <w:spacing w:before="120" w:after="240"/>
              <w:rPr/>
            </w:pPr>
            <w:r>
              <w:rPr>
                <w:rFonts w:cs="Arial"/>
                <w:b/>
              </w:rPr>
              <w:t>Division/Section</w:t>
            </w:r>
            <w:r>
              <w:rPr>
                <w:rFonts w:cs="Arial"/>
              </w:rPr>
              <w:t>: Housing &amp; Neighbourhoods / Corporate Core</w:t>
            </w:r>
          </w:p>
        </w:tc>
        <w:tc>
          <w:tcPr>
            <w:tcW w:w="4584" w:type="dxa"/>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Post Grade</w:t>
            </w:r>
            <w:r>
              <w:rPr>
                <w:rFonts w:cs="Arial"/>
              </w:rPr>
              <w:t xml:space="preserve">: </w:t>
            </w:r>
          </w:p>
        </w:tc>
      </w:tr>
      <w:tr>
        <w:trPr>
          <w:trHeight w:val="720" w:hRule="atLeast"/>
          <w:cantSplit w:val="true"/>
        </w:trPr>
        <w:tc>
          <w:tcPr>
            <w:tcW w:w="4442" w:type="dxa"/>
            <w:tcBorders>
              <w:top w:val="double" w:sz="6" w:space="0" w:color="000000"/>
              <w:left w:val="single" w:sz="6" w:space="0" w:color="000000"/>
              <w:bottom w:val="double" w:sz="6" w:space="0" w:color="000000"/>
            </w:tcBorders>
            <w:shd w:fill="auto" w:val="clear"/>
          </w:tcPr>
          <w:p>
            <w:pPr>
              <w:pStyle w:val="Normal"/>
              <w:spacing w:before="120" w:after="240"/>
              <w:rPr/>
            </w:pPr>
            <w:r>
              <w:rPr>
                <w:rFonts w:cs="Arial"/>
                <w:b/>
              </w:rPr>
              <w:t>Location</w:t>
            </w:r>
            <w:r>
              <w:rPr/>
              <w:t xml:space="preserve"> </w:t>
            </w:r>
            <w:r>
              <w:rPr>
                <w:rFonts w:cs="Arial"/>
              </w:rPr>
              <w:t xml:space="preserve">6 Knowsley Place, Bury / Agile </w:t>
            </w:r>
          </w:p>
        </w:tc>
        <w:tc>
          <w:tcPr>
            <w:tcW w:w="4584" w:type="dxa"/>
            <w:tcBorders>
              <w:left w:val="single" w:sz="6" w:space="0" w:color="000000"/>
              <w:bottom w:val="double" w:sz="6" w:space="0" w:color="000000"/>
              <w:right w:val="single" w:sz="6" w:space="0" w:color="000000"/>
            </w:tcBorders>
            <w:shd w:fill="auto" w:val="clear"/>
          </w:tcPr>
          <w:p>
            <w:pPr>
              <w:pStyle w:val="Normal"/>
              <w:spacing w:before="120" w:after="240"/>
              <w:rPr/>
            </w:pPr>
            <w:r>
              <w:rPr>
                <w:rFonts w:cs="Arial"/>
                <w:b/>
              </w:rPr>
              <w:t>Post Hours</w:t>
            </w:r>
            <w:r>
              <w:rPr>
                <w:rFonts w:cs="Arial"/>
              </w:rPr>
              <w:t>: 37</w:t>
            </w:r>
          </w:p>
        </w:tc>
      </w:tr>
      <w:tr>
        <w:trPr>
          <w:trHeight w:val="960" w:hRule="atLeast"/>
          <w:cantSplit w:val="true"/>
        </w:trPr>
        <w:tc>
          <w:tcPr>
            <w:tcW w:w="9026" w:type="dxa"/>
            <w:gridSpan w:val="2"/>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Special Conditions of Service</w:t>
            </w:r>
            <w:r>
              <w:rPr>
                <w:rFonts w:cs="Arial"/>
              </w:rPr>
              <w:t>:</w:t>
            </w:r>
          </w:p>
          <w:p>
            <w:pPr>
              <w:pStyle w:val="Normal"/>
              <w:spacing w:before="120" w:after="240"/>
              <w:rPr>
                <w:rFonts w:cs="Arial"/>
              </w:rPr>
            </w:pPr>
            <w:r>
              <w:rPr>
                <w:rFonts w:cs="Arial"/>
              </w:rPr>
              <w:t>Full Driving License and access to a car</w:t>
            </w:r>
          </w:p>
          <w:p>
            <w:pPr>
              <w:pStyle w:val="Normal"/>
              <w:spacing w:before="120" w:after="240"/>
              <w:rPr>
                <w:rFonts w:cs="Arial"/>
              </w:rPr>
            </w:pPr>
            <w:r>
              <w:rPr>
                <w:rFonts w:cs="Arial"/>
              </w:rPr>
              <w:t>Possible out of hours working to meet the business need.</w:t>
            </w:r>
          </w:p>
        </w:tc>
      </w:tr>
      <w:tr>
        <w:trPr>
          <w:trHeight w:val="1426" w:hRule="atLeast"/>
          <w:cantSplit w:val="true"/>
        </w:trPr>
        <w:tc>
          <w:tcPr>
            <w:tcW w:w="9026" w:type="dxa"/>
            <w:gridSpan w:val="2"/>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120"/>
              <w:rPr/>
            </w:pPr>
            <w:r>
              <w:rPr>
                <w:rFonts w:cs="Arial"/>
                <w:b/>
              </w:rPr>
              <w:t>Purpose and Objectives of Post</w:t>
            </w:r>
            <w:r>
              <w:rPr>
                <w:rFonts w:cs="Arial"/>
              </w:rPr>
              <w:t xml:space="preserve">: </w:t>
            </w:r>
          </w:p>
          <w:p>
            <w:pPr>
              <w:pStyle w:val="Normal"/>
              <w:tabs>
                <w:tab w:val="clear" w:pos="720"/>
                <w:tab w:val="left" w:pos="1080" w:leader="none"/>
              </w:tabs>
              <w:spacing w:lineRule="auto" w:line="240" w:before="0" w:after="0"/>
              <w:rPr>
                <w:rFonts w:cs="Arial"/>
              </w:rPr>
            </w:pPr>
            <w:r>
              <w:rPr>
                <w:rFonts w:cs="Arial"/>
              </w:rPr>
              <w:t>To lead and manage the delivery of high-quality housing and neighbourhood management services across designated areas, ensuring effective oversight of all housing management functions, including tenancy sustainment, anti-social behaviour, allocations, and void management.</w:t>
            </w:r>
          </w:p>
          <w:p>
            <w:pPr>
              <w:pStyle w:val="Normal"/>
              <w:tabs>
                <w:tab w:val="clear" w:pos="720"/>
                <w:tab w:val="left" w:pos="1080" w:leader="none"/>
              </w:tabs>
              <w:spacing w:lineRule="auto" w:line="240" w:before="0" w:after="0"/>
              <w:rPr>
                <w:rFonts w:cs="Arial"/>
              </w:rPr>
            </w:pPr>
            <w:r>
              <w:rPr>
                <w:rFonts w:cs="Arial"/>
              </w:rPr>
            </w:r>
          </w:p>
          <w:p>
            <w:pPr>
              <w:pStyle w:val="Normal"/>
              <w:tabs>
                <w:tab w:val="clear" w:pos="720"/>
                <w:tab w:val="left" w:pos="1080" w:leader="none"/>
              </w:tabs>
              <w:spacing w:lineRule="auto" w:line="240" w:before="0" w:after="0"/>
              <w:rPr>
                <w:rFonts w:cs="Arial"/>
              </w:rPr>
            </w:pPr>
            <w:r>
              <w:rPr>
                <w:rFonts w:cs="Arial"/>
              </w:rPr>
              <w:t>The postholder will ensure compliance with all statutory, regulatory, and health and safety obligations, throughout the housing management services while driving performance, customer satisfaction, and value for money.</w:t>
            </w:r>
          </w:p>
          <w:p>
            <w:pPr>
              <w:pStyle w:val="Normal"/>
              <w:tabs>
                <w:tab w:val="clear" w:pos="720"/>
                <w:tab w:val="left" w:pos="1080" w:leader="none"/>
              </w:tabs>
              <w:spacing w:lineRule="auto" w:line="240" w:before="0" w:after="0"/>
              <w:rPr>
                <w:rFonts w:cs="Arial"/>
              </w:rPr>
            </w:pPr>
            <w:r>
              <w:rPr>
                <w:rFonts w:cs="Arial"/>
              </w:rPr>
            </w:r>
          </w:p>
          <w:p>
            <w:pPr>
              <w:pStyle w:val="Normal"/>
              <w:tabs>
                <w:tab w:val="clear" w:pos="720"/>
                <w:tab w:val="left" w:pos="1080" w:leader="none"/>
              </w:tabs>
              <w:spacing w:lineRule="auto" w:line="240" w:before="0" w:after="0"/>
              <w:rPr>
                <w:rFonts w:cs="Arial"/>
              </w:rPr>
            </w:pPr>
            <w:r>
              <w:rPr>
                <w:rFonts w:cs="Arial"/>
              </w:rPr>
              <w:t>This role combines operational housing leadership with strategic oversight of asset and compliance-related functions, ensuring the safety, sustainability, and continuous improvement of housing stock, neighbourhood environments and community wellbeing. The postholder will also provide strategic direction for the efficient allocation and turnaround of properties, minimising rent loss and ensuring a fair and transparent access to housing in line with the Councils allocations policy.</w:t>
            </w:r>
          </w:p>
          <w:p>
            <w:pPr>
              <w:pStyle w:val="Normal"/>
              <w:tabs>
                <w:tab w:val="clear" w:pos="720"/>
                <w:tab w:val="left" w:pos="1080" w:leader="none"/>
              </w:tabs>
              <w:spacing w:lineRule="auto" w:line="240" w:before="0" w:after="0"/>
              <w:rPr>
                <w:rFonts w:ascii="Arial" w:hAnsi="Arial" w:eastAsia="Times New Roman" w:cs="Arial"/>
                <w:sz w:val="24"/>
                <w:szCs w:val="24"/>
                <w:lang w:eastAsia="en-GB"/>
              </w:rPr>
            </w:pPr>
            <w:r>
              <w:rPr>
                <w:rFonts w:eastAsia="Times New Roman" w:cs="Arial" w:ascii="Arial" w:hAnsi="Arial"/>
                <w:sz w:val="24"/>
                <w:szCs w:val="24"/>
                <w:lang w:eastAsia="en-GB"/>
              </w:rPr>
            </w:r>
          </w:p>
        </w:tc>
      </w:tr>
      <w:tr>
        <w:trPr>
          <w:cantSplit w:val="true"/>
        </w:trPr>
        <w:tc>
          <w:tcPr>
            <w:tcW w:w="9026" w:type="dxa"/>
            <w:gridSpan w:val="2"/>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 xml:space="preserve">Accountable to: </w:t>
            </w:r>
            <w:r>
              <w:rPr>
                <w:rFonts w:cs="Arial"/>
                <w:bCs/>
              </w:rPr>
              <w:t>Director of Housing</w:t>
            </w:r>
          </w:p>
        </w:tc>
      </w:tr>
      <w:tr>
        <w:trPr>
          <w:cantSplit w:val="true"/>
        </w:trPr>
        <w:tc>
          <w:tcPr>
            <w:tcW w:w="9026" w:type="dxa"/>
            <w:gridSpan w:val="2"/>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bCs/>
              </w:rPr>
              <w:t>Immediately Responsible to</w:t>
            </w:r>
            <w:r>
              <w:rPr>
                <w:rFonts w:cs="Arial"/>
              </w:rPr>
              <w:t>: Head of Housing &amp; Neighbourhoods</w:t>
            </w:r>
          </w:p>
        </w:tc>
      </w:tr>
      <w:tr>
        <w:trPr>
          <w:trHeight w:val="680" w:hRule="atLeast"/>
          <w:cantSplit w:val="true"/>
        </w:trPr>
        <w:tc>
          <w:tcPr>
            <w:tcW w:w="9026" w:type="dxa"/>
            <w:gridSpan w:val="2"/>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Immediately Responsible for</w:t>
            </w:r>
            <w:r>
              <w:rPr>
                <w:rFonts w:cs="Arial"/>
              </w:rPr>
              <w:t>: Housing Officers / Independent Living Officers / Caretakers, Domestic Cleaners / Enforcement Officers</w:t>
            </w:r>
          </w:p>
        </w:tc>
      </w:tr>
    </w:tbl>
    <w:p>
      <w:pPr>
        <w:pStyle w:val="Normal"/>
        <w:rPr/>
      </w:pPr>
      <w:r>
        <w:rPr/>
      </w:r>
    </w:p>
    <w:tbl>
      <w:tblPr>
        <w:tblW w:w="5000" w:type="pct"/>
        <w:jc w:val="left"/>
        <w:tblInd w:w="0" w:type="dxa"/>
        <w:tblCellMar>
          <w:top w:w="0" w:type="dxa"/>
          <w:left w:w="108" w:type="dxa"/>
          <w:bottom w:w="0" w:type="dxa"/>
          <w:right w:w="108" w:type="dxa"/>
        </w:tblCellMar>
      </w:tblPr>
      <w:tblGrid>
        <w:gridCol w:w="9026"/>
      </w:tblGrid>
      <w:tr>
        <w:trPr>
          <w:trHeight w:val="2777" w:hRule="atLeast"/>
          <w:cantSplit w:val="true"/>
        </w:trPr>
        <w:tc>
          <w:tcPr>
            <w:tcW w:w="9026" w:type="dxa"/>
            <w:tcBorders>
              <w:top w:val="double" w:sz="6" w:space="0" w:color="000000"/>
              <w:left w:val="single" w:sz="6" w:space="0" w:color="000000"/>
              <w:right w:val="single" w:sz="6" w:space="0" w:color="000000"/>
            </w:tcBorders>
            <w:shd w:fill="auto" w:val="clear"/>
          </w:tcPr>
          <w:p>
            <w:pPr>
              <w:pStyle w:val="Normal"/>
              <w:spacing w:lineRule="auto" w:line="240" w:before="0" w:after="180"/>
              <w:rPr>
                <w:rFonts w:cs="Arial"/>
                <w:b/>
                <w:b/>
              </w:rPr>
            </w:pPr>
            <w:r>
              <w:rPr>
                <w:rFonts w:cs="Arial"/>
                <w:b/>
              </w:rPr>
              <w:t>Key Stakeholders: (Internal and External)</w:t>
            </w:r>
          </w:p>
          <w:p>
            <w:pPr>
              <w:pStyle w:val="Normal"/>
              <w:tabs>
                <w:tab w:val="clear" w:pos="720"/>
                <w:tab w:val="left" w:pos="4320" w:leader="none"/>
              </w:tabs>
              <w:spacing w:before="120" w:after="120"/>
              <w:rPr>
                <w:rFonts w:cs="Arial"/>
                <w:b/>
                <w:b/>
              </w:rPr>
            </w:pPr>
            <w:r>
              <w:rPr>
                <w:rFonts w:cs="Arial"/>
                <w:b/>
              </w:rPr>
              <w:t>Internal</w:t>
            </w:r>
          </w:p>
          <w:p>
            <w:pPr>
              <w:pStyle w:val="Normal"/>
              <w:tabs>
                <w:tab w:val="clear" w:pos="720"/>
                <w:tab w:val="left" w:pos="4320" w:leader="none"/>
              </w:tabs>
              <w:spacing w:before="120" w:after="120"/>
              <w:rPr>
                <w:rFonts w:cs="Arial"/>
              </w:rPr>
            </w:pPr>
            <w:r>
              <w:rPr>
                <w:rFonts w:cs="Arial"/>
              </w:rPr>
              <w:t>Housing and Neighbourhoods Teams</w:t>
            </w:r>
          </w:p>
          <w:p>
            <w:pPr>
              <w:pStyle w:val="Normal"/>
              <w:tabs>
                <w:tab w:val="clear" w:pos="720"/>
                <w:tab w:val="left" w:pos="4320" w:leader="none"/>
              </w:tabs>
              <w:spacing w:before="120" w:after="120"/>
              <w:rPr>
                <w:rFonts w:cs="Arial"/>
              </w:rPr>
            </w:pPr>
            <w:r>
              <w:rPr>
                <w:rFonts w:cs="Arial"/>
              </w:rPr>
              <w:t>Adult and Childrens Services</w:t>
            </w:r>
          </w:p>
          <w:p>
            <w:pPr>
              <w:pStyle w:val="Normal"/>
              <w:tabs>
                <w:tab w:val="clear" w:pos="720"/>
                <w:tab w:val="left" w:pos="4320" w:leader="none"/>
              </w:tabs>
              <w:spacing w:before="120" w:after="120"/>
              <w:rPr>
                <w:rFonts w:cs="Arial"/>
              </w:rPr>
            </w:pPr>
            <w:r>
              <w:rPr>
                <w:rFonts w:cs="Arial"/>
              </w:rPr>
              <w:t>Environmental Health</w:t>
            </w:r>
          </w:p>
          <w:p>
            <w:pPr>
              <w:pStyle w:val="Normal"/>
              <w:tabs>
                <w:tab w:val="clear" w:pos="720"/>
                <w:tab w:val="left" w:pos="4320" w:leader="none"/>
              </w:tabs>
              <w:spacing w:before="120" w:after="120"/>
              <w:rPr>
                <w:rFonts w:cs="Arial"/>
              </w:rPr>
            </w:pPr>
            <w:r>
              <w:rPr>
                <w:rFonts w:cs="Arial"/>
              </w:rPr>
              <w:t>Waste Management</w:t>
            </w:r>
          </w:p>
          <w:p>
            <w:pPr>
              <w:pStyle w:val="Normal"/>
              <w:tabs>
                <w:tab w:val="clear" w:pos="720"/>
                <w:tab w:val="left" w:pos="4320" w:leader="none"/>
              </w:tabs>
              <w:spacing w:before="120" w:after="120"/>
              <w:rPr>
                <w:rFonts w:cs="Arial"/>
              </w:rPr>
            </w:pPr>
            <w:r>
              <w:rPr>
                <w:rFonts w:cs="Arial"/>
              </w:rPr>
              <w:t>Grounds Maintenance</w:t>
            </w:r>
          </w:p>
          <w:p>
            <w:pPr>
              <w:pStyle w:val="Normal"/>
              <w:tabs>
                <w:tab w:val="clear" w:pos="720"/>
                <w:tab w:val="left" w:pos="4320" w:leader="none"/>
              </w:tabs>
              <w:spacing w:before="120" w:after="120"/>
              <w:rPr>
                <w:rFonts w:cs="Arial"/>
              </w:rPr>
            </w:pPr>
            <w:r>
              <w:rPr>
                <w:rFonts w:cs="Arial"/>
              </w:rPr>
              <w:t>Cleaning Services</w:t>
            </w:r>
          </w:p>
          <w:p>
            <w:pPr>
              <w:pStyle w:val="Normal"/>
              <w:tabs>
                <w:tab w:val="clear" w:pos="720"/>
                <w:tab w:val="left" w:pos="4320" w:leader="none"/>
              </w:tabs>
              <w:spacing w:before="120" w:after="120"/>
              <w:rPr>
                <w:rFonts w:cs="Arial"/>
              </w:rPr>
            </w:pPr>
            <w:r>
              <w:rPr>
                <w:rFonts w:cs="Arial"/>
              </w:rPr>
              <w:t>Pest Control</w:t>
            </w:r>
          </w:p>
          <w:p>
            <w:pPr>
              <w:pStyle w:val="Normal"/>
              <w:tabs>
                <w:tab w:val="clear" w:pos="720"/>
                <w:tab w:val="left" w:pos="4320" w:leader="none"/>
              </w:tabs>
              <w:spacing w:before="120" w:after="120"/>
              <w:rPr>
                <w:rFonts w:cs="Arial"/>
              </w:rPr>
            </w:pPr>
            <w:r>
              <w:rPr>
                <w:rFonts w:cs="Arial"/>
              </w:rPr>
              <w:t>Health and Safety</w:t>
            </w:r>
          </w:p>
          <w:p>
            <w:pPr>
              <w:pStyle w:val="Normal"/>
              <w:tabs>
                <w:tab w:val="clear" w:pos="720"/>
                <w:tab w:val="left" w:pos="4320" w:leader="none"/>
              </w:tabs>
              <w:spacing w:before="120" w:after="120"/>
              <w:rPr>
                <w:rFonts w:cs="Arial"/>
              </w:rPr>
            </w:pPr>
            <w:r>
              <w:rPr>
                <w:rFonts w:cs="Arial"/>
              </w:rPr>
              <w:t>Building Safety Officers</w:t>
            </w:r>
          </w:p>
          <w:p>
            <w:pPr>
              <w:pStyle w:val="Normal"/>
              <w:tabs>
                <w:tab w:val="clear" w:pos="720"/>
                <w:tab w:val="left" w:pos="4320" w:leader="none"/>
              </w:tabs>
              <w:spacing w:before="120" w:after="120"/>
              <w:rPr>
                <w:rFonts w:cs="Arial"/>
              </w:rPr>
            </w:pPr>
            <w:r>
              <w:rPr>
                <w:rFonts w:cs="Arial"/>
              </w:rPr>
              <w:t>Corporate Policy</w:t>
            </w:r>
          </w:p>
          <w:p>
            <w:pPr>
              <w:pStyle w:val="Normal"/>
              <w:tabs>
                <w:tab w:val="clear" w:pos="720"/>
                <w:tab w:val="left" w:pos="4320" w:leader="none"/>
              </w:tabs>
              <w:spacing w:before="120" w:after="120"/>
              <w:rPr>
                <w:rFonts w:cs="Arial"/>
              </w:rPr>
            </w:pPr>
            <w:r>
              <w:rPr>
                <w:rFonts w:cs="Arial"/>
              </w:rPr>
              <w:t>Communications</w:t>
            </w:r>
          </w:p>
          <w:p>
            <w:pPr>
              <w:pStyle w:val="Normal"/>
              <w:tabs>
                <w:tab w:val="clear" w:pos="720"/>
                <w:tab w:val="left" w:pos="4320" w:leader="none"/>
              </w:tabs>
              <w:spacing w:before="120" w:after="120"/>
              <w:rPr>
                <w:rFonts w:cs="Arial"/>
              </w:rPr>
            </w:pPr>
            <w:r>
              <w:rPr>
                <w:rFonts w:cs="Arial"/>
              </w:rPr>
              <w:t>Legal Services </w:t>
            </w:r>
          </w:p>
          <w:p>
            <w:pPr>
              <w:pStyle w:val="Normal"/>
              <w:tabs>
                <w:tab w:val="clear" w:pos="720"/>
                <w:tab w:val="left" w:pos="4320" w:leader="none"/>
              </w:tabs>
              <w:spacing w:before="120" w:after="120"/>
              <w:rPr>
                <w:rFonts w:cs="Arial"/>
                <w:b/>
                <w:b/>
              </w:rPr>
            </w:pPr>
            <w:r>
              <w:rPr>
                <w:rFonts w:cs="Arial"/>
                <w:b/>
              </w:rPr>
              <w:t>External</w:t>
            </w:r>
          </w:p>
          <w:p>
            <w:pPr>
              <w:pStyle w:val="Normal"/>
              <w:tabs>
                <w:tab w:val="clear" w:pos="720"/>
                <w:tab w:val="left" w:pos="4320" w:leader="none"/>
              </w:tabs>
              <w:spacing w:before="120" w:after="120"/>
              <w:rPr>
                <w:rFonts w:cs="Arial"/>
                <w:bCs/>
              </w:rPr>
            </w:pPr>
            <w:r>
              <w:rPr>
                <w:rFonts w:cs="Arial"/>
                <w:bCs/>
              </w:rPr>
              <w:t>Tenants and Resident Associations </w:t>
            </w:r>
          </w:p>
          <w:p>
            <w:pPr>
              <w:pStyle w:val="Normal"/>
              <w:tabs>
                <w:tab w:val="clear" w:pos="720"/>
                <w:tab w:val="left" w:pos="4320" w:leader="none"/>
              </w:tabs>
              <w:spacing w:before="120" w:after="120"/>
              <w:rPr>
                <w:rFonts w:cs="Arial"/>
                <w:bCs/>
              </w:rPr>
            </w:pPr>
            <w:r>
              <w:rPr>
                <w:rFonts w:cs="Arial"/>
                <w:bCs/>
              </w:rPr>
              <w:t>Local Councillors and Ward Members </w:t>
            </w:r>
          </w:p>
          <w:p>
            <w:pPr>
              <w:pStyle w:val="Normal"/>
              <w:tabs>
                <w:tab w:val="clear" w:pos="720"/>
                <w:tab w:val="left" w:pos="4320" w:leader="none"/>
              </w:tabs>
              <w:spacing w:before="120" w:after="120"/>
              <w:rPr>
                <w:rFonts w:cs="Arial"/>
                <w:bCs/>
              </w:rPr>
            </w:pPr>
            <w:r>
              <w:rPr>
                <w:rFonts w:cs="Arial"/>
                <w:bCs/>
              </w:rPr>
              <w:t>Contractors and Partner Organisations </w:t>
            </w:r>
          </w:p>
          <w:p>
            <w:pPr>
              <w:pStyle w:val="Normal"/>
              <w:tabs>
                <w:tab w:val="clear" w:pos="720"/>
                <w:tab w:val="left" w:pos="4320" w:leader="none"/>
              </w:tabs>
              <w:spacing w:before="120" w:after="120"/>
              <w:rPr>
                <w:rFonts w:cs="Arial"/>
                <w:bCs/>
              </w:rPr>
            </w:pPr>
            <w:r>
              <w:rPr>
                <w:rFonts w:cs="Arial"/>
                <w:bCs/>
              </w:rPr>
              <w:t>Bury Council departments including Adult / Children Social Care, Community Safety, and Environmental Services </w:t>
            </w:r>
          </w:p>
          <w:p>
            <w:pPr>
              <w:pStyle w:val="Normal"/>
              <w:tabs>
                <w:tab w:val="clear" w:pos="720"/>
                <w:tab w:val="left" w:pos="4320" w:leader="none"/>
              </w:tabs>
              <w:spacing w:before="120" w:after="120"/>
              <w:rPr>
                <w:rFonts w:cs="Arial"/>
                <w:bCs/>
              </w:rPr>
            </w:pPr>
            <w:r>
              <w:rPr>
                <w:rFonts w:cs="Arial"/>
                <w:bCs/>
              </w:rPr>
              <w:t>Regulator of Social Housing and other statutory bodies </w:t>
            </w:r>
          </w:p>
          <w:p>
            <w:pPr>
              <w:pStyle w:val="Normal"/>
              <w:tabs>
                <w:tab w:val="clear" w:pos="720"/>
                <w:tab w:val="left" w:pos="4320" w:leader="none"/>
              </w:tabs>
              <w:spacing w:before="120" w:after="120"/>
              <w:rPr>
                <w:rFonts w:cs="Arial"/>
                <w:bCs/>
              </w:rPr>
            </w:pPr>
            <w:r>
              <w:rPr>
                <w:rFonts w:cs="Arial"/>
                <w:bCs/>
              </w:rPr>
              <w:t>Voluntary and Community Sector partners </w:t>
            </w:r>
          </w:p>
          <w:p>
            <w:pPr>
              <w:pStyle w:val="Normal"/>
              <w:tabs>
                <w:tab w:val="clear" w:pos="720"/>
                <w:tab w:val="left" w:pos="4320" w:leader="none"/>
              </w:tabs>
              <w:spacing w:before="120" w:after="120"/>
              <w:rPr>
                <w:rFonts w:cs="Arial"/>
                <w:bCs/>
              </w:rPr>
            </w:pPr>
            <w:r>
              <w:rPr>
                <w:rFonts w:cs="Arial"/>
                <w:bCs/>
              </w:rPr>
              <w:t>Emergency services and other external agencies </w:t>
            </w:r>
          </w:p>
          <w:p>
            <w:pPr>
              <w:pStyle w:val="Normal"/>
              <w:spacing w:lineRule="auto" w:line="240" w:before="0" w:after="180"/>
              <w:rPr/>
            </w:pPr>
            <w:r>
              <w:rPr/>
            </w:r>
          </w:p>
        </w:tc>
      </w:tr>
      <w:tr>
        <w:trPr>
          <w:trHeight w:val="2154" w:hRule="atLeast"/>
          <w:cantSplit w:val="true"/>
        </w:trPr>
        <w:tc>
          <w:tcPr>
            <w:tcW w:w="9026" w:type="dxa"/>
            <w:tcBorders>
              <w:top w:val="double" w:sz="6" w:space="0" w:color="000000"/>
              <w:left w:val="single" w:sz="6" w:space="0" w:color="000000"/>
              <w:bottom w:val="single" w:sz="6" w:space="0" w:color="000000"/>
              <w:right w:val="single" w:sz="6" w:space="0" w:color="000000"/>
            </w:tcBorders>
            <w:shd w:fill="auto" w:val="clear"/>
          </w:tcPr>
          <w:p>
            <w:pPr>
              <w:pStyle w:val="Normal"/>
              <w:spacing w:before="120" w:after="120"/>
              <w:rPr/>
            </w:pPr>
            <w:r>
              <w:rPr>
                <w:rFonts w:cs="Arial"/>
                <w:b/>
              </w:rPr>
              <w:t>Control of Resources</w:t>
            </w:r>
            <w:r>
              <w:rPr>
                <w:rFonts w:cs="Arial"/>
              </w:rPr>
              <w:t xml:space="preserve">: </w:t>
            </w:r>
          </w:p>
          <w:p>
            <w:pPr>
              <w:pStyle w:val="Normal"/>
              <w:spacing w:lineRule="auto" w:line="240" w:before="0" w:after="180"/>
              <w:rPr>
                <w:rFonts w:cs="Arial"/>
              </w:rPr>
            </w:pPr>
            <w:r>
              <w:rPr>
                <w:rFonts w:cs="Arial"/>
              </w:rPr>
              <w:t>Responsible for managing delegated revenue budgets and monitoring expenditure against targets e.g. Target Hardening, Environmental, Furnished, Tool and Equipment and Area Neighbourhood Budgets.</w:t>
            </w:r>
          </w:p>
          <w:p>
            <w:pPr>
              <w:pStyle w:val="Normal"/>
              <w:spacing w:lineRule="auto" w:line="240" w:before="0" w:after="180"/>
              <w:rPr>
                <w:rFonts w:cs="Arial"/>
              </w:rPr>
            </w:pPr>
            <w:r>
              <w:rPr>
                <w:rFonts w:cs="Arial"/>
              </w:rPr>
              <w:t>Accountable for ensuring staff equipment, and IT systems are used efficiently and securely.</w:t>
            </w:r>
          </w:p>
          <w:p>
            <w:pPr>
              <w:pStyle w:val="Normal"/>
              <w:spacing w:lineRule="auto" w:line="240" w:before="0" w:after="180"/>
              <w:rPr>
                <w:rFonts w:cs="Arial"/>
              </w:rPr>
            </w:pPr>
            <w:r>
              <w:rPr>
                <w:rFonts w:cs="Arial"/>
              </w:rPr>
              <w:t>Responsible for accurate data management, compliance records, and safeguarding confidential information in accordance with data protection legislation.</w:t>
            </w:r>
          </w:p>
          <w:p>
            <w:pPr>
              <w:pStyle w:val="Normal"/>
              <w:spacing w:lineRule="auto" w:line="240" w:before="0" w:after="180"/>
              <w:rPr>
                <w:rFonts w:cs="Arial"/>
              </w:rPr>
            </w:pPr>
            <w:r>
              <w:rPr>
                <w:rFonts w:cs="Arial"/>
              </w:rPr>
              <w:t>Oversight of contractor and supplier activity relevant to housing and neighbourhood operations.</w:t>
            </w:r>
          </w:p>
          <w:p>
            <w:pPr>
              <w:pStyle w:val="Normal"/>
              <w:spacing w:lineRule="auto" w:line="240" w:before="0" w:after="180"/>
              <w:rPr>
                <w:rFonts w:cs="Arial"/>
              </w:rPr>
            </w:pPr>
            <w:r>
              <w:rPr>
                <w:rFonts w:cs="Arial"/>
              </w:rPr>
            </w:r>
          </w:p>
        </w:tc>
      </w:tr>
    </w:tbl>
    <w:p>
      <w:pPr>
        <w:pStyle w:val="Normal"/>
        <w:rPr/>
      </w:pPr>
      <w:r>
        <w:rPr/>
      </w:r>
    </w:p>
    <w:p>
      <w:pPr>
        <w:pStyle w:val="Normal"/>
        <w:rPr/>
      </w:pPr>
      <w:r>
        <w:rPr/>
      </w:r>
    </w:p>
    <w:p>
      <w:pPr>
        <w:pStyle w:val="Normal"/>
        <w:spacing w:before="120" w:after="120"/>
        <w:rPr/>
      </w:pPr>
      <w:r>
        <w:rPr>
          <w:rFonts w:cs="Arial"/>
          <w:b/>
        </w:rPr>
        <w:t>Duties/Responsibilities</w:t>
      </w:r>
      <w:r>
        <w:rPr>
          <w:rFonts w:cs="Arial"/>
        </w:rPr>
        <w:t xml:space="preserve">: </w:t>
      </w:r>
    </w:p>
    <w:p>
      <w:pPr>
        <w:pStyle w:val="Normal"/>
        <w:spacing w:before="120" w:after="120"/>
        <w:rPr>
          <w:rFonts w:cs="Arial"/>
          <w:b/>
          <w:b/>
          <w:bCs/>
        </w:rPr>
      </w:pPr>
      <w:r>
        <w:rPr>
          <w:rFonts w:cs="Arial"/>
          <w:b/>
          <w:bCs/>
        </w:rPr>
        <w:t>Operational Leadership and Performance</w:t>
      </w:r>
    </w:p>
    <w:p>
      <w:pPr>
        <w:pStyle w:val="Normal"/>
        <w:numPr>
          <w:ilvl w:val="0"/>
          <w:numId w:val="2"/>
        </w:numPr>
        <w:tabs>
          <w:tab w:val="left" w:pos="720" w:leader="none"/>
        </w:tabs>
        <w:spacing w:lineRule="auto" w:line="240" w:before="0" w:after="0"/>
        <w:rPr>
          <w:rFonts w:cs="Arial"/>
        </w:rPr>
      </w:pPr>
      <w:r>
        <w:rPr>
          <w:rFonts w:cs="Arial"/>
        </w:rPr>
        <w:t>Lead, motivate, and manage a team of Housing Officers, / Independent Living Officers, to deliver high-performing, customer-focused neighbourhood services.</w:t>
      </w:r>
    </w:p>
    <w:p>
      <w:pPr>
        <w:pStyle w:val="Normal"/>
        <w:numPr>
          <w:ilvl w:val="0"/>
          <w:numId w:val="2"/>
        </w:numPr>
        <w:tabs>
          <w:tab w:val="left" w:pos="720" w:leader="none"/>
        </w:tabs>
        <w:spacing w:lineRule="auto" w:line="240" w:before="0" w:after="0"/>
        <w:rPr>
          <w:rFonts w:cs="Arial"/>
        </w:rPr>
      </w:pPr>
      <w:r>
        <w:rPr>
          <w:rFonts w:cs="Arial"/>
        </w:rPr>
        <w:t xml:space="preserve">Manage and appraise your team’s performance; ensuring great performance results are secured and continuous improvement and customer excellence are achieved. </w:t>
      </w:r>
    </w:p>
    <w:p>
      <w:pPr>
        <w:pStyle w:val="Normal"/>
        <w:numPr>
          <w:ilvl w:val="0"/>
          <w:numId w:val="2"/>
        </w:numPr>
        <w:tabs>
          <w:tab w:val="left" w:pos="720" w:leader="none"/>
        </w:tabs>
        <w:spacing w:lineRule="auto" w:line="240" w:before="0" w:after="0"/>
        <w:rPr>
          <w:rFonts w:cs="Arial"/>
        </w:rPr>
      </w:pPr>
      <w:r>
        <w:rPr>
          <w:rFonts w:cs="Arial"/>
        </w:rPr>
        <w:t>Obtain, analyse and interpret data and other information to support effective decision making and take remedial action, where necessary.</w:t>
      </w:r>
    </w:p>
    <w:p>
      <w:pPr>
        <w:pStyle w:val="Normal"/>
        <w:numPr>
          <w:ilvl w:val="0"/>
          <w:numId w:val="2"/>
        </w:numPr>
        <w:tabs>
          <w:tab w:val="left" w:pos="720" w:leader="none"/>
        </w:tabs>
        <w:spacing w:lineRule="auto" w:line="240" w:before="0" w:after="0"/>
        <w:rPr>
          <w:rFonts w:cs="Arial"/>
        </w:rPr>
      </w:pPr>
      <w:r>
        <w:rPr>
          <w:rFonts w:cs="Arial"/>
        </w:rPr>
        <w:t>Ensure services meet or exceed the standards set out in regulatory frameworks, internal policies, and local performance targets.</w:t>
      </w:r>
    </w:p>
    <w:p>
      <w:pPr>
        <w:pStyle w:val="Normal"/>
        <w:numPr>
          <w:ilvl w:val="0"/>
          <w:numId w:val="2"/>
        </w:numPr>
        <w:tabs>
          <w:tab w:val="left" w:pos="720" w:leader="none"/>
        </w:tabs>
        <w:spacing w:lineRule="auto" w:line="240" w:before="0" w:after="0"/>
        <w:rPr>
          <w:rFonts w:cs="Arial"/>
        </w:rPr>
      </w:pPr>
      <w:r>
        <w:rPr>
          <w:rFonts w:cs="Arial"/>
        </w:rPr>
        <w:t>Oversee day-to-day operational delivery across tenancy management, ASB, voids, and estate standards.</w:t>
      </w:r>
    </w:p>
    <w:p>
      <w:pPr>
        <w:pStyle w:val="Normal"/>
        <w:numPr>
          <w:ilvl w:val="0"/>
          <w:numId w:val="2"/>
        </w:numPr>
        <w:tabs>
          <w:tab w:val="left" w:pos="720" w:leader="none"/>
        </w:tabs>
        <w:spacing w:lineRule="auto" w:line="240" w:before="0" w:after="0"/>
        <w:rPr>
          <w:rFonts w:cs="Arial"/>
        </w:rPr>
      </w:pPr>
      <w:r>
        <w:rPr>
          <w:rFonts w:cs="Arial"/>
        </w:rPr>
        <w:t>Promote a culture of accountability, professionalism, and continuous improvement.</w:t>
      </w:r>
    </w:p>
    <w:p>
      <w:pPr>
        <w:pStyle w:val="Normal"/>
        <w:numPr>
          <w:ilvl w:val="0"/>
          <w:numId w:val="2"/>
        </w:numPr>
        <w:tabs>
          <w:tab w:val="left" w:pos="720" w:leader="none"/>
        </w:tabs>
        <w:spacing w:lineRule="auto" w:line="240" w:before="0" w:after="0"/>
        <w:rPr>
          <w:rFonts w:cs="Arial"/>
        </w:rPr>
      </w:pPr>
      <w:r>
        <w:rPr>
          <w:rFonts w:cs="Arial"/>
        </w:rPr>
        <w:t>Oversight of vehicle use, care and training e.g. risk assessments</w:t>
      </w:r>
    </w:p>
    <w:p>
      <w:pPr>
        <w:pStyle w:val="Normal"/>
        <w:spacing w:lineRule="auto" w:line="240" w:before="0" w:after="0"/>
        <w:ind w:left="360" w:right="0" w:hanging="0"/>
        <w:rPr>
          <w:rFonts w:cs="Arial"/>
        </w:rPr>
      </w:pPr>
      <w:r>
        <w:rPr>
          <w:rFonts w:cs="Arial"/>
        </w:rPr>
      </w:r>
    </w:p>
    <w:p>
      <w:pPr>
        <w:pStyle w:val="Normal"/>
        <w:spacing w:before="120" w:after="120"/>
        <w:rPr>
          <w:rFonts w:cs="Arial"/>
          <w:b/>
          <w:b/>
          <w:bCs/>
        </w:rPr>
      </w:pPr>
      <w:r>
        <w:rPr>
          <w:rFonts w:cs="Arial"/>
          <w:b/>
          <w:bCs/>
        </w:rPr>
        <w:t>Compliance, Health &amp; Safety, and Property Standards</w:t>
      </w:r>
    </w:p>
    <w:p>
      <w:pPr>
        <w:pStyle w:val="ListParagraph"/>
        <w:numPr>
          <w:ilvl w:val="0"/>
          <w:numId w:val="3"/>
        </w:numPr>
        <w:rPr>
          <w:rFonts w:cs="Arial"/>
        </w:rPr>
      </w:pPr>
      <w:r>
        <w:rPr>
          <w:rFonts w:cs="Arial"/>
        </w:rPr>
        <w:t>Support strategic and operational responsibility for ensuring compliance with housing health and safety standards, including fire, gas, electrical safety, water hygiene, and DMC management and all statutory landlord obligations are met.</w:t>
      </w:r>
    </w:p>
    <w:p>
      <w:pPr>
        <w:pStyle w:val="ListParagraph"/>
        <w:numPr>
          <w:ilvl w:val="0"/>
          <w:numId w:val="3"/>
        </w:numPr>
        <w:spacing w:before="120" w:after="120"/>
        <w:contextualSpacing/>
        <w:rPr>
          <w:rFonts w:cs="Arial"/>
        </w:rPr>
      </w:pPr>
      <w:r>
        <w:rPr>
          <w:rFonts w:cs="Arial"/>
        </w:rPr>
        <w:t>Maintain robust audit trails and ensure housing teams contribute to compliance assurance across the housing stock portfolio.</w:t>
      </w:r>
    </w:p>
    <w:p>
      <w:pPr>
        <w:pStyle w:val="ListParagraph"/>
        <w:numPr>
          <w:ilvl w:val="0"/>
          <w:numId w:val="3"/>
        </w:numPr>
        <w:spacing w:before="120" w:after="120"/>
        <w:contextualSpacing/>
        <w:rPr>
          <w:rFonts w:cs="Arial"/>
        </w:rPr>
      </w:pPr>
      <w:r>
        <w:rPr>
          <w:rFonts w:cs="Arial"/>
        </w:rPr>
        <w:t>Liaise with Repairs, Compliance and Asset Management teams to identify, prioritise, and resolve compliance or building safety risks</w:t>
      </w:r>
    </w:p>
    <w:p>
      <w:pPr>
        <w:pStyle w:val="ListParagraph"/>
        <w:numPr>
          <w:ilvl w:val="0"/>
          <w:numId w:val="3"/>
        </w:numPr>
        <w:spacing w:before="120" w:after="120"/>
        <w:contextualSpacing/>
        <w:rPr>
          <w:rFonts w:cs="Arial"/>
        </w:rPr>
      </w:pPr>
      <w:r>
        <w:rPr>
          <w:rFonts w:cs="Arial"/>
        </w:rPr>
        <w:t>To manage housing and neighbourhood services while ensuring compliance with safeguarding policies to protect residents, particularly vulnerable individuals.</w:t>
      </w:r>
    </w:p>
    <w:p>
      <w:pPr>
        <w:pStyle w:val="ListParagraph"/>
        <w:spacing w:before="120" w:after="120"/>
        <w:ind w:left="360" w:right="0" w:hanging="0"/>
        <w:contextualSpacing/>
        <w:rPr>
          <w:rFonts w:cs="Arial"/>
          <w:lang w:val="en-US"/>
        </w:rPr>
      </w:pPr>
      <w:r>
        <w:rPr>
          <w:rFonts w:cs="Arial"/>
          <w:lang w:val="en-US"/>
        </w:rPr>
      </w:r>
    </w:p>
    <w:p>
      <w:pPr>
        <w:pStyle w:val="ListParagraph"/>
        <w:spacing w:before="120" w:after="120"/>
        <w:ind w:left="0" w:right="0" w:hanging="0"/>
        <w:contextualSpacing/>
        <w:rPr>
          <w:rFonts w:cs="Arial"/>
          <w:b/>
          <w:b/>
          <w:bCs/>
          <w:lang w:val="en-US"/>
        </w:rPr>
      </w:pPr>
      <w:r>
        <w:rPr>
          <w:rFonts w:cs="Arial"/>
          <w:b/>
          <w:bCs/>
          <w:lang w:val="en-US"/>
        </w:rPr>
        <w:t>Financial and Budgetary Control</w:t>
      </w:r>
    </w:p>
    <w:p>
      <w:pPr>
        <w:pStyle w:val="ListParagraph"/>
        <w:spacing w:before="120" w:after="120"/>
        <w:ind w:left="360" w:right="0" w:hanging="0"/>
        <w:contextualSpacing/>
        <w:rPr>
          <w:rFonts w:cs="Arial"/>
          <w:lang w:val="en-US"/>
        </w:rPr>
      </w:pPr>
      <w:r>
        <w:rPr>
          <w:rFonts w:cs="Arial"/>
          <w:lang w:val="en-US"/>
        </w:rPr>
      </w:r>
    </w:p>
    <w:p>
      <w:pPr>
        <w:pStyle w:val="ListParagraph"/>
        <w:numPr>
          <w:ilvl w:val="0"/>
          <w:numId w:val="4"/>
        </w:numPr>
        <w:spacing w:before="120" w:after="120"/>
        <w:contextualSpacing/>
        <w:rPr>
          <w:rFonts w:cs="Arial"/>
          <w:lang w:val="en-US"/>
        </w:rPr>
      </w:pPr>
      <w:r>
        <w:rPr>
          <w:rFonts w:cs="Arial"/>
          <w:lang w:val="en-US"/>
        </w:rPr>
        <w:t>Take responsibility for delegated revenue budgets, ensuring effective monitoring, forecasting, and control of expenditure.</w:t>
      </w:r>
    </w:p>
    <w:p>
      <w:pPr>
        <w:pStyle w:val="ListParagraph"/>
        <w:numPr>
          <w:ilvl w:val="0"/>
          <w:numId w:val="4"/>
        </w:numPr>
        <w:spacing w:before="120" w:after="120"/>
        <w:contextualSpacing/>
        <w:rPr>
          <w:rFonts w:cs="Arial"/>
          <w:lang w:val="en-US"/>
        </w:rPr>
      </w:pPr>
      <w:r>
        <w:rPr>
          <w:rFonts w:cs="Arial"/>
          <w:lang w:val="en-US"/>
        </w:rPr>
        <w:t>Contribute to capital investment and asset management planning, ensuring alignment with corporate priorities and regulatory requirements.</w:t>
      </w:r>
    </w:p>
    <w:p>
      <w:pPr>
        <w:pStyle w:val="ListParagraph"/>
        <w:numPr>
          <w:ilvl w:val="0"/>
          <w:numId w:val="4"/>
        </w:numPr>
        <w:spacing w:before="120" w:after="120"/>
        <w:contextualSpacing/>
        <w:rPr>
          <w:rFonts w:cs="Arial"/>
          <w:lang w:val="en-US"/>
        </w:rPr>
      </w:pPr>
      <w:r>
        <w:rPr>
          <w:rFonts w:cs="Arial"/>
          <w:lang w:val="en-US"/>
        </w:rPr>
        <w:t>Drive value for money and efficiency through decision-making and contract management oversight.</w:t>
      </w:r>
    </w:p>
    <w:p>
      <w:pPr>
        <w:pStyle w:val="ListParagraph"/>
        <w:numPr>
          <w:ilvl w:val="0"/>
          <w:numId w:val="4"/>
        </w:numPr>
        <w:spacing w:before="120" w:after="120"/>
        <w:contextualSpacing/>
        <w:rPr>
          <w:rFonts w:cs="Arial"/>
          <w:lang w:val="en-US"/>
        </w:rPr>
      </w:pPr>
      <w:r>
        <w:rPr>
          <w:rFonts w:cs="Arial"/>
          <w:lang w:val="en-US"/>
        </w:rPr>
        <w:t>Feed into the Social Value priorities identifying community need.</w:t>
      </w:r>
    </w:p>
    <w:p>
      <w:pPr>
        <w:pStyle w:val="ListParagraph"/>
        <w:spacing w:before="120" w:after="120"/>
        <w:ind w:left="360" w:right="0" w:hanging="0"/>
        <w:contextualSpacing/>
        <w:rPr>
          <w:rFonts w:cs="Arial"/>
          <w:lang w:val="en-US"/>
        </w:rPr>
      </w:pPr>
      <w:r>
        <w:rPr>
          <w:rFonts w:cs="Arial"/>
          <w:lang w:val="en-US"/>
        </w:rPr>
      </w:r>
    </w:p>
    <w:p>
      <w:pPr>
        <w:pStyle w:val="ListParagraph"/>
        <w:spacing w:before="120" w:after="120"/>
        <w:ind w:left="0" w:right="0" w:hanging="0"/>
        <w:contextualSpacing/>
        <w:rPr>
          <w:rFonts w:cs="Arial"/>
          <w:b/>
          <w:b/>
          <w:bCs/>
          <w:lang w:val="en-US"/>
        </w:rPr>
      </w:pPr>
      <w:r>
        <w:rPr>
          <w:rFonts w:cs="Arial"/>
          <w:b/>
          <w:bCs/>
          <w:lang w:val="en-US"/>
        </w:rPr>
        <w:t>Customer Engagement and Community Development</w:t>
      </w:r>
    </w:p>
    <w:p>
      <w:pPr>
        <w:pStyle w:val="ListParagraph"/>
        <w:spacing w:before="120" w:after="120"/>
        <w:ind w:left="0" w:right="0" w:hanging="0"/>
        <w:contextualSpacing/>
        <w:rPr>
          <w:rFonts w:cs="Arial"/>
          <w:b/>
          <w:b/>
          <w:bCs/>
          <w:lang w:val="en-US"/>
        </w:rPr>
      </w:pPr>
      <w:r>
        <w:rPr>
          <w:rFonts w:cs="Arial"/>
          <w:b/>
          <w:bCs/>
          <w:lang w:val="en-US"/>
        </w:rPr>
      </w:r>
    </w:p>
    <w:p>
      <w:pPr>
        <w:pStyle w:val="ListParagraph"/>
        <w:numPr>
          <w:ilvl w:val="0"/>
          <w:numId w:val="5"/>
        </w:numPr>
        <w:spacing w:before="120" w:after="120"/>
        <w:contextualSpacing/>
        <w:rPr>
          <w:rFonts w:cs="Arial"/>
          <w:lang w:val="en-US"/>
        </w:rPr>
      </w:pPr>
      <w:r>
        <w:rPr>
          <w:rFonts w:cs="Arial"/>
          <w:lang w:val="en-US"/>
        </w:rPr>
        <w:t>Promote meaningful tenant engagement and co-production to improve satisfaction and strengthen neighbourhood cohesion.</w:t>
      </w:r>
    </w:p>
    <w:p>
      <w:pPr>
        <w:pStyle w:val="ListParagraph"/>
        <w:numPr>
          <w:ilvl w:val="0"/>
          <w:numId w:val="5"/>
        </w:numPr>
        <w:rPr>
          <w:rFonts w:cs="Arial"/>
          <w:lang w:val="en-US"/>
        </w:rPr>
      </w:pPr>
      <w:r>
        <w:rPr>
          <w:rFonts w:cs="Arial"/>
          <w:lang w:val="en-US"/>
        </w:rPr>
        <w:t>Ensure services meet regulatory standards and meet customer expectations.</w:t>
      </w:r>
    </w:p>
    <w:p>
      <w:pPr>
        <w:pStyle w:val="ListParagraph"/>
        <w:numPr>
          <w:ilvl w:val="0"/>
          <w:numId w:val="5"/>
        </w:numPr>
        <w:rPr>
          <w:rFonts w:cs="Arial"/>
          <w:lang w:val="en-US"/>
        </w:rPr>
      </w:pPr>
      <w:r>
        <w:rPr>
          <w:rFonts w:cs="Arial"/>
          <w:lang w:val="en-US"/>
        </w:rPr>
        <w:t>Lead on safeguarding for adults and children welfare, ensuring safeguarding is always upheld, in line with Bury Councils safeguarding policy.</w:t>
      </w:r>
    </w:p>
    <w:p>
      <w:pPr>
        <w:pStyle w:val="ListParagraph"/>
        <w:numPr>
          <w:ilvl w:val="0"/>
          <w:numId w:val="5"/>
        </w:numPr>
        <w:spacing w:before="120" w:after="120"/>
        <w:contextualSpacing/>
        <w:rPr>
          <w:rFonts w:cs="Arial"/>
          <w:lang w:val="en-US"/>
        </w:rPr>
      </w:pPr>
      <w:r>
        <w:rPr>
          <w:rFonts w:cs="Arial"/>
          <w:lang w:val="en-US"/>
        </w:rPr>
        <w:t>Promote local engagement activities, community partnerships, and estate improvement initiatives in collaboration with the Tenant Engagement Team.</w:t>
      </w:r>
    </w:p>
    <w:p>
      <w:pPr>
        <w:pStyle w:val="ListParagraph"/>
        <w:numPr>
          <w:ilvl w:val="0"/>
          <w:numId w:val="5"/>
        </w:numPr>
        <w:spacing w:before="120" w:after="120"/>
        <w:contextualSpacing/>
        <w:rPr>
          <w:rFonts w:cs="Arial"/>
          <w:lang w:val="en-US"/>
        </w:rPr>
      </w:pPr>
      <w:r>
        <w:rPr>
          <w:rFonts w:cs="Arial"/>
          <w:lang w:val="en-US"/>
        </w:rPr>
        <w:t xml:space="preserve">Ensure a positive commitment for the responsibility of local tenants and residents and  communities, in addition to the responsibilities of staff management </w:t>
      </w:r>
    </w:p>
    <w:p>
      <w:pPr>
        <w:pStyle w:val="ListParagraph"/>
        <w:numPr>
          <w:ilvl w:val="0"/>
          <w:numId w:val="5"/>
        </w:numPr>
        <w:spacing w:before="120" w:after="120"/>
        <w:contextualSpacing/>
        <w:rPr>
          <w:rFonts w:cs="Arial"/>
          <w:lang w:val="en-US"/>
        </w:rPr>
      </w:pPr>
      <w:r>
        <w:rPr>
          <w:rFonts w:cs="Arial"/>
          <w:lang w:val="en-US"/>
        </w:rPr>
        <w:t>Champion equality, diversity, and inclusion in all service delivery.</w:t>
      </w:r>
    </w:p>
    <w:p>
      <w:pPr>
        <w:pStyle w:val="ListParagraph"/>
        <w:spacing w:before="120" w:after="120"/>
        <w:ind w:left="360" w:right="0" w:hanging="0"/>
        <w:contextualSpacing/>
        <w:rPr>
          <w:rFonts w:cs="Arial"/>
          <w:lang w:val="en-US"/>
        </w:rPr>
      </w:pPr>
      <w:r>
        <w:rPr>
          <w:rFonts w:cs="Arial"/>
          <w:lang w:val="en-US"/>
        </w:rPr>
      </w:r>
    </w:p>
    <w:p>
      <w:pPr>
        <w:pStyle w:val="ListParagraph"/>
        <w:spacing w:before="120" w:after="120"/>
        <w:ind w:left="0" w:right="0" w:hanging="0"/>
        <w:contextualSpacing/>
        <w:rPr>
          <w:rFonts w:cs="Arial"/>
          <w:b/>
          <w:b/>
          <w:bCs/>
          <w:lang w:val="en-US"/>
        </w:rPr>
      </w:pPr>
      <w:r>
        <w:rPr>
          <w:rFonts w:cs="Arial"/>
          <w:b/>
          <w:bCs/>
          <w:lang w:val="en-US"/>
        </w:rPr>
        <w:t>Policy, Performance, and Continuous Improvement</w:t>
      </w:r>
    </w:p>
    <w:p>
      <w:pPr>
        <w:pStyle w:val="ListParagraph"/>
        <w:spacing w:before="120" w:after="120"/>
        <w:ind w:left="0" w:right="0" w:hanging="0"/>
        <w:contextualSpacing/>
        <w:rPr>
          <w:rFonts w:cs="Arial"/>
          <w:b/>
          <w:b/>
          <w:bCs/>
          <w:lang w:val="en-US"/>
        </w:rPr>
      </w:pPr>
      <w:r>
        <w:rPr>
          <w:rFonts w:cs="Arial"/>
          <w:b/>
          <w:bCs/>
          <w:lang w:val="en-US"/>
        </w:rPr>
      </w:r>
    </w:p>
    <w:p>
      <w:pPr>
        <w:pStyle w:val="ListParagraph"/>
        <w:numPr>
          <w:ilvl w:val="0"/>
          <w:numId w:val="6"/>
        </w:numPr>
        <w:spacing w:before="120" w:after="120"/>
        <w:contextualSpacing/>
        <w:rPr>
          <w:rFonts w:cs="Arial"/>
          <w:lang w:val="en-US"/>
        </w:rPr>
      </w:pPr>
      <w:r>
        <w:rPr>
          <w:rFonts w:cs="Arial"/>
          <w:lang w:val="en-US"/>
        </w:rPr>
        <w:t>Monitor key performance indicators (KPIs) and produce accurate reports on housing management, compliance, and financial performance.</w:t>
      </w:r>
    </w:p>
    <w:p>
      <w:pPr>
        <w:pStyle w:val="ListParagraph"/>
        <w:numPr>
          <w:ilvl w:val="0"/>
          <w:numId w:val="6"/>
        </w:numPr>
        <w:spacing w:before="120" w:after="120"/>
        <w:contextualSpacing/>
        <w:rPr>
          <w:rFonts w:cs="Arial"/>
          <w:lang w:val="en-US"/>
        </w:rPr>
      </w:pPr>
      <w:r>
        <w:rPr>
          <w:rFonts w:cs="Arial"/>
          <w:lang w:val="en-US"/>
        </w:rPr>
        <w:t>Monitor timescales around viewings, sign-ups, and all aspects of the allocations process ensuring void loss is managed effectively.</w:t>
      </w:r>
    </w:p>
    <w:p>
      <w:pPr>
        <w:pStyle w:val="ListParagraph"/>
        <w:numPr>
          <w:ilvl w:val="0"/>
          <w:numId w:val="6"/>
        </w:numPr>
        <w:spacing w:before="120" w:after="120"/>
        <w:contextualSpacing/>
        <w:rPr>
          <w:rFonts w:cs="Arial"/>
          <w:lang w:val="en-US"/>
        </w:rPr>
      </w:pPr>
      <w:r>
        <w:rPr>
          <w:rFonts w:cs="Arial"/>
          <w:lang w:val="en-US"/>
        </w:rPr>
        <w:t>Manage tenancy-related issues, including anti-social behaviour (ASB) and housing management queries, across all properties within the stock portfolio.</w:t>
      </w:r>
    </w:p>
    <w:p>
      <w:pPr>
        <w:pStyle w:val="ListParagraph"/>
        <w:numPr>
          <w:ilvl w:val="0"/>
          <w:numId w:val="6"/>
        </w:numPr>
        <w:spacing w:before="120" w:after="120"/>
        <w:contextualSpacing/>
        <w:rPr>
          <w:rFonts w:cs="Arial"/>
          <w:lang w:val="en-US"/>
        </w:rPr>
      </w:pPr>
      <w:r>
        <w:rPr>
          <w:rFonts w:cs="Arial"/>
          <w:lang w:val="en-US"/>
        </w:rPr>
        <w:t>Handle Stage 1 complaints and member enquiries, providing evidence and data to support escalations.</w:t>
      </w:r>
    </w:p>
    <w:p>
      <w:pPr>
        <w:pStyle w:val="ListParagraph"/>
        <w:numPr>
          <w:ilvl w:val="0"/>
          <w:numId w:val="6"/>
        </w:numPr>
        <w:spacing w:before="120" w:after="120"/>
        <w:contextualSpacing/>
        <w:rPr>
          <w:rFonts w:cs="Arial"/>
          <w:lang w:val="en-US"/>
        </w:rPr>
      </w:pPr>
      <w:r>
        <w:rPr>
          <w:rFonts w:cs="Arial"/>
          <w:lang w:val="en-US"/>
        </w:rPr>
        <w:t>Contribute to service reviews, audits, and policy development, embedding lessons learned and best practice.</w:t>
      </w:r>
    </w:p>
    <w:p>
      <w:pPr>
        <w:pStyle w:val="ListParagraph"/>
        <w:numPr>
          <w:ilvl w:val="0"/>
          <w:numId w:val="6"/>
        </w:numPr>
        <w:spacing w:before="120" w:after="120"/>
        <w:contextualSpacing/>
        <w:rPr>
          <w:rFonts w:cs="Arial"/>
          <w:lang w:val="en-US"/>
        </w:rPr>
      </w:pPr>
      <w:r>
        <w:rPr>
          <w:rFonts w:cs="Arial"/>
          <w:lang w:val="en-US"/>
        </w:rPr>
        <w:t>Support corporate transformation programs and contribute to service-wide innovation and digital improvement.</w:t>
      </w:r>
    </w:p>
    <w:p>
      <w:pPr>
        <w:pStyle w:val="ListParagraph"/>
        <w:spacing w:before="120" w:after="120"/>
        <w:ind w:left="360" w:right="0" w:hanging="0"/>
        <w:contextualSpacing/>
        <w:rPr>
          <w:rFonts w:cs="Arial"/>
          <w:lang w:val="en-US"/>
        </w:rPr>
      </w:pPr>
      <w:r>
        <w:rPr>
          <w:rFonts w:cs="Arial"/>
          <w:lang w:val="en-US"/>
        </w:rPr>
      </w:r>
    </w:p>
    <w:p>
      <w:pPr>
        <w:pStyle w:val="ListParagraph"/>
        <w:spacing w:before="120" w:after="120"/>
        <w:ind w:left="0" w:right="0" w:hanging="0"/>
        <w:contextualSpacing/>
        <w:rPr>
          <w:rFonts w:cs="Arial"/>
          <w:b/>
          <w:b/>
          <w:bCs/>
          <w:lang w:val="en-US"/>
        </w:rPr>
      </w:pPr>
      <w:r>
        <w:rPr>
          <w:rFonts w:cs="Arial"/>
          <w:b/>
          <w:bCs/>
          <w:lang w:val="en-US"/>
        </w:rPr>
        <w:t>Partnerships and Emergency Response</w:t>
      </w:r>
    </w:p>
    <w:p>
      <w:pPr>
        <w:pStyle w:val="ListParagraph"/>
        <w:spacing w:before="120" w:after="120"/>
        <w:ind w:left="360" w:right="0" w:hanging="0"/>
        <w:contextualSpacing/>
        <w:rPr>
          <w:rFonts w:cs="Arial"/>
          <w:lang w:val="en-US"/>
        </w:rPr>
      </w:pPr>
      <w:r>
        <w:rPr>
          <w:rFonts w:cs="Arial"/>
          <w:lang w:val="en-US"/>
        </w:rPr>
      </w:r>
    </w:p>
    <w:p>
      <w:pPr>
        <w:pStyle w:val="ListParagraph"/>
        <w:numPr>
          <w:ilvl w:val="0"/>
          <w:numId w:val="7"/>
        </w:numPr>
        <w:spacing w:before="120" w:after="120"/>
        <w:contextualSpacing/>
        <w:rPr>
          <w:rFonts w:cs="Arial"/>
          <w:lang w:val="en-US"/>
        </w:rPr>
      </w:pPr>
      <w:r>
        <w:rPr>
          <w:rFonts w:cs="Arial"/>
          <w:lang w:val="en-US"/>
        </w:rPr>
        <w:t>Foster effective working relationships with Repairs, Compliance, and Asset teams, as well as external contractors, statutory agencies, and community partners.</w:t>
      </w:r>
    </w:p>
    <w:p>
      <w:pPr>
        <w:pStyle w:val="ListParagraph"/>
        <w:numPr>
          <w:ilvl w:val="0"/>
          <w:numId w:val="7"/>
        </w:numPr>
        <w:spacing w:before="120" w:after="120"/>
        <w:contextualSpacing/>
        <w:rPr>
          <w:rFonts w:cs="Arial"/>
          <w:lang w:val="en-US"/>
        </w:rPr>
      </w:pPr>
      <w:r>
        <w:rPr>
          <w:rFonts w:cs="Arial"/>
          <w:lang w:val="en-US"/>
        </w:rPr>
        <w:t>Represent Housing Services at multi-agency meetings, local partnerships, and strategic forums.</w:t>
      </w:r>
    </w:p>
    <w:p>
      <w:pPr>
        <w:pStyle w:val="ListParagraph"/>
        <w:numPr>
          <w:ilvl w:val="0"/>
          <w:numId w:val="7"/>
        </w:numPr>
        <w:spacing w:before="120" w:after="120"/>
        <w:contextualSpacing/>
        <w:rPr>
          <w:rFonts w:cs="Arial"/>
          <w:lang w:val="en-US"/>
        </w:rPr>
      </w:pPr>
      <w:r>
        <w:rPr>
          <w:rFonts w:cs="Arial"/>
          <w:lang w:val="en-US"/>
        </w:rPr>
        <w:t>Participate in the management emergency on-call rota for housing-related incidents, ensuring swift and proportionate response to urgent issues</w:t>
      </w:r>
    </w:p>
    <w:tbl>
      <w:tblPr>
        <w:tblW w:w="5000" w:type="pct"/>
        <w:jc w:val="left"/>
        <w:tblInd w:w="0" w:type="dxa"/>
        <w:tblCellMar>
          <w:top w:w="0" w:type="dxa"/>
          <w:left w:w="108" w:type="dxa"/>
          <w:bottom w:w="0" w:type="dxa"/>
          <w:right w:w="108" w:type="dxa"/>
        </w:tblCellMar>
      </w:tblPr>
      <w:tblGrid>
        <w:gridCol w:w="3818"/>
        <w:gridCol w:w="2961"/>
        <w:gridCol w:w="2247"/>
      </w:tblGrid>
      <w:tr>
        <w:trPr>
          <w:trHeight w:val="240" w:hRule="atLeast"/>
          <w:cantSplit w:val="true"/>
        </w:trPr>
        <w:tc>
          <w:tcPr>
            <w:tcW w:w="9026" w:type="dxa"/>
            <w:gridSpan w:val="3"/>
            <w:tcBorders>
              <w:left w:val="single" w:sz="6" w:space="0" w:color="000000"/>
              <w:bottom w:val="double" w:sz="6" w:space="0" w:color="000000"/>
              <w:right w:val="single" w:sz="6" w:space="0" w:color="000000"/>
            </w:tcBorders>
            <w:shd w:fill="auto" w:val="clear"/>
          </w:tcPr>
          <w:p>
            <w:pPr>
              <w:pStyle w:val="Normal"/>
              <w:spacing w:before="120" w:after="240"/>
              <w:rPr>
                <w:rFonts w:cs="Arial"/>
              </w:rPr>
            </w:pPr>
            <w:r>
              <w:rPr>
                <w:rFonts w:cs="Arial"/>
              </w:rP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tc>
      </w:tr>
      <w:tr>
        <w:trPr>
          <w:trHeight w:val="240" w:hRule="atLeast"/>
          <w:cantSplit w:val="true"/>
        </w:trPr>
        <w:tc>
          <w:tcPr>
            <w:tcW w:w="3818" w:type="dxa"/>
            <w:tcBorders>
              <w:top w:val="single" w:sz="6" w:space="0" w:color="000000"/>
              <w:left w:val="single" w:sz="6" w:space="0" w:color="000000"/>
              <w:bottom w:val="double" w:sz="6" w:space="0" w:color="000000"/>
            </w:tcBorders>
            <w:shd w:fill="auto" w:val="clear"/>
          </w:tcPr>
          <w:p>
            <w:pPr>
              <w:pStyle w:val="Normal"/>
              <w:spacing w:before="120" w:after="120"/>
              <w:rPr>
                <w:rFonts w:cs="Arial"/>
                <w:b/>
                <w:b/>
              </w:rPr>
            </w:pPr>
            <w:r>
              <w:rPr>
                <w:rFonts w:cs="Arial"/>
                <w:b/>
              </w:rPr>
              <w:t>Job Description prepared by:</w:t>
            </w:r>
          </w:p>
        </w:tc>
        <w:tc>
          <w:tcPr>
            <w:tcW w:w="2961" w:type="dxa"/>
            <w:tcBorders>
              <w:top w:val="single" w:sz="6" w:space="0" w:color="000000"/>
              <w:left w:val="double" w:sz="6" w:space="0" w:color="000000"/>
              <w:bottom w:val="double" w:sz="6" w:space="0" w:color="000000"/>
            </w:tcBorders>
            <w:shd w:fill="auto" w:val="clear"/>
          </w:tcPr>
          <w:p>
            <w:pPr>
              <w:pStyle w:val="Normal"/>
              <w:spacing w:before="120" w:after="120"/>
              <w:rPr>
                <w:rFonts w:cs="Arial"/>
                <w:b/>
                <w:b/>
              </w:rPr>
            </w:pPr>
            <w:r>
              <w:rPr>
                <w:rFonts w:cs="Arial"/>
                <w:b/>
              </w:rPr>
              <w:t xml:space="preserve">Sign: Kimberley Partridge </w:t>
            </w:r>
          </w:p>
        </w:tc>
        <w:tc>
          <w:tcPr>
            <w:tcW w:w="2247" w:type="dxa"/>
            <w:tcBorders>
              <w:top w:val="single" w:sz="6" w:space="0" w:color="000000"/>
              <w:left w:val="double" w:sz="6" w:space="0" w:color="000000"/>
              <w:bottom w:val="double" w:sz="6" w:space="0" w:color="000000"/>
              <w:right w:val="single" w:sz="6" w:space="0" w:color="000000"/>
            </w:tcBorders>
            <w:shd w:fill="auto" w:val="clear"/>
          </w:tcPr>
          <w:p>
            <w:pPr>
              <w:pStyle w:val="Normal"/>
              <w:spacing w:before="120" w:after="120"/>
              <w:rPr>
                <w:rFonts w:cs="Arial"/>
                <w:b/>
                <w:b/>
              </w:rPr>
            </w:pPr>
            <w:r>
              <w:rPr>
                <w:rFonts w:cs="Arial"/>
                <w:b/>
              </w:rPr>
              <w:t xml:space="preserve">Date: November 2025 </w:t>
            </w:r>
          </w:p>
        </w:tc>
      </w:tr>
      <w:tr>
        <w:trPr>
          <w:trHeight w:val="240" w:hRule="atLeast"/>
          <w:cantSplit w:val="true"/>
        </w:trPr>
        <w:tc>
          <w:tcPr>
            <w:tcW w:w="3818" w:type="dxa"/>
            <w:tcBorders>
              <w:top w:val="double" w:sz="6" w:space="0" w:color="000000"/>
              <w:left w:val="single" w:sz="6" w:space="0" w:color="000000"/>
              <w:bottom w:val="double" w:sz="6" w:space="0" w:color="000000"/>
            </w:tcBorders>
            <w:shd w:fill="auto" w:val="clear"/>
          </w:tcPr>
          <w:p>
            <w:pPr>
              <w:pStyle w:val="Normal"/>
              <w:spacing w:before="120" w:after="120"/>
              <w:rPr>
                <w:rFonts w:cs="Arial"/>
                <w:b/>
                <w:b/>
              </w:rPr>
            </w:pPr>
            <w:r>
              <w:rPr>
                <w:rFonts w:cs="Arial"/>
                <w:b/>
              </w:rPr>
              <w:t xml:space="preserve">Agreed correct by Postholder: </w:t>
            </w:r>
          </w:p>
        </w:tc>
        <w:tc>
          <w:tcPr>
            <w:tcW w:w="2961" w:type="dxa"/>
            <w:tcBorders>
              <w:top w:val="double" w:sz="6" w:space="0" w:color="000000"/>
              <w:left w:val="double" w:sz="6" w:space="0" w:color="000000"/>
              <w:bottom w:val="double" w:sz="6" w:space="0" w:color="000000"/>
            </w:tcBorders>
            <w:shd w:fill="auto" w:val="clear"/>
          </w:tcPr>
          <w:p>
            <w:pPr>
              <w:pStyle w:val="Normal"/>
              <w:spacing w:before="120" w:after="120"/>
              <w:rPr>
                <w:rFonts w:cs="Arial"/>
                <w:b/>
                <w:b/>
              </w:rPr>
            </w:pPr>
            <w:r>
              <w:rPr>
                <w:rFonts w:cs="Arial"/>
                <w:b/>
              </w:rPr>
              <w:t>Sign:</w:t>
            </w:r>
          </w:p>
        </w:tc>
        <w:tc>
          <w:tcPr>
            <w:tcW w:w="2247" w:type="dxa"/>
            <w:tcBorders>
              <w:top w:val="double" w:sz="6" w:space="0" w:color="000000"/>
              <w:left w:val="double" w:sz="6" w:space="0" w:color="000000"/>
              <w:bottom w:val="double" w:sz="6" w:space="0" w:color="000000"/>
              <w:right w:val="single" w:sz="6" w:space="0" w:color="000000"/>
            </w:tcBorders>
            <w:shd w:fill="auto" w:val="clear"/>
          </w:tcPr>
          <w:p>
            <w:pPr>
              <w:pStyle w:val="Normal"/>
              <w:spacing w:before="120" w:after="120"/>
              <w:rPr>
                <w:rFonts w:cs="Arial"/>
                <w:b/>
                <w:b/>
              </w:rPr>
            </w:pPr>
            <w:r>
              <w:rPr>
                <w:rFonts w:cs="Arial"/>
                <w:b/>
              </w:rPr>
              <w:t>Date:</w:t>
            </w:r>
          </w:p>
        </w:tc>
      </w:tr>
      <w:tr>
        <w:trPr>
          <w:trHeight w:val="240" w:hRule="atLeast"/>
          <w:cantSplit w:val="true"/>
        </w:trPr>
        <w:tc>
          <w:tcPr>
            <w:tcW w:w="3818" w:type="dxa"/>
            <w:tcBorders>
              <w:top w:val="double" w:sz="6" w:space="0" w:color="000000"/>
              <w:left w:val="single" w:sz="6" w:space="0" w:color="000000"/>
              <w:bottom w:val="single" w:sz="6" w:space="0" w:color="000000"/>
            </w:tcBorders>
            <w:shd w:fill="auto" w:val="clear"/>
          </w:tcPr>
          <w:p>
            <w:pPr>
              <w:pStyle w:val="Normal"/>
              <w:spacing w:before="120" w:after="120"/>
              <w:rPr>
                <w:rFonts w:cs="Arial"/>
                <w:b/>
                <w:b/>
              </w:rPr>
            </w:pPr>
            <w:r>
              <w:rPr>
                <w:rFonts w:cs="Arial"/>
                <w:b/>
              </w:rPr>
              <w:t>Agreed correct by Supervisor/Manager:</w:t>
            </w:r>
          </w:p>
        </w:tc>
        <w:tc>
          <w:tcPr>
            <w:tcW w:w="2961" w:type="dxa"/>
            <w:tcBorders>
              <w:top w:val="double" w:sz="6" w:space="0" w:color="000000"/>
              <w:left w:val="double" w:sz="6" w:space="0" w:color="000000"/>
              <w:bottom w:val="single" w:sz="6" w:space="0" w:color="000000"/>
            </w:tcBorders>
            <w:shd w:fill="auto" w:val="clear"/>
          </w:tcPr>
          <w:p>
            <w:pPr>
              <w:pStyle w:val="Normal"/>
              <w:spacing w:before="120" w:after="120"/>
              <w:rPr>
                <w:rFonts w:cs="Arial"/>
                <w:b/>
                <w:b/>
              </w:rPr>
            </w:pPr>
            <w:r>
              <w:rPr>
                <w:rFonts w:cs="Arial"/>
                <w:b/>
              </w:rPr>
              <w:t>Sign:</w:t>
            </w:r>
          </w:p>
        </w:tc>
        <w:tc>
          <w:tcPr>
            <w:tcW w:w="2247" w:type="dxa"/>
            <w:tcBorders>
              <w:top w:val="double" w:sz="6" w:space="0" w:color="000000"/>
              <w:left w:val="double" w:sz="6" w:space="0" w:color="000000"/>
              <w:bottom w:val="single" w:sz="6" w:space="0" w:color="000000"/>
              <w:right w:val="single" w:sz="6" w:space="0" w:color="000000"/>
            </w:tcBorders>
            <w:shd w:fill="auto" w:val="clear"/>
          </w:tcPr>
          <w:p>
            <w:pPr>
              <w:pStyle w:val="Normal"/>
              <w:spacing w:before="120" w:after="120"/>
              <w:rPr>
                <w:rFonts w:cs="Arial"/>
                <w:b/>
                <w:b/>
              </w:rPr>
            </w:pPr>
            <w:r>
              <w:rPr>
                <w:rFonts w:cs="Arial"/>
                <w:b/>
              </w:rPr>
              <w:t>Date:</w:t>
            </w:r>
          </w:p>
        </w:tc>
      </w:tr>
    </w:tbl>
    <w:p>
      <w:pPr>
        <w:pStyle w:val="Normal"/>
        <w:ind w:left="720" w:right="0" w:hanging="0"/>
        <w:rPr/>
      </w:pPr>
      <w:r>
        <w:rPr/>
      </w:r>
    </w:p>
    <w:p>
      <w:pPr>
        <w:pStyle w:val="Normal"/>
        <w:ind w:left="720" w:right="0" w:hanging="0"/>
        <w:rPr/>
      </w:pPr>
      <w:r>
        <w:rPr/>
      </w:r>
    </w:p>
    <w:p>
      <w:pPr>
        <w:pStyle w:val="Normal"/>
        <w:rPr/>
      </w:pPr>
      <w:r>
        <w:rPr/>
      </w:r>
    </w:p>
    <w:p>
      <w:pPr>
        <w:pStyle w:val="Normal"/>
        <w:ind w:left="720" w:right="0" w:hanging="0"/>
        <w:rPr/>
      </w:pPr>
      <w:r>
        <w:rPr/>
      </w:r>
    </w:p>
    <w:p>
      <w:pPr>
        <w:pStyle w:val="Normal"/>
        <w:jc w:val="center"/>
        <w:rPr>
          <w:b/>
          <w:b/>
        </w:rPr>
      </w:pPr>
      <w:r>
        <w:rPr>
          <w:b/>
        </w:rPr>
        <w:t>HOUSING NEIGHBOURHOOD MANAGER / INDEPENDENT LIVING MANAGER PESON SPECIFICATION</w:t>
      </w:r>
    </w:p>
    <w:tbl>
      <w:tblPr>
        <w:tblW w:w="5000" w:type="pct"/>
        <w:jc w:val="left"/>
        <w:tblInd w:w="0" w:type="dxa"/>
        <w:tblCellMar>
          <w:top w:w="0" w:type="dxa"/>
          <w:left w:w="108" w:type="dxa"/>
          <w:bottom w:w="0" w:type="dxa"/>
          <w:right w:w="108" w:type="dxa"/>
        </w:tblCellMar>
      </w:tblPr>
      <w:tblGrid>
        <w:gridCol w:w="5873"/>
        <w:gridCol w:w="1636"/>
        <w:gridCol w:w="1517"/>
      </w:tblGrid>
      <w:tr>
        <w:trPr/>
        <w:tc>
          <w:tcPr>
            <w:tcW w:w="5873" w:type="dxa"/>
            <w:tcBorders>
              <w:top w:val="single" w:sz="4" w:space="0" w:color="000000"/>
              <w:left w:val="single" w:sz="4" w:space="0" w:color="000000"/>
            </w:tcBorders>
            <w:shd w:fill="auto" w:val="clear"/>
          </w:tcPr>
          <w:p>
            <w:pPr>
              <w:pStyle w:val="Normal"/>
              <w:spacing w:before="120" w:after="120"/>
              <w:rPr>
                <w:b/>
                <w:b/>
              </w:rPr>
            </w:pPr>
            <w:r>
              <w:rPr>
                <w:b/>
              </w:rPr>
              <w:t>SHORT LISTING CRITERIA</w:t>
            </w:r>
          </w:p>
        </w:tc>
        <w:tc>
          <w:tcPr>
            <w:tcW w:w="1636"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ESSENTIAL</w:t>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b/>
                <w:b/>
              </w:rPr>
            </w:pPr>
            <w:r>
              <w:rPr>
                <w:b/>
              </w:rPr>
              <w:t>DESIRABLE</w:t>
            </w:r>
          </w:p>
        </w:tc>
      </w:tr>
      <w:tr>
        <w:trPr/>
        <w:tc>
          <w:tcPr>
            <w:tcW w:w="9026" w:type="dxa"/>
            <w:gridSpan w:val="3"/>
            <w:tcBorders>
              <w:top w:val="single" w:sz="4" w:space="0" w:color="000000"/>
              <w:left w:val="single" w:sz="4" w:space="0" w:color="000000"/>
              <w:right w:val="single" w:sz="4" w:space="0" w:color="000000"/>
            </w:tcBorders>
            <w:shd w:fill="auto" w:val="clear"/>
          </w:tcPr>
          <w:p>
            <w:pPr>
              <w:pStyle w:val="Normal"/>
              <w:spacing w:before="120" w:after="120"/>
              <w:rPr>
                <w:b/>
                <w:b/>
              </w:rPr>
            </w:pPr>
            <w:r>
              <w:rPr>
                <w:b/>
              </w:rPr>
              <w:t>Qualifications &amp; Training</w:t>
            </w:r>
          </w:p>
        </w:tc>
      </w:tr>
      <w:tr>
        <w:trPr>
          <w:trHeight w:val="300" w:hRule="atLeast"/>
          <w:cantSplit w:val="true"/>
        </w:trPr>
        <w:tc>
          <w:tcPr>
            <w:tcW w:w="587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Arial"/>
                <w:lang w:eastAsia="en-GB"/>
              </w:rPr>
            </w:pPr>
            <w:r>
              <w:rPr>
                <w:rFonts w:eastAsia="Times New Roman" w:cs="Arial"/>
                <w:lang w:eastAsia="en-GB"/>
              </w:rPr>
              <w:t>Commitment in working towards a professional qualification in Housing Management (CIH Level 4 or equivalent)</w:t>
            </w:r>
          </w:p>
        </w:tc>
        <w:tc>
          <w:tcPr>
            <w:tcW w:w="1636"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E</w:t>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rHeight w:val="611" w:hRule="atLeast"/>
          <w:cantSplit w:val="true"/>
        </w:trPr>
        <w:tc>
          <w:tcPr>
            <w:tcW w:w="587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Arial"/>
                <w:lang w:eastAsia="en-GB"/>
              </w:rPr>
            </w:pPr>
            <w:r>
              <w:rPr>
                <w:rFonts w:eastAsia="Times New Roman" w:cs="Arial"/>
                <w:lang w:eastAsia="en-GB"/>
              </w:rPr>
              <w:t>Health and Safety awareness e.g. Fire Safety Awareness, Awaabs Law, HHRS relevant to housing and property management.</w:t>
            </w:r>
          </w:p>
        </w:tc>
        <w:tc>
          <w:tcPr>
            <w:tcW w:w="1636"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b/>
                <w:b/>
              </w:rPr>
            </w:pPr>
            <w:r>
              <w:rPr>
                <w:b/>
              </w:rPr>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b/>
                <w:b/>
              </w:rPr>
            </w:pPr>
            <w:r>
              <w:rPr>
                <w:b/>
              </w:rPr>
              <w:t>D</w:t>
            </w:r>
          </w:p>
        </w:tc>
      </w:tr>
      <w:tr>
        <w:trPr>
          <w:trHeight w:val="611" w:hRule="atLeast"/>
          <w:cantSplit w:val="true"/>
        </w:trPr>
        <w:tc>
          <w:tcPr>
            <w:tcW w:w="587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Arial"/>
                <w:lang w:eastAsia="en-GB"/>
              </w:rPr>
            </w:pPr>
            <w:r>
              <w:rPr>
                <w:rFonts w:eastAsia="Times New Roman" w:cs="Arial"/>
                <w:lang w:eastAsia="en-GB"/>
              </w:rPr>
              <w:t>Management or leadership qualification (e.g. ILM Level 4-5 or above).</w:t>
            </w:r>
          </w:p>
        </w:tc>
        <w:tc>
          <w:tcPr>
            <w:tcW w:w="1636"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b/>
                <w:b/>
              </w:rPr>
            </w:pPr>
            <w:r>
              <w:rPr>
                <w:b/>
              </w:rPr>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b/>
                <w:b/>
              </w:rPr>
            </w:pPr>
            <w:r>
              <w:rPr>
                <w:b/>
              </w:rPr>
              <w:t>D</w:t>
            </w:r>
          </w:p>
        </w:tc>
      </w:tr>
      <w:tr>
        <w:trPr>
          <w:trHeight w:val="611" w:hRule="atLeast"/>
          <w:cantSplit w:val="true"/>
        </w:trPr>
        <w:tc>
          <w:tcPr>
            <w:tcW w:w="587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Arial"/>
                <w:lang w:eastAsia="en-GB"/>
              </w:rPr>
            </w:pPr>
            <w:r>
              <w:rPr>
                <w:rFonts w:eastAsia="Times New Roman" w:cs="Arial"/>
                <w:lang w:eastAsia="en-GB"/>
              </w:rPr>
              <w:t xml:space="preserve">Training in procurement legislation </w:t>
            </w:r>
          </w:p>
        </w:tc>
        <w:tc>
          <w:tcPr>
            <w:tcW w:w="1636"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b/>
                <w:b/>
              </w:rPr>
            </w:pPr>
            <w:r>
              <w:rPr>
                <w:b/>
              </w:rPr>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b/>
                <w:b/>
              </w:rPr>
            </w:pPr>
            <w:r>
              <w:rPr>
                <w:b/>
              </w:rPr>
              <w:t>D</w:t>
            </w:r>
          </w:p>
        </w:tc>
      </w:tr>
      <w:tr>
        <w:trPr/>
        <w:tc>
          <w:tcPr>
            <w:tcW w:w="9026"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b/>
                <w:b/>
              </w:rPr>
            </w:pPr>
            <w:r>
              <w:rPr>
                <w:b/>
              </w:rPr>
              <w:t xml:space="preserve">Experience </w:t>
            </w:r>
          </w:p>
        </w:tc>
      </w:tr>
      <w:tr>
        <w:trPr/>
        <w:tc>
          <w:tcPr>
            <w:tcW w:w="587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Arial"/>
                <w:lang w:eastAsia="en-GB"/>
              </w:rPr>
            </w:pPr>
            <w:r>
              <w:rPr>
                <w:rFonts w:eastAsia="Times New Roman" w:cs="Arial"/>
                <w:lang w:eastAsia="en-GB"/>
              </w:rPr>
              <w:t xml:space="preserve">Minimum 2 years’ experience in housing or neighbourhood management, including staff supervision. </w:t>
            </w:r>
          </w:p>
        </w:tc>
        <w:tc>
          <w:tcPr>
            <w:tcW w:w="1636"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E</w:t>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587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Arial"/>
                <w:lang w:eastAsia="en-GB"/>
              </w:rPr>
            </w:pPr>
            <w:r>
              <w:rPr>
                <w:rFonts w:eastAsia="Times New Roman" w:cs="Arial"/>
                <w:lang w:eastAsia="en-GB"/>
              </w:rPr>
              <w:t>Proven experience in managing complex tenancy and neighbourhood issues, including ASB and complaints.</w:t>
            </w:r>
          </w:p>
        </w:tc>
        <w:tc>
          <w:tcPr>
            <w:tcW w:w="1636"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E</w:t>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587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Arial"/>
                <w:lang w:eastAsia="en-GB"/>
              </w:rPr>
            </w:pPr>
            <w:r>
              <w:rPr>
                <w:rFonts w:eastAsia="Times New Roman" w:cs="Arial"/>
                <w:lang w:eastAsia="en-GB"/>
              </w:rPr>
              <w:t>Experience managing budgets and monitoring financial performance.</w:t>
            </w:r>
          </w:p>
        </w:tc>
        <w:tc>
          <w:tcPr>
            <w:tcW w:w="1636"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E</w:t>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587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Arial"/>
                <w:lang w:eastAsia="en-GB"/>
              </w:rPr>
            </w:pPr>
            <w:r>
              <w:rPr>
                <w:rFonts w:eastAsia="Times New Roman" w:cs="Arial"/>
                <w:lang w:eastAsia="en-GB"/>
              </w:rPr>
              <w:t>Experience working with compliance and building safety requirements in a housing context.</w:t>
            </w:r>
          </w:p>
        </w:tc>
        <w:tc>
          <w:tcPr>
            <w:tcW w:w="1636"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b/>
                <w:b/>
              </w:rPr>
            </w:pPr>
            <w:r>
              <w:rPr>
                <w:b/>
              </w:rPr>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b/>
                <w:b/>
              </w:rPr>
            </w:pPr>
            <w:r>
              <w:rPr>
                <w:b/>
              </w:rPr>
              <w:t>D</w:t>
            </w:r>
          </w:p>
        </w:tc>
      </w:tr>
      <w:tr>
        <w:trPr/>
        <w:tc>
          <w:tcPr>
            <w:tcW w:w="587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Arial"/>
                <w:lang w:eastAsia="en-GB"/>
              </w:rPr>
            </w:pPr>
            <w:r>
              <w:rPr>
                <w:rFonts w:eastAsia="Times New Roman" w:cs="Arial"/>
                <w:lang w:eastAsia="en-GB"/>
              </w:rPr>
              <w:t>Track record of delivering service improvements and achieving performance targets.</w:t>
            </w:r>
          </w:p>
        </w:tc>
        <w:tc>
          <w:tcPr>
            <w:tcW w:w="1636"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E</w:t>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587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Arial"/>
                <w:lang w:eastAsia="en-GB"/>
              </w:rPr>
            </w:pPr>
            <w:r>
              <w:rPr>
                <w:rFonts w:eastAsia="Times New Roman" w:cs="Arial"/>
                <w:lang w:eastAsia="en-GB"/>
              </w:rPr>
              <w:t>Experience of working at a strategic level or contributing to policy development.</w:t>
            </w:r>
          </w:p>
        </w:tc>
        <w:tc>
          <w:tcPr>
            <w:tcW w:w="1636"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E</w:t>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587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Arial"/>
                <w:lang w:eastAsia="en-GB"/>
              </w:rPr>
            </w:pPr>
            <w:r>
              <w:rPr>
                <w:rFonts w:eastAsia="Times New Roman" w:cs="Arial"/>
                <w:lang w:eastAsia="en-GB"/>
              </w:rPr>
              <w:t>Experience of partnership working with statutory, voluntary, or community organisations.</w:t>
            </w:r>
          </w:p>
        </w:tc>
        <w:tc>
          <w:tcPr>
            <w:tcW w:w="1636"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E</w:t>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587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Arial"/>
                <w:lang w:eastAsia="en-GB"/>
              </w:rPr>
            </w:pPr>
            <w:r>
              <w:rPr>
                <w:rFonts w:eastAsia="Times New Roman" w:cs="Arial"/>
                <w:lang w:eastAsia="en-GB"/>
              </w:rPr>
              <w:t>Experience of managing contractors or service level agreements.</w:t>
            </w:r>
          </w:p>
        </w:tc>
        <w:tc>
          <w:tcPr>
            <w:tcW w:w="1636"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E</w:t>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587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Arial"/>
                <w:lang w:eastAsia="en-GB"/>
              </w:rPr>
            </w:pPr>
            <w:r>
              <w:rPr>
                <w:rFonts w:eastAsia="Times New Roman" w:cs="Arial"/>
                <w:lang w:eastAsia="en-GB"/>
              </w:rPr>
              <w:t>The ability to maintain accurate records, ensuring compliance with policies and procedures</w:t>
            </w:r>
          </w:p>
        </w:tc>
        <w:tc>
          <w:tcPr>
            <w:tcW w:w="1636"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E</w:t>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5873" w:type="dxa"/>
            <w:tcBorders>
              <w:top w:val="single" w:sz="4" w:space="0" w:color="000000"/>
              <w:left w:val="single" w:sz="4" w:space="0" w:color="000000"/>
              <w:bottom w:val="single" w:sz="4" w:space="0" w:color="000000"/>
            </w:tcBorders>
            <w:shd w:fill="auto" w:val="clear"/>
          </w:tcPr>
          <w:p>
            <w:pPr>
              <w:pStyle w:val="Normal"/>
              <w:spacing w:lineRule="auto" w:line="240" w:before="0" w:after="0"/>
              <w:rPr>
                <w:bCs/>
              </w:rPr>
            </w:pPr>
            <w:r>
              <w:rPr>
                <w:bCs/>
              </w:rPr>
              <w:t>Experience supporting tenant engagement consultation or community activities</w:t>
            </w:r>
          </w:p>
        </w:tc>
        <w:tc>
          <w:tcPr>
            <w:tcW w:w="1636"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b/>
                <w:b/>
              </w:rPr>
            </w:pPr>
            <w:r>
              <w:rPr>
                <w:b/>
              </w:rPr>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b/>
                <w:b/>
              </w:rPr>
            </w:pPr>
            <w:r>
              <w:rPr>
                <w:b/>
              </w:rPr>
              <w:t>D</w:t>
            </w:r>
          </w:p>
        </w:tc>
      </w:tr>
      <w:tr>
        <w:trPr/>
        <w:tc>
          <w:tcPr>
            <w:tcW w:w="5873" w:type="dxa"/>
            <w:tcBorders>
              <w:top w:val="single" w:sz="4" w:space="0" w:color="000000"/>
              <w:left w:val="single" w:sz="4" w:space="0" w:color="000000"/>
              <w:bottom w:val="single" w:sz="4" w:space="0" w:color="000000"/>
            </w:tcBorders>
            <w:shd w:fill="auto" w:val="clear"/>
          </w:tcPr>
          <w:p>
            <w:pPr>
              <w:pStyle w:val="Normal"/>
              <w:spacing w:lineRule="auto" w:line="240" w:before="0" w:after="0"/>
              <w:rPr>
                <w:bCs/>
              </w:rPr>
            </w:pPr>
            <w:r>
              <w:rPr>
                <w:bCs/>
              </w:rPr>
              <w:t>Experience attending or contributing to allocation panels or multi agency meetings.</w:t>
            </w:r>
          </w:p>
        </w:tc>
        <w:tc>
          <w:tcPr>
            <w:tcW w:w="1636"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b/>
                <w:b/>
              </w:rPr>
            </w:pPr>
            <w:r>
              <w:rPr>
                <w:b/>
              </w:rPr>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b/>
                <w:b/>
              </w:rPr>
            </w:pPr>
            <w:r>
              <w:rPr>
                <w:b/>
              </w:rPr>
              <w:t>D</w:t>
            </w:r>
          </w:p>
        </w:tc>
      </w:tr>
      <w:tr>
        <w:trPr/>
        <w:tc>
          <w:tcPr>
            <w:tcW w:w="5873" w:type="dxa"/>
            <w:tcBorders>
              <w:top w:val="single" w:sz="4" w:space="0" w:color="000000"/>
              <w:left w:val="single" w:sz="4" w:space="0" w:color="000000"/>
              <w:bottom w:val="single" w:sz="4" w:space="0" w:color="000000"/>
            </w:tcBorders>
            <w:shd w:fill="auto" w:val="clear"/>
          </w:tcPr>
          <w:p>
            <w:pPr>
              <w:pStyle w:val="Normal"/>
              <w:spacing w:lineRule="auto" w:line="240" w:before="0" w:after="0"/>
              <w:rPr>
                <w:bCs/>
              </w:rPr>
            </w:pPr>
            <w:r>
              <w:rPr>
                <w:bCs/>
              </w:rPr>
              <w:t>Awareness of financial management, service charging, and budgetary control.</w:t>
            </w:r>
          </w:p>
        </w:tc>
        <w:tc>
          <w:tcPr>
            <w:tcW w:w="1636"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E</w:t>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9026"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b/>
                <w:b/>
              </w:rPr>
            </w:pPr>
            <w:r>
              <w:rPr>
                <w:b/>
              </w:rPr>
              <w:t>Knowledge &amp; Understanding</w:t>
            </w:r>
          </w:p>
        </w:tc>
      </w:tr>
      <w:tr>
        <w:trPr/>
        <w:tc>
          <w:tcPr>
            <w:tcW w:w="5873" w:type="dxa"/>
            <w:tcBorders>
              <w:top w:val="single" w:sz="4" w:space="0" w:color="000000"/>
              <w:left w:val="single" w:sz="4" w:space="0" w:color="000000"/>
              <w:bottom w:val="single" w:sz="4" w:space="0" w:color="000000"/>
            </w:tcBorders>
            <w:shd w:fill="auto" w:val="clear"/>
          </w:tcPr>
          <w:p>
            <w:pPr>
              <w:pStyle w:val="Normal"/>
              <w:spacing w:lineRule="auto" w:line="240" w:before="0" w:after="0"/>
              <w:rPr>
                <w:bCs/>
              </w:rPr>
            </w:pPr>
            <w:r>
              <w:rPr>
                <w:bCs/>
              </w:rPr>
              <w:t>Comprehensive knowledge of housing law, landlord and tenant legislation, and regulatory frameworks.</w:t>
            </w:r>
          </w:p>
        </w:tc>
        <w:tc>
          <w:tcPr>
            <w:tcW w:w="1636"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E</w:t>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5873" w:type="dxa"/>
            <w:tcBorders>
              <w:top w:val="single" w:sz="4" w:space="0" w:color="000000"/>
              <w:left w:val="single" w:sz="4" w:space="0" w:color="000000"/>
              <w:bottom w:val="single" w:sz="4" w:space="0" w:color="000000"/>
            </w:tcBorders>
            <w:shd w:fill="auto" w:val="clear"/>
          </w:tcPr>
          <w:p>
            <w:pPr>
              <w:pStyle w:val="Normal"/>
              <w:spacing w:lineRule="auto" w:line="240" w:before="0" w:after="0"/>
              <w:rPr>
                <w:bCs/>
              </w:rPr>
            </w:pPr>
            <w:r>
              <w:rPr>
                <w:bCs/>
              </w:rPr>
              <w:t>Understanding of equality, diversity, and inclusion principles in service delivery.</w:t>
            </w:r>
          </w:p>
        </w:tc>
        <w:tc>
          <w:tcPr>
            <w:tcW w:w="1636"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E</w:t>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5873"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bCs/>
              </w:rPr>
              <w:t>Knowledge of safeguarding legislation, procedures and best practice,</w:t>
            </w:r>
            <w:r>
              <w:rPr/>
              <w:t xml:space="preserve"> having the a</w:t>
            </w:r>
            <w:r>
              <w:rPr>
                <w:bCs/>
              </w:rPr>
              <w:t>bility to identify and escalate concerns</w:t>
            </w:r>
          </w:p>
        </w:tc>
        <w:tc>
          <w:tcPr>
            <w:tcW w:w="1636"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E</w:t>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5873" w:type="dxa"/>
            <w:tcBorders>
              <w:top w:val="single" w:sz="4" w:space="0" w:color="000000"/>
              <w:left w:val="single" w:sz="4" w:space="0" w:color="000000"/>
              <w:bottom w:val="single" w:sz="4" w:space="0" w:color="000000"/>
            </w:tcBorders>
            <w:shd w:fill="auto" w:val="clear"/>
          </w:tcPr>
          <w:p>
            <w:pPr>
              <w:pStyle w:val="Normal"/>
              <w:spacing w:lineRule="auto" w:line="240" w:before="0" w:after="0"/>
              <w:rPr>
                <w:bCs/>
              </w:rPr>
            </w:pPr>
            <w:r>
              <w:rPr>
                <w:bCs/>
              </w:rPr>
              <w:t>Understanding of data protection and confidentiality requirements</w:t>
            </w:r>
          </w:p>
        </w:tc>
        <w:tc>
          <w:tcPr>
            <w:tcW w:w="1636"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E</w:t>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9026"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b/>
                <w:b/>
              </w:rPr>
            </w:pPr>
            <w:r>
              <w:rPr>
                <w:b/>
              </w:rPr>
              <w:t xml:space="preserve">Skills &amp; Abilities </w:t>
            </w:r>
          </w:p>
        </w:tc>
      </w:tr>
      <w:tr>
        <w:trPr>
          <w:trHeight w:val="300" w:hRule="atLeast"/>
        </w:trPr>
        <w:tc>
          <w:tcPr>
            <w:tcW w:w="5873" w:type="dxa"/>
            <w:tcBorders>
              <w:top w:val="single" w:sz="4" w:space="0" w:color="000000"/>
              <w:left w:val="single" w:sz="4" w:space="0" w:color="000000"/>
              <w:bottom w:val="single" w:sz="4" w:space="0" w:color="000000"/>
            </w:tcBorders>
            <w:shd w:fill="auto" w:val="clear"/>
          </w:tcPr>
          <w:p>
            <w:pPr>
              <w:pStyle w:val="Normal"/>
              <w:spacing w:lineRule="auto" w:line="240" w:before="0" w:after="0"/>
              <w:rPr>
                <w:bCs/>
              </w:rPr>
            </w:pPr>
            <w:r>
              <w:rPr>
                <w:bCs/>
              </w:rPr>
              <w:t>Strong leadership and people management skills with the ability to motivate and develop teams.</w:t>
              <w:tab/>
              <w:tab/>
            </w:r>
          </w:p>
        </w:tc>
        <w:tc>
          <w:tcPr>
            <w:tcW w:w="1636"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E</w:t>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587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Arial"/>
                <w:bCs/>
                <w:lang w:eastAsia="en-GB"/>
              </w:rPr>
            </w:pPr>
            <w:r>
              <w:rPr>
                <w:rFonts w:eastAsia="Times New Roman" w:cs="Arial"/>
                <w:bCs/>
                <w:lang w:eastAsia="en-GB"/>
              </w:rPr>
              <w:t>Excellent communication, negotiation, and influencing skills.</w:t>
            </w:r>
          </w:p>
        </w:tc>
        <w:tc>
          <w:tcPr>
            <w:tcW w:w="1636"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E</w:t>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587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Arial"/>
                <w:bCs/>
                <w:lang w:eastAsia="en-GB"/>
              </w:rPr>
            </w:pPr>
            <w:r>
              <w:rPr>
                <w:rFonts w:eastAsia="Times New Roman" w:cs="Arial"/>
                <w:bCs/>
                <w:lang w:eastAsia="en-GB"/>
              </w:rPr>
              <w:t>Ability to analyse complex information, prepare reports, and make evidence-based decisions.</w:t>
            </w:r>
          </w:p>
        </w:tc>
        <w:tc>
          <w:tcPr>
            <w:tcW w:w="1636"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E</w:t>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587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Arial"/>
                <w:bCs/>
                <w:lang w:eastAsia="en-GB"/>
              </w:rPr>
            </w:pPr>
            <w:r>
              <w:rPr>
                <w:rFonts w:eastAsia="Times New Roman" w:cs="Arial"/>
                <w:bCs/>
                <w:lang w:eastAsia="en-GB"/>
              </w:rPr>
              <w:t>Strong organisational and time management skills, with the ability to prioritise and manage a varied workload.</w:t>
            </w:r>
          </w:p>
        </w:tc>
        <w:tc>
          <w:tcPr>
            <w:tcW w:w="1636"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E</w:t>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rHeight w:val="390" w:hRule="atLeast"/>
        </w:trPr>
        <w:tc>
          <w:tcPr>
            <w:tcW w:w="587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Arial"/>
                <w:bCs/>
                <w:lang w:eastAsia="en-GB"/>
              </w:rPr>
            </w:pPr>
            <w:r>
              <w:rPr>
                <w:rFonts w:eastAsia="Times New Roman" w:cs="Arial"/>
                <w:bCs/>
                <w:lang w:eastAsia="en-GB"/>
              </w:rPr>
              <w:t>Competent IT skills, including housing management systems and Microsoft Office.</w:t>
            </w:r>
          </w:p>
        </w:tc>
        <w:tc>
          <w:tcPr>
            <w:tcW w:w="1636"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E</w:t>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587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Arial"/>
                <w:bCs/>
                <w:lang w:eastAsia="en-GB"/>
              </w:rPr>
            </w:pPr>
            <w:r>
              <w:rPr>
                <w:rFonts w:eastAsia="Times New Roman" w:cs="Arial"/>
                <w:bCs/>
                <w:lang w:eastAsia="en-GB"/>
              </w:rPr>
              <w:t>Ability to work collaboratively and build effective partnerships across departments and agencies.</w:t>
            </w:r>
          </w:p>
        </w:tc>
        <w:tc>
          <w:tcPr>
            <w:tcW w:w="1636"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E</w:t>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587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Arial"/>
                <w:bCs/>
                <w:lang w:eastAsia="en-GB"/>
              </w:rPr>
            </w:pPr>
            <w:r>
              <w:rPr>
                <w:rFonts w:eastAsia="Times New Roman" w:cs="Arial"/>
                <w:bCs/>
                <w:lang w:eastAsia="en-GB"/>
              </w:rPr>
              <w:t>Knowledge of problem-solving with a focus on delivering outcomes.</w:t>
            </w:r>
          </w:p>
        </w:tc>
        <w:tc>
          <w:tcPr>
            <w:tcW w:w="1636"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E</w:t>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587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Arial"/>
                <w:bCs/>
                <w:lang w:eastAsia="en-GB"/>
              </w:rPr>
            </w:pPr>
            <w:r>
              <w:rPr>
                <w:rFonts w:eastAsia="Times New Roman" w:cs="Arial"/>
                <w:bCs/>
                <w:lang w:eastAsia="en-GB"/>
              </w:rPr>
              <w:t>Ability to represent the service at panels, public meetings, and forums.</w:t>
            </w:r>
          </w:p>
        </w:tc>
        <w:tc>
          <w:tcPr>
            <w:tcW w:w="1636"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b/>
                <w:b/>
              </w:rPr>
            </w:pPr>
            <w:r>
              <w:rPr>
                <w:b/>
              </w:rPr>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b/>
                <w:b/>
              </w:rPr>
            </w:pPr>
            <w:r>
              <w:rPr>
                <w:b/>
              </w:rPr>
              <w:t>D</w:t>
            </w:r>
          </w:p>
        </w:tc>
      </w:tr>
      <w:tr>
        <w:trPr/>
        <w:tc>
          <w:tcPr>
            <w:tcW w:w="587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Arial"/>
                <w:bCs/>
                <w:lang w:eastAsia="en-GB"/>
              </w:rPr>
            </w:pPr>
            <w:r>
              <w:rPr>
                <w:rFonts w:eastAsia="Times New Roman" w:cs="Arial"/>
                <w:bCs/>
                <w:lang w:eastAsia="en-GB"/>
              </w:rPr>
              <w:t>Skills in coaching, mentoring, or developing staff.</w:t>
            </w:r>
          </w:p>
        </w:tc>
        <w:tc>
          <w:tcPr>
            <w:tcW w:w="1636"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b/>
                <w:b/>
              </w:rPr>
            </w:pPr>
            <w:r>
              <w:rPr>
                <w:b/>
              </w:rPr>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b/>
                <w:b/>
              </w:rPr>
            </w:pPr>
            <w:r>
              <w:rPr>
                <w:b/>
              </w:rPr>
              <w:t>D</w:t>
            </w:r>
          </w:p>
        </w:tc>
      </w:tr>
      <w:tr>
        <w:trPr/>
        <w:tc>
          <w:tcPr>
            <w:tcW w:w="587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eastAsia="Times New Roman" w:cs="Arial"/>
                <w:b/>
                <w:b/>
                <w:bCs/>
                <w:lang w:eastAsia="en-GB"/>
              </w:rPr>
            </w:pPr>
            <w:r>
              <w:rPr>
                <w:rFonts w:eastAsia="Times New Roman" w:cs="Arial"/>
                <w:b/>
                <w:bCs/>
                <w:lang w:eastAsia="en-GB"/>
              </w:rPr>
              <w:t>Other Requirements</w:t>
            </w:r>
          </w:p>
        </w:tc>
        <w:tc>
          <w:tcPr>
            <w:tcW w:w="1636"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b/>
                <w:b/>
              </w:rPr>
            </w:pPr>
            <w:r>
              <w:rPr>
                <w:b/>
              </w:rPr>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587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Arial"/>
                <w:lang w:eastAsia="en-GB"/>
              </w:rPr>
            </w:pPr>
            <w:r>
              <w:rPr>
                <w:rFonts w:eastAsia="Times New Roman" w:cs="Arial"/>
                <w:lang w:eastAsia="en-GB"/>
              </w:rPr>
              <w:t>Commitment to professional standards, customer service, and continuous improvement.</w:t>
            </w:r>
          </w:p>
        </w:tc>
        <w:tc>
          <w:tcPr>
            <w:tcW w:w="1636"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E</w:t>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587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Arial"/>
                <w:lang w:eastAsia="en-GB"/>
              </w:rPr>
            </w:pPr>
            <w:r>
              <w:rPr>
                <w:rFonts w:eastAsia="Times New Roman" w:cs="Arial"/>
                <w:lang w:eastAsia="en-GB"/>
              </w:rPr>
              <w:t>Full driving licence and access to a vehicle.</w:t>
            </w:r>
          </w:p>
        </w:tc>
        <w:tc>
          <w:tcPr>
            <w:tcW w:w="1636"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E</w:t>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587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Arial"/>
                <w:lang w:eastAsia="en-GB"/>
              </w:rPr>
            </w:pPr>
            <w:r>
              <w:rPr>
                <w:rFonts w:eastAsia="Times New Roman" w:cs="Arial"/>
                <w:lang w:eastAsia="en-GB"/>
              </w:rPr>
              <w:t>Willingness to participate in the emergency on-call rota.</w:t>
            </w:r>
          </w:p>
        </w:tc>
        <w:tc>
          <w:tcPr>
            <w:tcW w:w="1636"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E</w:t>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587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eastAsia="Times New Roman" w:cs="Arial"/>
                <w:lang w:eastAsia="en-GB"/>
              </w:rPr>
            </w:pPr>
            <w:r>
              <w:rPr>
                <w:rFonts w:eastAsia="Times New Roman" w:cs="Arial"/>
                <w:lang w:eastAsia="en-GB"/>
              </w:rPr>
              <w:t>Commitment to Equality Diversity and Inclusion in service delivery</w:t>
            </w:r>
          </w:p>
        </w:tc>
        <w:tc>
          <w:tcPr>
            <w:tcW w:w="1636"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E</w:t>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rHeight w:val="885" w:hRule="atLeast"/>
        </w:trPr>
        <w:tc>
          <w:tcPr>
            <w:tcW w:w="5873"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eastAsia="Times New Roman" w:cs="Arial"/>
                <w:lang w:eastAsia="en-GB"/>
              </w:rPr>
            </w:pPr>
            <w:r>
              <w:rPr>
                <w:rFonts w:eastAsia="Times New Roman" w:cs="Arial"/>
                <w:lang w:eastAsia="en-GB"/>
              </w:rPr>
              <w:t>Role model our culture and values, acting as an ambassador for Bury Council and promote the organisation and its services.</w:t>
            </w:r>
          </w:p>
        </w:tc>
        <w:tc>
          <w:tcPr>
            <w:tcW w:w="1636" w:type="dxa"/>
            <w:tcBorders>
              <w:top w:val="single" w:sz="4" w:space="0" w:color="000000"/>
              <w:left w:val="single" w:sz="4" w:space="0" w:color="000000"/>
              <w:bottom w:val="single" w:sz="4" w:space="0" w:color="000000"/>
            </w:tcBorders>
            <w:shd w:fill="auto" w:val="clear"/>
            <w:vAlign w:val="center"/>
          </w:tcPr>
          <w:p>
            <w:pPr>
              <w:pStyle w:val="Normal"/>
              <w:spacing w:before="120" w:after="120"/>
              <w:jc w:val="center"/>
              <w:rPr>
                <w:b/>
                <w:b/>
              </w:rPr>
            </w:pPr>
            <w:r>
              <w:rPr>
                <w:b/>
              </w:rPr>
              <w:t>E</w:t>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b/>
                <w:b/>
              </w:rPr>
            </w:pPr>
            <w:r>
              <w:rPr>
                <w:b/>
              </w:rPr>
            </w:r>
            <w:bookmarkStart w:id="1" w:name="_Hlk168575678"/>
            <w:bookmarkStart w:id="2" w:name="_Hlk168575678"/>
            <w:bookmarkEnd w:id="2"/>
          </w:p>
        </w:tc>
      </w:tr>
      <w:tr>
        <w:trPr/>
        <w:tc>
          <w:tcPr>
            <w:tcW w:w="5873" w:type="dxa"/>
            <w:tcBorders>
              <w:top w:val="single" w:sz="4" w:space="0" w:color="000000"/>
              <w:left w:val="single" w:sz="4" w:space="0" w:color="000000"/>
              <w:bottom w:val="single" w:sz="4" w:space="0" w:color="000000"/>
            </w:tcBorders>
            <w:shd w:fill="auto" w:val="clear"/>
          </w:tcPr>
          <w:p>
            <w:pPr>
              <w:pStyle w:val="Normal"/>
              <w:spacing w:lineRule="auto" w:line="240" w:before="0" w:after="0"/>
              <w:rPr>
                <w:bCs/>
              </w:rPr>
            </w:pPr>
            <w:r>
              <w:rPr>
                <w:bCs/>
              </w:rPr>
              <w:t xml:space="preserve">Ability to work flexibly and collaboratively, dealing with changing demands and priorities over time. </w:t>
            </w:r>
          </w:p>
        </w:tc>
        <w:tc>
          <w:tcPr>
            <w:tcW w:w="1636"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E</w:t>
            </w:r>
          </w:p>
        </w:tc>
        <w:tc>
          <w:tcPr>
            <w:tcW w:w="1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bl>
    <w:p>
      <w:pPr>
        <w:pStyle w:val="Normal"/>
        <w:jc w:val="both"/>
        <w:rPr/>
      </w:pPr>
      <w:r>
        <w:rPr/>
      </w:r>
    </w:p>
    <w:p>
      <w:pPr>
        <w:pStyle w:val="Normal"/>
        <w:jc w:val="both"/>
        <w:rPr/>
      </w:pPr>
      <w:r>
        <w:rPr/>
      </w:r>
    </w:p>
    <w:p>
      <w:pPr>
        <w:pStyle w:val="Normal"/>
        <w:jc w:val="center"/>
        <w:rPr>
          <w:rFonts w:cs="Arial"/>
          <w:b/>
          <w:b/>
        </w:rPr>
      </w:pPr>
      <w:r>
        <w:rPr>
          <w:rFonts w:cs="Arial"/>
          <w:b/>
        </w:rPr>
      </w:r>
    </w:p>
    <w:p>
      <w:pPr>
        <w:pStyle w:val="Normal"/>
        <w:jc w:val="center"/>
        <w:rPr>
          <w:rFonts w:cs="Arial"/>
          <w:b/>
          <w:b/>
        </w:rPr>
      </w:pPr>
      <w:r>
        <w:rPr>
          <w:rFonts w:cs="Arial"/>
          <w:b/>
        </w:rPr>
      </w:r>
    </w:p>
    <w:p>
      <w:pPr>
        <w:pStyle w:val="Normal"/>
        <w:jc w:val="center"/>
        <w:rPr>
          <w:rFonts w:cs="Arial"/>
          <w:b/>
          <w:b/>
        </w:rPr>
      </w:pPr>
      <w:r>
        <w:rPr>
          <w:rFonts w:cs="Arial"/>
          <w:b/>
        </w:rPr>
      </w:r>
    </w:p>
    <w:p>
      <w:pPr>
        <w:pStyle w:val="Normal"/>
        <w:jc w:val="center"/>
        <w:rPr>
          <w:rFonts w:cs="Arial"/>
          <w:b/>
          <w:b/>
        </w:rPr>
      </w:pPr>
      <w:r>
        <w:rPr>
          <w:rFonts w:cs="Arial"/>
          <w:b/>
        </w:rPr>
      </w:r>
    </w:p>
    <w:p>
      <w:pPr>
        <w:pStyle w:val="Normal"/>
        <w:jc w:val="center"/>
        <w:rPr>
          <w:rFonts w:cs="Arial"/>
          <w:b/>
          <w:b/>
        </w:rPr>
      </w:pPr>
      <w:r>
        <w:rPr>
          <w:rFonts w:cs="Arial"/>
          <w:b/>
        </w:rPr>
      </w:r>
    </w:p>
    <w:p>
      <w:pPr>
        <w:pStyle w:val="Normal"/>
        <w:jc w:val="center"/>
        <w:rPr>
          <w:rFonts w:cs="Arial"/>
          <w:b/>
          <w:b/>
        </w:rPr>
      </w:pPr>
      <w:r>
        <w:rPr>
          <w:rFonts w:cs="Arial"/>
          <w:b/>
        </w:rPr>
      </w:r>
    </w:p>
    <w:p>
      <w:pPr>
        <w:pStyle w:val="Normal"/>
        <w:jc w:val="center"/>
        <w:rPr>
          <w:rFonts w:cs="Arial"/>
          <w:b/>
          <w:b/>
        </w:rPr>
      </w:pPr>
      <w:r>
        <w:rPr>
          <w:rFonts w:cs="Arial"/>
          <w:b/>
        </w:rPr>
      </w:r>
    </w:p>
    <w:p>
      <w:pPr>
        <w:pStyle w:val="Normal"/>
        <w:jc w:val="center"/>
        <w:rPr>
          <w:rFonts w:cs="Arial"/>
          <w:b/>
          <w:b/>
        </w:rPr>
      </w:pPr>
      <w:r>
        <w:rPr>
          <w:rFonts w:cs="Arial"/>
          <w:b/>
        </w:rPr>
        <w:t>CRITERIA FOR INTERVIEW AND OTHER ASSESSMENT METHODS</w:t>
      </w:r>
    </w:p>
    <w:p>
      <w:pPr>
        <w:pStyle w:val="Normal"/>
        <w:jc w:val="center"/>
        <w:rPr>
          <w:rFonts w:cs="Arial"/>
          <w:b/>
          <w:b/>
        </w:rPr>
      </w:pPr>
      <w:r>
        <w:rPr>
          <w:rFonts w:cs="Arial"/>
          <w:b/>
        </w:rPr>
        <w:t>The short-listing criteria listed plus the following:</w:t>
      </w:r>
    </w:p>
    <w:p>
      <w:pPr>
        <w:pStyle w:val="Normal"/>
        <w:jc w:val="both"/>
        <w:rPr/>
      </w:pPr>
      <w:r>
        <w:rPr/>
      </w:r>
    </w:p>
    <w:tbl>
      <w:tblPr>
        <w:tblW w:w="5000" w:type="pct"/>
        <w:jc w:val="left"/>
        <w:tblInd w:w="0" w:type="dxa"/>
        <w:tblCellMar>
          <w:top w:w="0" w:type="dxa"/>
          <w:left w:w="108" w:type="dxa"/>
          <w:bottom w:w="0" w:type="dxa"/>
          <w:right w:w="108" w:type="dxa"/>
        </w:tblCellMar>
      </w:tblPr>
      <w:tblGrid>
        <w:gridCol w:w="1969"/>
        <w:gridCol w:w="7057"/>
      </w:tblGrid>
      <w:tr>
        <w:trPr>
          <w:trHeight w:val="345" w:hRule="atLeast"/>
        </w:trPr>
        <w:tc>
          <w:tcPr>
            <w:tcW w:w="1969"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b/>
                <w:b/>
              </w:rPr>
            </w:pPr>
            <w:r>
              <w:rPr>
                <w:b/>
              </w:rPr>
              <w:t>ASSESSMENT</w:t>
            </w:r>
          </w:p>
          <w:p>
            <w:pPr>
              <w:pStyle w:val="Normal"/>
              <w:spacing w:lineRule="auto" w:line="240" w:before="0" w:after="0"/>
              <w:jc w:val="center"/>
              <w:rPr>
                <w:b/>
                <w:b/>
              </w:rPr>
            </w:pPr>
            <w:r>
              <w:rPr>
                <w:b/>
              </w:rPr>
              <w:t>METHOD</w:t>
            </w:r>
          </w:p>
        </w:tc>
        <w:tc>
          <w:tcPr>
            <w:tcW w:w="705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b/>
                <w:b/>
              </w:rPr>
            </w:pPr>
            <w:r>
              <w:rPr>
                <w:b/>
              </w:rPr>
              <w:t>CRITERIA</w:t>
            </w:r>
          </w:p>
        </w:tc>
      </w:tr>
      <w:tr>
        <w:trPr>
          <w:trHeight w:val="567" w:hRule="atLeast"/>
          <w:cantSplit w:val="true"/>
        </w:trPr>
        <w:tc>
          <w:tcPr>
            <w:tcW w:w="1969"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120" w:after="160"/>
              <w:rPr>
                <w:b/>
                <w:b/>
              </w:rPr>
            </w:pPr>
            <w:r>
              <w:rPr>
                <w:b/>
              </w:rPr>
            </w:r>
          </w:p>
        </w:tc>
        <w:tc>
          <w:tcPr>
            <w:tcW w:w="705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120" w:after="160"/>
              <w:rPr>
                <w:b/>
                <w:b/>
              </w:rPr>
            </w:pPr>
            <w:r>
              <w:rPr>
                <w:b/>
              </w:rPr>
            </w:r>
          </w:p>
        </w:tc>
      </w:tr>
      <w:tr>
        <w:trPr>
          <w:trHeight w:val="567" w:hRule="atLeast"/>
        </w:trPr>
        <w:tc>
          <w:tcPr>
            <w:tcW w:w="1969"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120" w:after="160"/>
              <w:rPr>
                <w:b/>
                <w:b/>
              </w:rPr>
            </w:pPr>
            <w:r>
              <w:rPr>
                <w:b/>
              </w:rPr>
            </w:r>
          </w:p>
        </w:tc>
        <w:tc>
          <w:tcPr>
            <w:tcW w:w="705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120" w:after="160"/>
              <w:rPr>
                <w:b/>
                <w:b/>
              </w:rPr>
            </w:pPr>
            <w:r>
              <w:rPr>
                <w:b/>
              </w:rPr>
            </w:r>
          </w:p>
        </w:tc>
      </w:tr>
      <w:tr>
        <w:trPr>
          <w:trHeight w:val="567" w:hRule="atLeast"/>
        </w:trPr>
        <w:tc>
          <w:tcPr>
            <w:tcW w:w="1969"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120" w:after="160"/>
              <w:rPr>
                <w:b/>
                <w:b/>
              </w:rPr>
            </w:pPr>
            <w:r>
              <w:rPr>
                <w:b/>
              </w:rPr>
            </w:r>
          </w:p>
        </w:tc>
        <w:tc>
          <w:tcPr>
            <w:tcW w:w="705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ind w:left="-17" w:right="0" w:hanging="0"/>
              <w:rPr>
                <w:b/>
                <w:b/>
              </w:rPr>
            </w:pPr>
            <w:r>
              <w:rPr>
                <w:b/>
              </w:rPr>
            </w:r>
          </w:p>
        </w:tc>
      </w:tr>
      <w:tr>
        <w:trPr>
          <w:trHeight w:val="567" w:hRule="atLeast"/>
        </w:trPr>
        <w:tc>
          <w:tcPr>
            <w:tcW w:w="1969"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120" w:after="120"/>
              <w:rPr>
                <w:b/>
                <w:b/>
              </w:rPr>
            </w:pPr>
            <w:r>
              <w:rPr>
                <w:b/>
              </w:rPr>
            </w:r>
          </w:p>
        </w:tc>
        <w:tc>
          <w:tcPr>
            <w:tcW w:w="705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120" w:after="120"/>
              <w:rPr>
                <w:b/>
                <w:b/>
              </w:rPr>
            </w:pPr>
            <w:r>
              <w:rPr>
                <w:b/>
              </w:rPr>
            </w:r>
          </w:p>
        </w:tc>
      </w:tr>
      <w:tr>
        <w:trPr>
          <w:trHeight w:val="567" w:hRule="atLeast"/>
        </w:trPr>
        <w:tc>
          <w:tcPr>
            <w:tcW w:w="1969"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120" w:after="120"/>
              <w:rPr>
                <w:b/>
                <w:b/>
              </w:rPr>
            </w:pPr>
            <w:r>
              <w:rPr>
                <w:b/>
              </w:rPr>
            </w:r>
          </w:p>
        </w:tc>
        <w:tc>
          <w:tcPr>
            <w:tcW w:w="705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120" w:after="120"/>
              <w:rPr>
                <w:b/>
                <w:b/>
              </w:rPr>
            </w:pPr>
            <w:r>
              <w:rPr>
                <w:b/>
              </w:rPr>
            </w:r>
          </w:p>
        </w:tc>
      </w:tr>
    </w:tbl>
    <w:p>
      <w:pPr>
        <w:pStyle w:val="Normal"/>
        <w:jc w:val="both"/>
        <w:rPr/>
      </w:pPr>
      <w:r>
        <w:rPr/>
      </w:r>
    </w:p>
    <w:p>
      <w:pPr>
        <w:pStyle w:val="Normal"/>
        <w:widowControl/>
        <w:bidi w:val="0"/>
        <w:spacing w:lineRule="auto" w:line="256" w:before="0" w:after="160"/>
        <w:jc w:val="left"/>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Symbol" w:hAnsi="Symbol" w:cs="Symbol" w:hint="default"/>
        <w:sz w:val="20"/>
        <w:rFonts w:cs="Symbol"/>
      </w:rPr>
    </w:lvl>
    <w:lvl w:ilvl="1">
      <w:start w:val="1"/>
      <w:numFmt w:val="bullet"/>
      <w:lvlText w:val=""/>
      <w:lvlJc w:val="left"/>
      <w:pPr>
        <w:tabs>
          <w:tab w:val="num" w:pos="1080"/>
        </w:tabs>
        <w:ind w:left="1080" w:hanging="360"/>
      </w:pPr>
      <w:rPr>
        <w:rFonts w:ascii="Symbol" w:hAnsi="Symbol" w:cs="Symbol" w:hint="default"/>
        <w:sz w:val="20"/>
        <w:rFonts w:cs="Symbol"/>
      </w:rPr>
    </w:lvl>
    <w:lvl w:ilvl="2">
      <w:start w:val="1"/>
      <w:numFmt w:val="bullet"/>
      <w:lvlText w:val=""/>
      <w:lvlJc w:val="left"/>
      <w:pPr>
        <w:tabs>
          <w:tab w:val="num" w:pos="1800"/>
        </w:tabs>
        <w:ind w:left="1800" w:hanging="360"/>
      </w:pPr>
      <w:rPr>
        <w:rFonts w:ascii="Symbol" w:hAnsi="Symbol" w:cs="Symbol" w:hint="default"/>
        <w:sz w:val="20"/>
        <w:rFonts w:cs="Symbol"/>
      </w:rPr>
    </w:lvl>
    <w:lvl w:ilvl="3">
      <w:start w:val="1"/>
      <w:numFmt w:val="bullet"/>
      <w:lvlText w:val=""/>
      <w:lvlJc w:val="left"/>
      <w:pPr>
        <w:tabs>
          <w:tab w:val="num" w:pos="2520"/>
        </w:tabs>
        <w:ind w:left="2520" w:hanging="360"/>
      </w:pPr>
      <w:rPr>
        <w:rFonts w:ascii="Symbol" w:hAnsi="Symbol" w:cs="Symbol" w:hint="default"/>
        <w:sz w:val="20"/>
        <w:rFonts w:cs="Symbol"/>
      </w:rPr>
    </w:lvl>
    <w:lvl w:ilvl="4">
      <w:start w:val="1"/>
      <w:numFmt w:val="bullet"/>
      <w:lvlText w:val=""/>
      <w:lvlJc w:val="left"/>
      <w:pPr>
        <w:tabs>
          <w:tab w:val="num" w:pos="3240"/>
        </w:tabs>
        <w:ind w:left="3240" w:hanging="360"/>
      </w:pPr>
      <w:rPr>
        <w:rFonts w:ascii="Symbol" w:hAnsi="Symbol" w:cs="Symbol" w:hint="default"/>
        <w:sz w:val="20"/>
        <w:rFonts w:cs="Symbol"/>
      </w:rPr>
    </w:lvl>
    <w:lvl w:ilvl="5">
      <w:start w:val="1"/>
      <w:numFmt w:val="bullet"/>
      <w:lvlText w:val=""/>
      <w:lvlJc w:val="left"/>
      <w:pPr>
        <w:tabs>
          <w:tab w:val="num" w:pos="3960"/>
        </w:tabs>
        <w:ind w:left="3960" w:hanging="360"/>
      </w:pPr>
      <w:rPr>
        <w:rFonts w:ascii="Symbol" w:hAnsi="Symbol" w:cs="Symbol" w:hint="default"/>
        <w:sz w:val="20"/>
        <w:rFonts w:cs="Symbol"/>
      </w:rPr>
    </w:lvl>
    <w:lvl w:ilvl="6">
      <w:start w:val="1"/>
      <w:numFmt w:val="bullet"/>
      <w:lvlText w:val=""/>
      <w:lvlJc w:val="left"/>
      <w:pPr>
        <w:tabs>
          <w:tab w:val="num" w:pos="4680"/>
        </w:tabs>
        <w:ind w:left="4680" w:hanging="360"/>
      </w:pPr>
      <w:rPr>
        <w:rFonts w:ascii="Symbol" w:hAnsi="Symbol" w:cs="Symbol" w:hint="default"/>
        <w:sz w:val="20"/>
        <w:rFonts w:cs="Symbol"/>
      </w:rPr>
    </w:lvl>
    <w:lvl w:ilvl="7">
      <w:start w:val="1"/>
      <w:numFmt w:val="bullet"/>
      <w:lvlText w:val=""/>
      <w:lvlJc w:val="left"/>
      <w:pPr>
        <w:tabs>
          <w:tab w:val="num" w:pos="5400"/>
        </w:tabs>
        <w:ind w:left="5400" w:hanging="360"/>
      </w:pPr>
      <w:rPr>
        <w:rFonts w:ascii="Symbol" w:hAnsi="Symbol" w:cs="Symbol" w:hint="default"/>
        <w:sz w:val="20"/>
        <w:rFonts w:cs="Symbol"/>
      </w:rPr>
    </w:lvl>
    <w:lvl w:ilvl="8">
      <w:start w:val="1"/>
      <w:numFmt w:val="bullet"/>
      <w:lvlText w:val=""/>
      <w:lvlJc w:val="left"/>
      <w:pPr>
        <w:tabs>
          <w:tab w:val="num" w:pos="6120"/>
        </w:tabs>
        <w:ind w:left="6120" w:hanging="360"/>
      </w:pPr>
      <w:rPr>
        <w:rFonts w:ascii="Symbol" w:hAnsi="Symbol" w:cs="Symbol" w:hint="default"/>
        <w:sz w:val="20"/>
        <w:rFonts w:cs="Symbol"/>
      </w:rPr>
    </w:lvl>
  </w:abstractNum>
  <w:abstractNum w:abstractNumId="3">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4">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5">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6">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7">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Aptos" w:hAnsi="Aptos" w:eastAsia="Aptos" w:cs=""/>
      <w:color w:val="auto"/>
      <w:kern w:val="2"/>
      <w:sz w:val="22"/>
      <w:szCs w:val="22"/>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 w:cs=""/>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spacing w:before="0" w:after="0"/>
      <w:outlineLvl w:val="7"/>
    </w:pPr>
    <w:rPr>
      <w:rFonts w:eastAsia="" w:cs=""/>
      <w:i/>
      <w:iCs/>
      <w:color w:val="272727"/>
    </w:rPr>
  </w:style>
  <w:style w:type="paragraph" w:styleId="Heading9">
    <w:name w:val="Heading 9"/>
    <w:basedOn w:val="Normal"/>
    <w:next w:val="Normal"/>
    <w:qFormat/>
    <w:pPr>
      <w:keepNext w:val="true"/>
      <w:keepLines/>
      <w:numPr>
        <w:ilvl w:val="8"/>
        <w:numId w:val="1"/>
      </w:numPr>
      <w:spacing w:before="0" w:after="0"/>
      <w:outlineLvl w:val="8"/>
    </w:pPr>
    <w:rPr>
      <w:rFonts w:eastAsia="" w:cs=""/>
      <w:color w:val="272727"/>
    </w:rPr>
  </w:style>
  <w:style w:type="character" w:styleId="WW8Num1z0">
    <w:name w:val="WW8Num1z0"/>
    <w:qFormat/>
    <w:rPr>
      <w:rFonts w:ascii="Symbol" w:hAnsi="Symbol" w:cs="Symbol"/>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 w:cs=""/>
      <w:color w:val="0F4761"/>
      <w:sz w:val="40"/>
      <w:szCs w:val="40"/>
    </w:rPr>
  </w:style>
  <w:style w:type="character" w:styleId="Heading2Char">
    <w:name w:val="Heading 2 Char"/>
    <w:basedOn w:val="DefaultParagraphFont"/>
    <w:qFormat/>
    <w:rPr>
      <w:rFonts w:ascii="Aptos Display" w:hAnsi="Aptos Display" w:eastAsia="" w:cs=""/>
      <w:color w:val="0F4761"/>
      <w:sz w:val="32"/>
      <w:szCs w:val="32"/>
    </w:rPr>
  </w:style>
  <w:style w:type="character" w:styleId="Heading3Char">
    <w:name w:val="Heading 3 Char"/>
    <w:basedOn w:val="DefaultParagraphFont"/>
    <w:qFormat/>
    <w:rPr>
      <w:rFonts w:eastAsia="" w:cs=""/>
      <w:color w:val="0F4761"/>
      <w:sz w:val="28"/>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lineRule="auto" w:line="240"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rPr>
      <w:rFonts w:eastAsia="" w:cs=""/>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2026-03-16T09:21:00Z</dcterms:created>
  <dc:creator>Somerville, Colin</dc:creator>
  <dc:description/>
  <dc:language>en-US</dc:language>
  <cp:lastModifiedBy>Partridge, Kimberley</cp:lastModifiedBy>
  <cp:lastPrinted>1995-11-21T17:41:00Z</cp:lastPrinted>
  <dcterms:modified xsi:type="dcterms:W3CDTF">2026-03-16T09:25:00Z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