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ind w:left="7920" w:right="0" w:firstLine="720"/>
        <w:jc w:val="left"/>
        <w:rPr>
          <w:rFonts w:ascii="Arial" w:hAnsi="Arial" w:cs="Arial"/>
          <w:szCs w:val="24"/>
        </w:rPr>
      </w:pPr>
      <w:r>
        <w:rPr/>
        <w:drawing>
          <wp:inline distT="0" distB="0" distL="0" distR="0">
            <wp:extent cx="779780" cy="77279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 t="-29" r="-28" b="-29"/>
                    <a:stretch>
                      <a:fillRect/>
                    </a:stretch>
                  </pic:blipFill>
                  <pic:spPr bwMode="auto">
                    <a:xfrm>
                      <a:off x="0" y="0"/>
                      <a:ext cx="779780" cy="772795"/>
                    </a:xfrm>
                    <a:prstGeom prst="rect">
                      <a:avLst/>
                    </a:prstGeom>
                  </pic:spPr>
                </pic:pic>
              </a:graphicData>
            </a:graphic>
          </wp:inline>
        </w:drawing>
      </w:r>
    </w:p>
    <w:p>
      <w:pPr>
        <w:pStyle w:val="Heading1"/>
        <w:spacing w:before="120" w:after="0"/>
        <w:rPr>
          <w:rFonts w:ascii="Arial" w:hAnsi="Arial" w:cs="Arial"/>
          <w:szCs w:val="24"/>
        </w:rPr>
      </w:pPr>
      <w:r>
        <w:rPr>
          <w:rFonts w:cs="Arial" w:ascii="Arial" w:hAnsi="Arial"/>
          <w:szCs w:val="24"/>
        </w:rPr>
        <w:t>JOB DESCRIPTION</w:t>
      </w:r>
    </w:p>
    <w:p>
      <w:pPr>
        <w:pStyle w:val="Header"/>
        <w:tabs>
          <w:tab w:val="clear" w:pos="4320"/>
          <w:tab w:val="clear" w:pos="8640"/>
        </w:tabs>
        <w:rPr>
          <w:rFonts w:ascii="Arial" w:hAnsi="Arial" w:cs="Arial"/>
        </w:rPr>
      </w:pPr>
      <w:r>
        <w:rPr>
          <w:rFonts w:cs="Arial" w:ascii="Arial" w:hAnsi="Arial"/>
        </w:rPr>
      </w:r>
    </w:p>
    <w:tbl>
      <w:tblPr>
        <w:tblW w:w="10809" w:type="dxa"/>
        <w:jc w:val="left"/>
        <w:tblInd w:w="-1164" w:type="dxa"/>
        <w:tblCellMar>
          <w:top w:w="0" w:type="dxa"/>
          <w:left w:w="108" w:type="dxa"/>
          <w:bottom w:w="0" w:type="dxa"/>
          <w:right w:w="108" w:type="dxa"/>
        </w:tblCellMar>
      </w:tblPr>
      <w:tblGrid>
        <w:gridCol w:w="5976"/>
        <w:gridCol w:w="4739"/>
        <w:gridCol w:w="79"/>
        <w:gridCol w:w="15"/>
      </w:tblGrid>
      <w:tr>
        <w:trPr>
          <w:cantSplit w:val="true"/>
        </w:trPr>
        <w:tc>
          <w:tcPr>
            <w:tcW w:w="10809" w:type="dxa"/>
            <w:gridSpan w:val="3"/>
            <w:tcBorders>
              <w:top w:val="double" w:sz="6" w:space="0" w:color="000000"/>
              <w:left w:val="double" w:sz="6" w:space="0" w:color="000000"/>
              <w:bottom w:val="single" w:sz="6" w:space="0" w:color="000000"/>
              <w:right w:val="double" w:sz="6" w:space="0" w:color="000000"/>
            </w:tcBorders>
            <w:shd w:fill="auto" w:val="clear"/>
          </w:tcPr>
          <w:p>
            <w:pPr>
              <w:pStyle w:val="Normal"/>
              <w:rPr/>
            </w:pPr>
            <w:r>
              <w:rPr>
                <w:rFonts w:cs="Arial" w:ascii="Arial" w:hAnsi="Arial"/>
                <w:u w:val="none"/>
              </w:rPr>
              <w:t>Post Title:</w:t>
            </w:r>
            <w:r>
              <w:rPr>
                <w:rFonts w:cs="Arial" w:ascii="Arial" w:hAnsi="Arial"/>
                <w:b w:val="false"/>
                <w:u w:val="none"/>
              </w:rPr>
              <w:tab/>
            </w:r>
            <w:r>
              <w:rPr>
                <w:rFonts w:cs="Arial" w:ascii="Arial" w:hAnsi="Arial"/>
                <w:sz w:val="24"/>
                <w:szCs w:val="24"/>
                <w:u w:val="none"/>
              </w:rPr>
              <w:t>Administrative Assistant (Inclusion - SEND)</w:t>
            </w:r>
          </w:p>
        </w:tc>
      </w:tr>
      <w:tr>
        <w:trPr>
          <w:trHeight w:val="720" w:hRule="atLeast"/>
          <w:cantSplit w:val="true"/>
        </w:trPr>
        <w:tc>
          <w:tcPr>
            <w:tcW w:w="5976" w:type="dxa"/>
            <w:tcBorders>
              <w:top w:val="double" w:sz="6" w:space="0" w:color="000000"/>
              <w:left w:val="double" w:sz="6" w:space="0" w:color="000000"/>
            </w:tcBorders>
            <w:shd w:fill="auto" w:val="clear"/>
          </w:tcPr>
          <w:p>
            <w:pPr>
              <w:pStyle w:val="Normal"/>
              <w:tabs>
                <w:tab w:val="clear" w:pos="720"/>
                <w:tab w:val="left" w:pos="1800" w:leader="none"/>
              </w:tabs>
              <w:spacing w:before="120" w:after="0"/>
              <w:jc w:val="both"/>
              <w:rPr>
                <w:rFonts w:ascii="Arial" w:hAnsi="Arial" w:cs="Arial"/>
                <w:u w:val="none"/>
              </w:rPr>
            </w:pPr>
            <w:r>
              <w:rPr>
                <w:rFonts w:cs="Arial" w:ascii="Arial" w:hAnsi="Arial"/>
                <w:u w:val="none"/>
              </w:rPr>
              <w:t>Department:  CHILDREN’S SERVICES</w:t>
            </w:r>
          </w:p>
        </w:tc>
        <w:tc>
          <w:tcPr>
            <w:tcW w:w="4833" w:type="dxa"/>
            <w:gridSpan w:val="2"/>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2381" w:leader="none"/>
              </w:tabs>
              <w:spacing w:before="120" w:after="0"/>
              <w:jc w:val="both"/>
              <w:rPr/>
            </w:pPr>
            <w:r>
              <w:rPr>
                <w:rFonts w:cs="Arial" w:ascii="Arial" w:hAnsi="Arial"/>
                <w:u w:val="none"/>
              </w:rPr>
              <w:t>Establishment/Post No:</w:t>
            </w:r>
            <w:r>
              <w:rPr>
                <w:rFonts w:cs="Arial" w:ascii="Arial" w:hAnsi="Arial"/>
                <w:b w:val="false"/>
                <w:u w:val="none"/>
              </w:rPr>
              <w:tab/>
            </w:r>
          </w:p>
        </w:tc>
      </w:tr>
      <w:tr>
        <w:trPr>
          <w:trHeight w:val="720" w:hRule="atLeast"/>
          <w:cantSplit w:val="true"/>
        </w:trPr>
        <w:tc>
          <w:tcPr>
            <w:tcW w:w="5976" w:type="dxa"/>
            <w:tcBorders>
              <w:top w:val="double" w:sz="6" w:space="0" w:color="000000"/>
              <w:left w:val="double" w:sz="6" w:space="0" w:color="000000"/>
            </w:tcBorders>
            <w:shd w:fill="auto" w:val="clear"/>
          </w:tcPr>
          <w:p>
            <w:pPr>
              <w:pStyle w:val="Normal"/>
              <w:tabs>
                <w:tab w:val="clear" w:pos="720"/>
                <w:tab w:val="left" w:pos="1800" w:leader="none"/>
              </w:tabs>
              <w:spacing w:before="120" w:after="0"/>
              <w:jc w:val="both"/>
              <w:rPr/>
            </w:pPr>
            <w:r>
              <w:rPr>
                <w:rFonts w:cs="Arial" w:ascii="Arial" w:hAnsi="Arial"/>
                <w:u w:val="none"/>
              </w:rPr>
              <w:t>Division/Section:</w:t>
            </w:r>
            <w:r>
              <w:rPr>
                <w:rFonts w:cs="Arial" w:ascii="Arial" w:hAnsi="Arial"/>
                <w:b w:val="false"/>
                <w:u w:val="none"/>
              </w:rPr>
              <w:tab/>
            </w:r>
          </w:p>
        </w:tc>
        <w:tc>
          <w:tcPr>
            <w:tcW w:w="4833" w:type="dxa"/>
            <w:gridSpan w:val="2"/>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1391" w:leader="none"/>
              </w:tabs>
              <w:spacing w:before="120" w:after="0"/>
              <w:jc w:val="both"/>
              <w:rPr>
                <w:rFonts w:ascii="Arial" w:hAnsi="Arial" w:cs="Arial"/>
                <w:u w:val="none"/>
              </w:rPr>
            </w:pPr>
            <w:r>
              <w:rPr>
                <w:rFonts w:cs="Arial" w:ascii="Arial" w:hAnsi="Arial"/>
                <w:u w:val="none"/>
              </w:rPr>
              <w:t>Post Grade: 6, Point 6</w:t>
            </w:r>
          </w:p>
        </w:tc>
      </w:tr>
      <w:tr>
        <w:trPr>
          <w:trHeight w:val="556" w:hRule="atLeast"/>
          <w:cantSplit w:val="true"/>
        </w:trPr>
        <w:tc>
          <w:tcPr>
            <w:tcW w:w="5976" w:type="dxa"/>
            <w:tcBorders>
              <w:top w:val="double" w:sz="6" w:space="0" w:color="000000"/>
              <w:left w:val="double" w:sz="6" w:space="0" w:color="000000"/>
              <w:bottom w:val="double" w:sz="6" w:space="0" w:color="000000"/>
            </w:tcBorders>
            <w:shd w:fill="auto" w:val="clear"/>
          </w:tcPr>
          <w:p>
            <w:pPr>
              <w:pStyle w:val="Normal"/>
              <w:tabs>
                <w:tab w:val="clear" w:pos="720"/>
                <w:tab w:val="left" w:pos="1260" w:leader="none"/>
              </w:tabs>
              <w:spacing w:before="120" w:after="0"/>
              <w:jc w:val="both"/>
              <w:rPr>
                <w:rFonts w:ascii="Arial" w:hAnsi="Arial" w:cs="Arial"/>
                <w:u w:val="none"/>
              </w:rPr>
            </w:pPr>
            <w:r>
              <w:rPr>
                <w:rFonts w:cs="Arial" w:ascii="Arial" w:hAnsi="Arial"/>
                <w:u w:val="none"/>
              </w:rPr>
              <w:t>Location:  The Derby High School</w:t>
            </w:r>
          </w:p>
        </w:tc>
        <w:tc>
          <w:tcPr>
            <w:tcW w:w="4833" w:type="dxa"/>
            <w:gridSpan w:val="2"/>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1391" w:leader="none"/>
              </w:tabs>
              <w:spacing w:before="120" w:after="0"/>
              <w:jc w:val="both"/>
              <w:rPr/>
            </w:pPr>
            <w:r>
              <w:rPr>
                <w:rFonts w:cs="Arial" w:ascii="Arial" w:hAnsi="Arial"/>
                <w:u w:val="none"/>
              </w:rPr>
              <w:t xml:space="preserve">Post Hours: </w:t>
            </w:r>
            <w:r>
              <w:rPr>
                <w:rFonts w:cs="Arial" w:ascii="Arial" w:hAnsi="Arial"/>
                <w:b w:val="false"/>
                <w:u w:val="none"/>
              </w:rPr>
              <w:t xml:space="preserve"> 24 hours per week, term time.</w:t>
            </w:r>
          </w:p>
        </w:tc>
      </w:tr>
      <w:tr>
        <w:trPr>
          <w:trHeight w:val="762" w:hRule="atLeast"/>
          <w:cantSplit w:val="true"/>
        </w:trPr>
        <w:tc>
          <w:tcPr>
            <w:tcW w:w="10809" w:type="dxa"/>
            <w:gridSpan w:val="3"/>
            <w:tcBorders>
              <w:top w:val="double" w:sz="6" w:space="0" w:color="000000"/>
              <w:left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 xml:space="preserve">Special Conditions of Service:   Term Time </w:t>
            </w:r>
          </w:p>
          <w:p>
            <w:pPr>
              <w:pStyle w:val="Normal"/>
              <w:spacing w:before="120" w:after="0"/>
              <w:jc w:val="both"/>
              <w:rPr>
                <w:rFonts w:ascii="Arial" w:hAnsi="Arial" w:cs="Arial"/>
                <w:b w:val="false"/>
                <w:b w:val="false"/>
                <w:u w:val="none"/>
              </w:rPr>
            </w:pPr>
            <w:r>
              <w:rPr>
                <w:rFonts w:cs="Arial" w:ascii="Arial" w:hAnsi="Arial"/>
                <w:b w:val="false"/>
                <w:u w:val="none"/>
              </w:rPr>
            </w:r>
          </w:p>
        </w:tc>
      </w:tr>
      <w:tr>
        <w:trPr>
          <w:trHeight w:val="1680" w:hRule="atLeast"/>
          <w:cantSplit w:val="true"/>
        </w:trPr>
        <w:tc>
          <w:tcPr>
            <w:tcW w:w="10809" w:type="dxa"/>
            <w:gridSpan w:val="3"/>
            <w:tcBorders>
              <w:top w:val="double" w:sz="6" w:space="0" w:color="000000"/>
              <w:left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Purpose and Objectives of Post:</w:t>
            </w:r>
          </w:p>
          <w:p>
            <w:pPr>
              <w:pStyle w:val="Normal"/>
              <w:spacing w:before="120" w:after="0"/>
              <w:jc w:val="both"/>
              <w:rPr>
                <w:rFonts w:ascii="Arial" w:hAnsi="Arial" w:cs="Arial"/>
                <w:b w:val="false"/>
                <w:b w:val="false"/>
                <w:u w:val="none"/>
              </w:rPr>
            </w:pPr>
            <w:r>
              <w:rPr>
                <w:rFonts w:cs="Arial" w:ascii="Arial" w:hAnsi="Arial"/>
                <w:b w:val="false"/>
                <w:u w:val="none"/>
              </w:rPr>
              <w:t>To play a key role in supporting the work of the SENDCO by ensuring the smooth and efficient administration of SEND processes across the school. This includes maintaining accurate and compliant documentation, coordinating communication with external professionals, and ensuring that statutory deadlines and responsibilities—particularly around EHCPs and medical needs—are met.</w:t>
            </w:r>
          </w:p>
          <w:p>
            <w:pPr>
              <w:pStyle w:val="Normal"/>
              <w:spacing w:before="120" w:after="0"/>
              <w:jc w:val="both"/>
              <w:rPr>
                <w:rFonts w:ascii="Arial" w:hAnsi="Arial" w:cs="Arial"/>
                <w:b w:val="false"/>
                <w:b w:val="false"/>
                <w:u w:val="none"/>
              </w:rPr>
            </w:pPr>
            <w:r>
              <w:rPr>
                <w:rFonts w:cs="Arial" w:ascii="Arial" w:hAnsi="Arial"/>
                <w:b w:val="false"/>
                <w:u w:val="none"/>
              </w:rPr>
              <w:t>The SEND Administration Assistant will be responsible for liaising effectively with external agencies, managing the preparation and organisation of paperwork for Education, Health and Care Plans (EHCPs), and providing administrative support for annual reviews, including attendance, minute</w:t>
              <w:noBreakHyphen/>
              <w:t>taking, and follow</w:t>
              <w:noBreakHyphen/>
              <w:t>up actions. The postholder will also maintain oversight of medical needs paperwork, ensuring records are current, accessible, and aligned with school policy and statutory requirements.</w:t>
            </w:r>
          </w:p>
          <w:p>
            <w:pPr>
              <w:pStyle w:val="Normal"/>
              <w:spacing w:before="120" w:after="0"/>
              <w:jc w:val="both"/>
              <w:rPr>
                <w:rFonts w:ascii="Arial" w:hAnsi="Arial" w:cs="Arial"/>
                <w:b w:val="false"/>
                <w:b w:val="false"/>
                <w:u w:val="none"/>
              </w:rPr>
            </w:pPr>
            <w:r>
              <w:rPr>
                <w:rFonts w:cs="Arial" w:ascii="Arial" w:hAnsi="Arial"/>
                <w:b w:val="false"/>
                <w:u w:val="none"/>
              </w:rPr>
              <w:t>Working under the direction of the SENDCO, the SEND Administration Assistant will contribute to the wider SEND provision by supporting systems that enable timely interventions, clear communication pathways, and high</w:t>
              <w:noBreakHyphen/>
              <w:t>quality support for students with additional needs. The role requires excellent organisation, attention to detail, and a proactive approach to supporting the SEND team and the students they serve.</w:t>
            </w:r>
          </w:p>
        </w:tc>
      </w:tr>
      <w:tr>
        <w:trPr>
          <w:cantSplit w:val="true"/>
        </w:trPr>
        <w:tc>
          <w:tcPr>
            <w:tcW w:w="10809" w:type="dxa"/>
            <w:gridSpan w:val="3"/>
            <w:tcBorders>
              <w:top w:val="double" w:sz="6" w:space="0" w:color="000000"/>
              <w:left w:val="double" w:sz="6" w:space="0" w:color="000000"/>
              <w:bottom w:val="double" w:sz="6" w:space="0" w:color="000000"/>
              <w:right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 xml:space="preserve">Accountable to: </w:t>
            </w:r>
            <w:r>
              <w:rPr>
                <w:rFonts w:cs="Arial" w:ascii="Arial" w:hAnsi="Arial"/>
                <w:b w:val="false"/>
                <w:u w:val="none"/>
              </w:rPr>
              <w:t>Head Teacher</w:t>
            </w:r>
          </w:p>
        </w:tc>
      </w:tr>
      <w:tr>
        <w:trPr>
          <w:cantSplit w:val="true"/>
        </w:trPr>
        <w:tc>
          <w:tcPr>
            <w:tcW w:w="10809" w:type="dxa"/>
            <w:gridSpan w:val="3"/>
            <w:tcBorders>
              <w:left w:val="double" w:sz="6" w:space="0" w:color="000000"/>
              <w:right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 xml:space="preserve">Immediately Responsible to: </w:t>
            </w:r>
            <w:r>
              <w:rPr>
                <w:rFonts w:cs="Arial" w:ascii="Arial" w:hAnsi="Arial"/>
                <w:b w:val="false"/>
                <w:u w:val="none"/>
              </w:rPr>
              <w:t>SENDCO</w:t>
            </w:r>
          </w:p>
        </w:tc>
      </w:tr>
      <w:tr>
        <w:trPr>
          <w:cantSplit w:val="true"/>
        </w:trPr>
        <w:tc>
          <w:tcPr>
            <w:tcW w:w="10809" w:type="dxa"/>
            <w:gridSpan w:val="3"/>
            <w:tcBorders>
              <w:top w:val="double" w:sz="6" w:space="0" w:color="000000"/>
              <w:left w:val="double" w:sz="6" w:space="0" w:color="000000"/>
              <w:right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 xml:space="preserve">Immediately Responsible for: </w:t>
            </w:r>
            <w:r>
              <w:rPr>
                <w:rFonts w:cs="Arial" w:ascii="Arial" w:hAnsi="Arial"/>
                <w:b w:val="false"/>
                <w:u w:val="none"/>
              </w:rPr>
              <w:t>N/A at the current time.</w:t>
            </w:r>
          </w:p>
        </w:tc>
      </w:tr>
      <w:tr>
        <w:trPr>
          <w:trHeight w:val="814" w:hRule="atLeast"/>
          <w:cantSplit w:val="true"/>
        </w:trPr>
        <w:tc>
          <w:tcPr>
            <w:tcW w:w="10809" w:type="dxa"/>
            <w:gridSpan w:val="3"/>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Relationships: (Internal and External)</w:t>
            </w:r>
          </w:p>
          <w:p>
            <w:pPr>
              <w:pStyle w:val="Normal"/>
              <w:spacing w:before="120" w:after="0"/>
              <w:jc w:val="both"/>
              <w:rPr>
                <w:rFonts w:ascii="Arial" w:hAnsi="Arial" w:cs="Arial"/>
                <w:b w:val="false"/>
                <w:b w:val="false"/>
                <w:u w:val="none"/>
              </w:rPr>
            </w:pPr>
            <w:r>
              <w:rPr>
                <w:rFonts w:cs="Arial" w:ascii="Arial" w:hAnsi="Arial"/>
                <w:b w:val="false"/>
                <w:u w:val="none"/>
              </w:rPr>
              <w:t>Governors, Headteacher, Teachers, Support Staff, Students/ Parents and Carers.</w:t>
            </w:r>
          </w:p>
        </w:tc>
      </w:tr>
      <w:tr>
        <w:trPr>
          <w:trHeight w:val="557" w:hRule="atLeast"/>
          <w:cantSplit w:val="true"/>
        </w:trPr>
        <w:tc>
          <w:tcPr>
            <w:tcW w:w="10809" w:type="dxa"/>
            <w:gridSpan w:val="3"/>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Control of Resources:</w:t>
            </w:r>
          </w:p>
          <w:p>
            <w:pPr>
              <w:pStyle w:val="Normal"/>
              <w:spacing w:before="120" w:after="0"/>
              <w:jc w:val="both"/>
              <w:rPr/>
            </w:pPr>
            <w:r>
              <w:rPr>
                <w:rFonts w:cs="Arial" w:ascii="Arial" w:hAnsi="Arial"/>
                <w:b w:val="false"/>
                <w:u w:val="none"/>
              </w:rPr>
              <w:t>Oversight of paper and electronic student files to monitor and track student needs</w:t>
            </w:r>
            <w:r>
              <w:rPr>
                <w:rFonts w:cs="Arial" w:ascii="Arial" w:hAnsi="Arial"/>
                <w:b w:val="false"/>
                <w:bCs/>
                <w:u w:val="none"/>
              </w:rPr>
              <w:t>.</w:t>
            </w:r>
          </w:p>
        </w:tc>
      </w:tr>
      <w:tr>
        <w:trPr>
          <w:trHeight w:val="12233" w:hRule="atLeast"/>
          <w:cantSplit w:val="true"/>
        </w:trPr>
        <w:tc>
          <w:tcPr>
            <w:tcW w:w="10715" w:type="dxa"/>
            <w:gridSpan w:val="2"/>
            <w:tcBorders>
              <w:top w:val="double" w:sz="6" w:space="0" w:color="000000"/>
              <w:lef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Duties/Responsibilities:</w:t>
            </w:r>
          </w:p>
          <w:p>
            <w:pPr>
              <w:pStyle w:val="Normal"/>
              <w:spacing w:before="120" w:after="0"/>
              <w:jc w:val="both"/>
              <w:rPr>
                <w:rFonts w:ascii="Arial" w:hAnsi="Arial" w:cs="Arial"/>
                <w:sz w:val="19"/>
                <w:szCs w:val="19"/>
                <w:u w:val="none"/>
              </w:rPr>
            </w:pPr>
            <w:r>
              <w:rPr>
                <w:rFonts w:cs="Arial" w:ascii="Arial" w:hAnsi="Arial"/>
                <w:sz w:val="19"/>
                <w:szCs w:val="19"/>
                <w:u w:val="none"/>
              </w:rPr>
              <w:t>SUPPORT FOR THE SENDCO</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 xml:space="preserve">To oversee the input of data into relevant SEND and EHCP systems/software. </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 xml:space="preserve">To ensure any concerns about the development of students are communicated to the SENDCO and relevant colleagues, as directed. </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 xml:space="preserve">To produce review documentation for individual students and specific cohorts of students. </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 xml:space="preserve">To liaise with outside agencies (e.g. Local Authority officers, CAMHS, health professionals). </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 xml:space="preserve">To make referrals to other agencies for assessment or support purposes, as directed by the SENDCO. </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 xml:space="preserve">To assist with transition for KS2 to KS3 for students with identified needs, including attending meetings and supporting documentation processes. </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To liaise with post</w:t>
              <w:noBreakHyphen/>
              <w:t xml:space="preserve">16 providers to support transition documentation and processes for students with identified needs. </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To maintain oversight of medical needs paperwork, ensuring healthcare plans are up to date, monitored and shared with relevant colleagues.</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 xml:space="preserve">To organise, prepare and maintain all paperwork relating to EHCPs, ensuring compliance with statutory timelines. </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 xml:space="preserve">To coordinate the annual review process, including scheduling meetings, sending invitations, collating reports and circulating minutes and updates. </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To upload and submit EHCP review documentation to the Local Authority within required deadlines.</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To communicate effectively with students, parents and teachers to gather information relevant to the role.</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 xml:space="preserve">To work alongside the Exams Officer, Inclusion team and SENDCO to support the administrative processes for access arrangements. </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To liaise with the Exams Officer and external testers and support the coordination of scribe/reader provision (administrative oversight only).</w:t>
            </w:r>
          </w:p>
          <w:p>
            <w:pPr>
              <w:pStyle w:val="Normal"/>
              <w:numPr>
                <w:ilvl w:val="0"/>
                <w:numId w:val="5"/>
              </w:numPr>
              <w:jc w:val="both"/>
              <w:rPr>
                <w:rFonts w:ascii="Arial" w:hAnsi="Arial" w:cs="Arial"/>
                <w:b w:val="false"/>
                <w:b w:val="false"/>
                <w:sz w:val="19"/>
                <w:szCs w:val="19"/>
                <w:u w:val="none"/>
              </w:rPr>
            </w:pPr>
            <w:r>
              <w:rPr>
                <w:rFonts w:cs="Arial" w:ascii="Arial" w:hAnsi="Arial"/>
                <w:b w:val="false"/>
                <w:sz w:val="19"/>
                <w:szCs w:val="19"/>
                <w:u w:val="none"/>
              </w:rPr>
              <w:t>To act as a key point of contact for external agencies, ensuring timely exchange of reports, updates and requests for information.</w:t>
            </w:r>
          </w:p>
          <w:p>
            <w:pPr>
              <w:pStyle w:val="Normal"/>
              <w:numPr>
                <w:ilvl w:val="0"/>
                <w:numId w:val="5"/>
              </w:numPr>
              <w:jc w:val="both"/>
              <w:rPr>
                <w:rFonts w:ascii="Arial" w:hAnsi="Arial" w:cs="Arial"/>
                <w:b w:val="false"/>
                <w:b w:val="false"/>
                <w:sz w:val="19"/>
                <w:szCs w:val="19"/>
                <w:u w:val="none"/>
              </w:rPr>
            </w:pPr>
            <w:r>
              <w:rPr>
                <w:rFonts w:cs="Arial" w:ascii="Arial" w:hAnsi="Arial"/>
                <w:b w:val="false"/>
                <w:sz w:val="19"/>
                <w:szCs w:val="19"/>
                <w:u w:val="none"/>
              </w:rPr>
              <w:t>To coordinate visits from external professionals (e.g. EP, OT, SALT) and ensure required paperwork is prepared in advance.</w:t>
            </w:r>
          </w:p>
          <w:p>
            <w:pPr>
              <w:pStyle w:val="Normal"/>
              <w:numPr>
                <w:ilvl w:val="0"/>
                <w:numId w:val="6"/>
              </w:numPr>
              <w:jc w:val="both"/>
              <w:rPr>
                <w:rFonts w:ascii="Arial" w:hAnsi="Arial" w:cs="Arial"/>
                <w:b w:val="false"/>
                <w:b w:val="false"/>
                <w:sz w:val="19"/>
                <w:szCs w:val="19"/>
                <w:u w:val="none"/>
              </w:rPr>
            </w:pPr>
            <w:r>
              <w:rPr>
                <w:rFonts w:cs="Arial" w:ascii="Arial" w:hAnsi="Arial"/>
                <w:b w:val="false"/>
                <w:sz w:val="19"/>
                <w:szCs w:val="19"/>
                <w:u w:val="none"/>
              </w:rPr>
              <w:t>To maintain oversight of medical needs paperwork, ensuring healthcare plans are up to date, monitored and shared with relevant colleagues.</w:t>
            </w:r>
          </w:p>
          <w:p>
            <w:pPr>
              <w:pStyle w:val="Normal"/>
              <w:numPr>
                <w:ilvl w:val="0"/>
                <w:numId w:val="6"/>
              </w:numPr>
              <w:jc w:val="both"/>
              <w:rPr>
                <w:rFonts w:ascii="Arial" w:hAnsi="Arial" w:cs="Arial"/>
                <w:b w:val="false"/>
                <w:b w:val="false"/>
                <w:sz w:val="19"/>
                <w:szCs w:val="19"/>
                <w:u w:val="none"/>
              </w:rPr>
            </w:pPr>
            <w:r>
              <w:rPr>
                <w:rFonts w:cs="Arial" w:ascii="Arial" w:hAnsi="Arial"/>
                <w:b w:val="false"/>
                <w:sz w:val="19"/>
                <w:szCs w:val="19"/>
                <w:u w:val="none"/>
              </w:rPr>
              <w:t>To liaise with parents/carers and health professionals regarding updates to medical plans.</w:t>
            </w:r>
          </w:p>
          <w:p>
            <w:pPr>
              <w:pStyle w:val="Normal"/>
              <w:numPr>
                <w:ilvl w:val="0"/>
                <w:numId w:val="7"/>
              </w:numPr>
              <w:jc w:val="both"/>
              <w:rPr>
                <w:rFonts w:ascii="Arial" w:hAnsi="Arial" w:cs="Arial"/>
                <w:b w:val="false"/>
                <w:b w:val="false"/>
                <w:sz w:val="19"/>
                <w:szCs w:val="19"/>
                <w:u w:val="none"/>
              </w:rPr>
            </w:pPr>
            <w:r>
              <w:rPr>
                <w:rFonts w:cs="Arial" w:ascii="Arial" w:hAnsi="Arial"/>
                <w:b w:val="false"/>
                <w:sz w:val="19"/>
                <w:szCs w:val="19"/>
                <w:u w:val="none"/>
              </w:rPr>
              <w:t>To maintain accurate SEND records, files and digital logs, ensuring confidentiality and data protection compliance.</w:t>
            </w:r>
          </w:p>
          <w:p>
            <w:pPr>
              <w:pStyle w:val="Normal"/>
              <w:numPr>
                <w:ilvl w:val="0"/>
                <w:numId w:val="7"/>
              </w:numPr>
              <w:jc w:val="both"/>
              <w:rPr>
                <w:rFonts w:ascii="Arial" w:hAnsi="Arial" w:cs="Arial"/>
                <w:b w:val="false"/>
                <w:b w:val="false"/>
                <w:sz w:val="19"/>
                <w:szCs w:val="19"/>
                <w:u w:val="none"/>
              </w:rPr>
            </w:pPr>
            <w:r>
              <w:rPr>
                <w:rFonts w:cs="Arial" w:ascii="Arial" w:hAnsi="Arial"/>
                <w:b w:val="false"/>
                <w:sz w:val="19"/>
                <w:szCs w:val="19"/>
                <w:u w:val="none"/>
              </w:rPr>
              <w:t>To manage the SEND inbox and respond or redirect communications appropriately.</w:t>
            </w:r>
          </w:p>
          <w:p>
            <w:pPr>
              <w:pStyle w:val="Normal"/>
              <w:numPr>
                <w:ilvl w:val="0"/>
                <w:numId w:val="7"/>
              </w:numPr>
              <w:jc w:val="both"/>
              <w:rPr>
                <w:rFonts w:ascii="Arial" w:hAnsi="Arial" w:cs="Arial"/>
                <w:b w:val="false"/>
                <w:b w:val="false"/>
                <w:sz w:val="19"/>
                <w:szCs w:val="19"/>
                <w:u w:val="none"/>
              </w:rPr>
            </w:pPr>
            <w:r>
              <w:rPr>
                <w:rFonts w:cs="Arial" w:ascii="Arial" w:hAnsi="Arial"/>
                <w:b w:val="false"/>
                <w:sz w:val="19"/>
                <w:szCs w:val="19"/>
                <w:u w:val="none"/>
              </w:rPr>
              <w:t>To support the compilation of SEND information for audits, inspections or internal reviews.</w:t>
            </w:r>
          </w:p>
          <w:p>
            <w:pPr>
              <w:pStyle w:val="Normal"/>
              <w:numPr>
                <w:ilvl w:val="0"/>
                <w:numId w:val="8"/>
              </w:numPr>
              <w:jc w:val="both"/>
              <w:rPr>
                <w:rFonts w:ascii="Arial" w:hAnsi="Arial" w:cs="Arial"/>
                <w:b w:val="false"/>
                <w:b w:val="false"/>
                <w:sz w:val="19"/>
                <w:szCs w:val="19"/>
                <w:u w:val="none"/>
              </w:rPr>
            </w:pPr>
            <w:r>
              <w:rPr>
                <w:rFonts w:cs="Arial" w:ascii="Arial" w:hAnsi="Arial"/>
                <w:b w:val="false"/>
                <w:sz w:val="19"/>
                <w:szCs w:val="19"/>
                <w:u w:val="none"/>
              </w:rPr>
              <w:t>To support the SENDCO with administrative tasks that contribute to the efficient running of the department.</w:t>
            </w:r>
          </w:p>
          <w:p>
            <w:pPr>
              <w:pStyle w:val="Normal"/>
              <w:numPr>
                <w:ilvl w:val="0"/>
                <w:numId w:val="8"/>
              </w:numPr>
              <w:jc w:val="both"/>
              <w:rPr>
                <w:rFonts w:ascii="Arial" w:hAnsi="Arial" w:cs="Arial"/>
                <w:b w:val="false"/>
                <w:b w:val="false"/>
                <w:sz w:val="19"/>
                <w:szCs w:val="19"/>
                <w:u w:val="none"/>
              </w:rPr>
            </w:pPr>
            <w:r>
              <w:rPr>
                <w:rFonts w:cs="Arial" w:ascii="Arial" w:hAnsi="Arial"/>
                <w:b w:val="false"/>
                <w:sz w:val="19"/>
                <w:szCs w:val="19"/>
                <w:u w:val="none"/>
              </w:rPr>
              <w:t>To contribute to the coordination of SEND timetables, meetings and provision maps when required.</w:t>
            </w:r>
          </w:p>
          <w:p>
            <w:pPr>
              <w:pStyle w:val="Normal"/>
              <w:ind w:left="360" w:right="0" w:hanging="0"/>
              <w:jc w:val="both"/>
              <w:rPr>
                <w:rFonts w:ascii="Arial" w:hAnsi="Arial" w:cs="Arial"/>
                <w:b w:val="false"/>
                <w:b w:val="false"/>
                <w:sz w:val="16"/>
                <w:szCs w:val="16"/>
                <w:u w:val="none"/>
              </w:rPr>
            </w:pPr>
            <w:r>
              <w:rPr>
                <w:rFonts w:cs="Arial" w:ascii="Arial" w:hAnsi="Arial"/>
                <w:b w:val="false"/>
                <w:sz w:val="16"/>
                <w:szCs w:val="16"/>
                <w:u w:val="none"/>
              </w:rPr>
            </w:r>
          </w:p>
          <w:p>
            <w:pPr>
              <w:pStyle w:val="Normal"/>
              <w:jc w:val="both"/>
              <w:rPr>
                <w:rFonts w:ascii="Arial" w:hAnsi="Arial" w:cs="Arial"/>
                <w:b w:val="false"/>
                <w:b w:val="false"/>
                <w:i/>
                <w:i/>
                <w:sz w:val="19"/>
                <w:szCs w:val="19"/>
                <w:u w:val="none"/>
              </w:rPr>
            </w:pPr>
            <w:r>
              <w:rPr>
                <w:rFonts w:cs="Arial" w:ascii="Arial" w:hAnsi="Arial"/>
                <w:b w:val="false"/>
                <w:i/>
                <w:sz w:val="19"/>
                <w:szCs w:val="19"/>
                <w:u w:val="none"/>
              </w:rPr>
            </w:r>
          </w:p>
          <w:p>
            <w:pPr>
              <w:pStyle w:val="Normal"/>
              <w:rPr/>
            </w:pPr>
            <w:r>
              <w:rPr>
                <w:rFonts w:cs="Arial" w:ascii="Arial" w:hAnsi="Arial"/>
                <w:sz w:val="19"/>
                <w:szCs w:val="19"/>
                <w:u w:val="none"/>
              </w:rPr>
              <w:t>SUPPORT FOR THE STUDENT</w:t>
            </w:r>
            <w:r>
              <w:rPr>
                <w:rFonts w:cs="Arial" w:ascii="Arial" w:hAnsi="Arial"/>
                <w:b w:val="false"/>
                <w:sz w:val="19"/>
                <w:szCs w:val="19"/>
                <w:u w:val="none"/>
              </w:rPr>
              <w:t xml:space="preserve"> (under an agreed system of supervision)</w:t>
            </w:r>
          </w:p>
          <w:p>
            <w:pPr>
              <w:pStyle w:val="Normal"/>
              <w:numPr>
                <w:ilvl w:val="0"/>
                <w:numId w:val="2"/>
              </w:numPr>
              <w:spacing w:lineRule="auto" w:line="276"/>
              <w:rPr>
                <w:rFonts w:ascii="Arial" w:hAnsi="Arial" w:cs="Arial"/>
                <w:b w:val="false"/>
                <w:b w:val="false"/>
                <w:sz w:val="19"/>
                <w:szCs w:val="19"/>
                <w:u w:val="none"/>
              </w:rPr>
            </w:pPr>
            <w:r>
              <w:rPr>
                <w:rFonts w:cs="Arial" w:ascii="Arial" w:hAnsi="Arial"/>
                <w:b w:val="false"/>
                <w:sz w:val="19"/>
                <w:szCs w:val="19"/>
                <w:u w:val="none"/>
              </w:rPr>
              <w:t xml:space="preserve">Comply with and assist with maintaining policies relating to safeguarding, health, safety, security, confidentiality and data protection, reporting concerns as required. </w:t>
            </w:r>
          </w:p>
          <w:p>
            <w:pPr>
              <w:pStyle w:val="Normal"/>
              <w:numPr>
                <w:ilvl w:val="0"/>
                <w:numId w:val="2"/>
              </w:numPr>
              <w:spacing w:lineRule="auto" w:line="276"/>
              <w:rPr>
                <w:rFonts w:ascii="Arial" w:hAnsi="Arial" w:cs="Arial"/>
                <w:b w:val="false"/>
                <w:b w:val="false"/>
                <w:sz w:val="19"/>
                <w:szCs w:val="19"/>
                <w:u w:val="none"/>
              </w:rPr>
            </w:pPr>
            <w:r>
              <w:rPr>
                <w:rFonts w:cs="Arial" w:ascii="Arial" w:hAnsi="Arial"/>
                <w:b w:val="false"/>
                <w:sz w:val="19"/>
                <w:szCs w:val="19"/>
                <w:u w:val="none"/>
              </w:rPr>
              <w:t xml:space="preserve">Be aware of and support difference, ensuring all students have equitable access to opportunities. </w:t>
            </w:r>
          </w:p>
          <w:p>
            <w:pPr>
              <w:pStyle w:val="Normal"/>
              <w:numPr>
                <w:ilvl w:val="0"/>
                <w:numId w:val="2"/>
              </w:numPr>
              <w:spacing w:lineRule="auto" w:line="276"/>
              <w:rPr>
                <w:rFonts w:ascii="Arial" w:hAnsi="Arial" w:cs="Arial"/>
                <w:b w:val="false"/>
                <w:b w:val="false"/>
                <w:sz w:val="19"/>
                <w:szCs w:val="19"/>
                <w:u w:val="none"/>
              </w:rPr>
            </w:pPr>
            <w:r>
              <w:rPr>
                <w:rFonts w:cs="Arial" w:ascii="Arial" w:hAnsi="Arial"/>
                <w:b w:val="false"/>
                <w:sz w:val="19"/>
                <w:szCs w:val="19"/>
                <w:u w:val="none"/>
              </w:rPr>
              <w:t xml:space="preserve">Contribute to the overall ethos, work and aims of the school. </w:t>
            </w:r>
          </w:p>
          <w:p>
            <w:pPr>
              <w:pStyle w:val="Normal"/>
              <w:numPr>
                <w:ilvl w:val="0"/>
                <w:numId w:val="2"/>
              </w:numPr>
              <w:spacing w:lineRule="auto" w:line="276"/>
              <w:rPr>
                <w:rFonts w:ascii="Arial" w:hAnsi="Arial" w:cs="Arial"/>
                <w:b w:val="false"/>
                <w:b w:val="false"/>
                <w:sz w:val="19"/>
                <w:szCs w:val="19"/>
                <w:u w:val="none"/>
              </w:rPr>
            </w:pPr>
            <w:r>
              <w:rPr>
                <w:rFonts w:cs="Arial" w:ascii="Arial" w:hAnsi="Arial"/>
                <w:b w:val="false"/>
                <w:sz w:val="19"/>
                <w:szCs w:val="19"/>
                <w:u w:val="none"/>
              </w:rPr>
              <w:t xml:space="preserve">Establish constructive relationships and communicate with agencies/professionals, in liaison with the SENDCO. </w:t>
            </w:r>
          </w:p>
          <w:p>
            <w:pPr>
              <w:pStyle w:val="Normal"/>
              <w:numPr>
                <w:ilvl w:val="0"/>
                <w:numId w:val="2"/>
              </w:numPr>
              <w:spacing w:lineRule="auto" w:line="276"/>
              <w:rPr>
                <w:rFonts w:ascii="Arial" w:hAnsi="Arial" w:cs="Arial"/>
                <w:b w:val="false"/>
                <w:b w:val="false"/>
                <w:sz w:val="19"/>
                <w:szCs w:val="19"/>
                <w:u w:val="none"/>
              </w:rPr>
            </w:pPr>
            <w:r>
              <w:rPr>
                <w:rFonts w:cs="Arial" w:ascii="Arial" w:hAnsi="Arial"/>
                <w:b w:val="false"/>
                <w:sz w:val="19"/>
                <w:szCs w:val="19"/>
                <w:u w:val="none"/>
              </w:rPr>
              <w:t>Recognise areas for development and seek to improve practice; participate in CPD as required.</w:t>
            </w:r>
          </w:p>
          <w:p>
            <w:pPr>
              <w:pStyle w:val="Normal"/>
              <w:rPr/>
            </w:pPr>
            <w:r>
              <w:rPr/>
            </w:r>
          </w:p>
          <w:p>
            <w:pPr>
              <w:pStyle w:val="Normal"/>
              <w:rPr>
                <w:rFonts w:ascii="Arial" w:hAnsi="Arial" w:cs="Arial"/>
                <w:sz w:val="19"/>
                <w:szCs w:val="19"/>
                <w:u w:val="none"/>
              </w:rPr>
            </w:pPr>
            <w:r>
              <w:rPr>
                <w:rFonts w:cs="Arial" w:ascii="Arial" w:hAnsi="Arial"/>
                <w:sz w:val="19"/>
                <w:szCs w:val="19"/>
                <w:u w:val="none"/>
              </w:rPr>
              <w:t>SUPPORT FOR THE SCHOOL</w:t>
            </w:r>
          </w:p>
          <w:p>
            <w:pPr>
              <w:pStyle w:val="ListParagraph"/>
              <w:numPr>
                <w:ilvl w:val="0"/>
                <w:numId w:val="4"/>
              </w:numPr>
              <w:rPr>
                <w:rFonts w:ascii="Arial" w:hAnsi="Arial" w:cs="Arial"/>
                <w:b w:val="false"/>
                <w:b w:val="false"/>
                <w:bCs/>
                <w:sz w:val="19"/>
                <w:szCs w:val="19"/>
                <w:u w:val="none"/>
              </w:rPr>
            </w:pPr>
            <w:r>
              <w:rPr>
                <w:rFonts w:cs="Arial" w:ascii="Arial" w:hAnsi="Arial"/>
                <w:b w:val="false"/>
                <w:bCs/>
                <w:sz w:val="19"/>
                <w:szCs w:val="19"/>
                <w:u w:val="none"/>
              </w:rPr>
              <w:t xml:space="preserve">Liaise between leaders/teaching staff and support staff where this relates to SEND paperwork, reviews, or statutory processes. </w:t>
            </w:r>
          </w:p>
          <w:p>
            <w:pPr>
              <w:pStyle w:val="ListParagraph"/>
              <w:numPr>
                <w:ilvl w:val="0"/>
                <w:numId w:val="4"/>
              </w:numPr>
              <w:rPr>
                <w:rFonts w:ascii="Arial" w:hAnsi="Arial" w:cs="Arial"/>
                <w:b w:val="false"/>
                <w:b w:val="false"/>
                <w:bCs/>
                <w:sz w:val="19"/>
                <w:szCs w:val="19"/>
                <w:u w:val="none"/>
              </w:rPr>
            </w:pPr>
            <w:r>
              <w:rPr>
                <w:rFonts w:cs="Arial" w:ascii="Arial" w:hAnsi="Arial"/>
                <w:b w:val="false"/>
                <w:bCs/>
                <w:sz w:val="19"/>
                <w:szCs w:val="19"/>
                <w:u w:val="none"/>
              </w:rPr>
              <w:t>Conduct briefings/meetings related to SEND administration where required.</w:t>
            </w:r>
          </w:p>
          <w:p>
            <w:pPr>
              <w:pStyle w:val="ListParagraph"/>
              <w:numPr>
                <w:ilvl w:val="0"/>
                <w:numId w:val="4"/>
              </w:numPr>
              <w:rPr>
                <w:rFonts w:ascii="Arial" w:hAnsi="Arial" w:cs="Arial"/>
                <w:b w:val="false"/>
                <w:b w:val="false"/>
                <w:sz w:val="19"/>
                <w:szCs w:val="19"/>
                <w:u w:val="none"/>
              </w:rPr>
            </w:pPr>
            <w:r>
              <w:rPr>
                <w:rFonts w:cs="Arial" w:ascii="Arial" w:hAnsi="Arial"/>
                <w:b w:val="false"/>
                <w:sz w:val="19"/>
                <w:szCs w:val="19"/>
                <w:u w:val="none"/>
              </w:rPr>
              <w:t>Carry out lunchtime supervision of students as required</w:t>
            </w:r>
          </w:p>
          <w:p>
            <w:pPr>
              <w:pStyle w:val="ListParagraph"/>
              <w:rPr>
                <w:rFonts w:ascii="Arial" w:hAnsi="Arial" w:cs="Arial"/>
                <w:b w:val="false"/>
                <w:b w:val="false"/>
                <w:sz w:val="19"/>
                <w:szCs w:val="19"/>
                <w:u w:val="none"/>
              </w:rPr>
            </w:pPr>
            <w:r>
              <w:rPr>
                <w:rFonts w:cs="Arial" w:ascii="Arial" w:hAnsi="Arial"/>
                <w:b w:val="false"/>
                <w:sz w:val="19"/>
                <w:szCs w:val="19"/>
                <w:u w:val="none"/>
              </w:rPr>
            </w:r>
          </w:p>
          <w:p>
            <w:pPr>
              <w:pStyle w:val="Normal"/>
              <w:spacing w:before="120" w:after="0"/>
              <w:jc w:val="both"/>
              <w:rPr>
                <w:rFonts w:ascii="Arial" w:hAnsi="Arial" w:cs="Arial"/>
                <w:b w:val="false"/>
                <w:b w:val="false"/>
                <w:sz w:val="19"/>
                <w:szCs w:val="19"/>
                <w:u w:val="none"/>
              </w:rPr>
            </w:pPr>
            <w:r>
              <w:rPr>
                <w:rFonts w:cs="Arial" w:ascii="Arial" w:hAnsi="Arial"/>
                <w:b w:val="false"/>
                <w:sz w:val="19"/>
                <w:szCs w:val="19"/>
                <w:u w:val="none"/>
              </w:rPr>
              <w:t>Other duties as requested by the Headteacher.</w:t>
            </w:r>
          </w:p>
        </w:tc>
        <w:tc>
          <w:tcPr>
            <w:tcW w:w="79" w:type="dxa"/>
            <w:tcBorders>
              <w:left w:val="double" w:sz="6" w:space="0" w:color="000000"/>
            </w:tcBorders>
            <w:shd w:fill="auto" w:val="clear"/>
          </w:tcPr>
          <w:p>
            <w:pPr>
              <w:pStyle w:val="Normal"/>
              <w:snapToGrid w:val="false"/>
              <w:rPr/>
            </w:pPr>
            <w:r>
              <w:rPr/>
            </w:r>
          </w:p>
        </w:tc>
      </w:tr>
    </w:tbl>
    <w:p>
      <w:pPr>
        <w:pStyle w:val="Normal"/>
        <w:spacing w:before="120" w:after="0"/>
        <w:jc w:val="both"/>
        <w:rPr/>
      </w:pPr>
      <w:r>
        <w:rPr/>
      </w:r>
    </w:p>
    <w:sectPr>
      <w:type w:val="nextPage"/>
      <w:pgSz w:w="11906" w:h="16838"/>
      <w:pgMar w:left="1757" w:right="1138" w:header="0" w:top="720" w:footer="0" w:bottom="72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19"/>
        <w:b w:val="false"/>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19"/>
        <w:b w:val="false"/>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19"/>
        <w:b w:val="false"/>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19"/>
        <w:b w:val="false"/>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b/>
      <w:color w:val="auto"/>
      <w:kern w:val="0"/>
      <w:sz w:val="20"/>
      <w:szCs w:val="20"/>
      <w:u w:val="single"/>
      <w:lang w:val="en-GB" w:eastAsia="en-US" w:bidi="ar-SA"/>
    </w:rPr>
  </w:style>
  <w:style w:type="paragraph" w:styleId="Heading1">
    <w:name w:val="Heading 1"/>
    <w:basedOn w:val="Normal"/>
    <w:next w:val="Normal"/>
    <w:qFormat/>
    <w:pPr>
      <w:keepNext w:val="true"/>
      <w:numPr>
        <w:ilvl w:val="0"/>
        <w:numId w:val="1"/>
      </w:numPr>
      <w:spacing w:before="120" w:after="120"/>
      <w:jc w:val="center"/>
      <w:outlineLvl w:val="0"/>
    </w:pPr>
    <w:rPr>
      <w:sz w:val="24"/>
      <w:u w:val="none"/>
    </w:rPr>
  </w:style>
  <w:style w:type="paragraph" w:styleId="Heading2">
    <w:name w:val="Heading 2"/>
    <w:basedOn w:val="Normal"/>
    <w:next w:val="Normal"/>
    <w:qFormat/>
    <w:pPr>
      <w:keepNext w:val="true"/>
      <w:numPr>
        <w:ilvl w:val="1"/>
        <w:numId w:val="1"/>
      </w:numPr>
      <w:spacing w:before="120" w:after="0"/>
      <w:jc w:val="both"/>
      <w:outlineLvl w:val="1"/>
    </w:pPr>
    <w:rPr>
      <w:b w:val="false"/>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游ゴシック Light" w:cs="Times New Roman"/>
      <w:color w:val="1F3763"/>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b w:val="false"/>
      <w:sz w:val="19"/>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b w:val="false"/>
      <w:sz w:val="19"/>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b w:val="false"/>
      <w:sz w:val="19"/>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b w:val="false"/>
      <w:sz w:val="19"/>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BalloonTextChar">
    <w:name w:val="Balloon Text Char"/>
    <w:qFormat/>
    <w:rPr>
      <w:rFonts w:ascii="Segoe UI" w:hAnsi="Segoe UI" w:cs="Segoe UI"/>
      <w:b/>
      <w:sz w:val="18"/>
      <w:szCs w:val="18"/>
      <w:u w:val="single"/>
      <w:lang w:eastAsia="en-US"/>
    </w:rPr>
  </w:style>
  <w:style w:type="character" w:styleId="Strong">
    <w:name w:val="Strong"/>
    <w:basedOn w:val="DefaultParagraphFont"/>
    <w:qFormat/>
    <w:rPr>
      <w:b/>
      <w:bCs/>
    </w:rPr>
  </w:style>
  <w:style w:type="character" w:styleId="Heading3Char">
    <w:name w:val="Heading 3 Char"/>
    <w:basedOn w:val="DefaultParagraphFont"/>
    <w:qFormat/>
    <w:rPr>
      <w:rFonts w:ascii="Calibri Light" w:hAnsi="Calibri Light" w:eastAsia="游ゴシック Light" w:cs="Times New Roman"/>
      <w:b/>
      <w:color w:val="1F3763"/>
      <w:sz w:val="24"/>
      <w:szCs w:val="24"/>
      <w:u w:val="single"/>
      <w:lang w:val="en-GB"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sz w:val="24"/>
      <w:u w:val="none"/>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ListParagraph">
    <w:name w:val="List Paragraph"/>
    <w:basedOn w:val="Normal"/>
    <w:qFormat/>
    <w:pPr>
      <w:spacing w:before="0" w:after="0"/>
      <w:ind w:left="720" w:right="0" w:hanging="0"/>
      <w:contextualSpacing/>
    </w:pPr>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Job Description.dot</Template>
  <TotalTime>1</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2023-06-21T16:24:00Z</dcterms:created>
  <dc:creator>Barlow</dc:creator>
  <dc:description/>
  <dc:language>en-US</dc:language>
  <cp:lastModifiedBy>Mrs S Silgram-Clynes</cp:lastModifiedBy>
  <cp:lastPrinted>1995-11-21T17:41:00Z</cp:lastPrinted>
  <dcterms:modified xsi:type="dcterms:W3CDTF">2026-04-01T14:11:00Z</dcterms:modified>
  <cp:revision>37</cp:revision>
  <dc:subject/>
  <dc:title>BURY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0x0101009475F97731E5284BAE627EF85AC9C899</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Order">
    <vt:i4>7860400</vt:i4>
  </property>
  <property fmtid="{D5CDD505-2E9C-101B-9397-08002B2CF9AE}" pid="9" name="ScaleCrop">
    <vt:bool>0</vt:bool>
  </property>
  <property fmtid="{D5CDD505-2E9C-101B-9397-08002B2CF9AE}" pid="10" name="ShareDoc">
    <vt:bool>0</vt:bool>
  </property>
  <property fmtid="{D5CDD505-2E9C-101B-9397-08002B2CF9AE}" pid="11" name="_dlc_DocIdItemGuid">
    <vt:lpwstr>601ae73a-742e-49c0-83a0-93a4e2970334</vt:lpwstr>
  </property>
  <property fmtid="{D5CDD505-2E9C-101B-9397-08002B2CF9AE}" pid="12" name="xd_Signature">
    <vt:bool>0</vt:bool>
  </property>
</Properties>
</file>