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cs="Arial"/>
          <w:b/>
          <w:b/>
          <w:sz w:val="40"/>
          <w:lang w:eastAsia="en-GB"/>
        </w:rPr>
      </w:pPr>
      <w:r>
        <w:rPr/>
        <w:drawing>
          <wp:inline distT="0" distB="0" distL="0" distR="0">
            <wp:extent cx="723265" cy="33274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49" t="-324" r="-149" b="-324"/>
                    <a:stretch>
                      <a:fillRect/>
                    </a:stretch>
                  </pic:blipFill>
                  <pic:spPr bwMode="auto">
                    <a:xfrm>
                      <a:off x="0" y="0"/>
                      <a:ext cx="723265" cy="332740"/>
                    </a:xfrm>
                    <a:prstGeom prst="rect">
                      <a:avLst/>
                    </a:prstGeom>
                  </pic:spPr>
                </pic:pic>
              </a:graphicData>
            </a:graphic>
          </wp:inline>
        </w:drawing>
      </w:r>
    </w:p>
    <w:p>
      <w:pPr>
        <w:pStyle w:val="Normal"/>
        <w:spacing w:before="0" w:after="0"/>
        <w:jc w:val="center"/>
        <w:rPr>
          <w:rFonts w:cs="Arial"/>
          <w:b/>
          <w:b/>
          <w:sz w:val="40"/>
          <w:lang w:eastAsia="en-GB"/>
        </w:rPr>
      </w:pPr>
      <w:r>
        <w:rPr>
          <w:rFonts w:cs="Arial"/>
          <w:b/>
          <w:sz w:val="40"/>
          <w:lang w:eastAsia="en-GB"/>
        </w:rPr>
      </w:r>
    </w:p>
    <w:p>
      <w:pPr>
        <w:pStyle w:val="Normal"/>
        <w:spacing w:before="0" w:after="0"/>
        <w:jc w:val="center"/>
        <w:rPr/>
      </w:pPr>
      <w:r>
        <w:rPr>
          <w:rFonts w:cs="Arial"/>
          <w:b/>
          <w:sz w:val="40"/>
          <w:lang w:eastAsia="en-GB"/>
        </w:rPr>
        <w:t>B</w:t>
      </w:r>
      <w:r>
        <w:rPr>
          <w:rFonts w:cs="Arial"/>
          <w:b/>
          <w:sz w:val="24"/>
          <w:lang w:eastAsia="en-GB"/>
        </w:rPr>
        <w:t xml:space="preserve">URY  </w:t>
      </w:r>
      <w:r>
        <w:rPr>
          <w:rFonts w:cs="Arial"/>
          <w:b/>
          <w:sz w:val="40"/>
          <w:lang w:eastAsia="en-GB"/>
        </w:rPr>
        <w:t>C</w:t>
      </w:r>
      <w:r>
        <w:rPr>
          <w:rFonts w:cs="Arial"/>
          <w:b/>
          <w:sz w:val="24"/>
          <w:lang w:eastAsia="en-GB"/>
        </w:rPr>
        <w:t>OUNCIL</w:t>
      </w:r>
    </w:p>
    <w:p>
      <w:pPr>
        <w:pStyle w:val="Normal"/>
        <w:keepNext w:val="true"/>
        <w:numPr>
          <w:ilvl w:val="0"/>
          <w:numId w:val="0"/>
        </w:numPr>
        <w:spacing w:before="60" w:after="0"/>
        <w:ind w:left="0" w:right="0" w:hanging="0"/>
        <w:jc w:val="center"/>
        <w:rPr/>
      </w:pPr>
      <w:r>
        <w:rPr>
          <w:rFonts w:cs="Arial"/>
          <w:b/>
          <w:sz w:val="40"/>
        </w:rPr>
        <w:t>J</w:t>
      </w:r>
      <w:r>
        <w:rPr>
          <w:rFonts w:cs="Arial"/>
          <w:b/>
          <w:sz w:val="24"/>
        </w:rPr>
        <w:t xml:space="preserve">OB </w:t>
      </w:r>
      <w:r>
        <w:rPr>
          <w:rFonts w:cs="Arial"/>
          <w:b/>
          <w:sz w:val="40"/>
        </w:rPr>
        <w:t>D</w:t>
      </w:r>
      <w:r>
        <w:rPr>
          <w:rFonts w:cs="Arial"/>
          <w:b/>
          <w:sz w:val="24"/>
        </w:rPr>
        <w:t>ESCRIPTION</w:t>
      </w:r>
    </w:p>
    <w:p>
      <w:pPr>
        <w:pStyle w:val="Normal"/>
        <w:ind w:left="0" w:right="622" w:hanging="0"/>
        <w:rPr/>
      </w:pPr>
      <w:r>
        <w:rPr/>
      </w:r>
    </w:p>
    <w:p>
      <w:pPr>
        <w:pStyle w:val="Normal"/>
        <w:ind w:left="0" w:right="622" w:hanging="0"/>
        <w:rPr/>
      </w:pPr>
      <w:r>
        <w:rPr/>
      </w:r>
    </w:p>
    <w:tbl>
      <w:tblPr>
        <w:tblW w:w="10100" w:type="dxa"/>
        <w:jc w:val="left"/>
        <w:tblInd w:w="98" w:type="dxa"/>
        <w:tblCellMar>
          <w:top w:w="0" w:type="dxa"/>
          <w:left w:w="108" w:type="dxa"/>
          <w:bottom w:w="0" w:type="dxa"/>
          <w:right w:w="108" w:type="dxa"/>
        </w:tblCellMar>
      </w:tblPr>
      <w:tblGrid>
        <w:gridCol w:w="2268"/>
        <w:gridCol w:w="1984"/>
        <w:gridCol w:w="2268"/>
        <w:gridCol w:w="3580"/>
      </w:tblGrid>
      <w:tr>
        <w:trPr>
          <w:trHeight w:val="410" w:hRule="atLeast"/>
        </w:trPr>
        <w:tc>
          <w:tcPr>
            <w:tcW w:w="2268" w:type="dxa"/>
            <w:tcBorders>
              <w:top w:val="single" w:sz="4" w:space="0" w:color="000000"/>
              <w:left w:val="single" w:sz="4" w:space="0" w:color="000000"/>
              <w:bottom w:val="single" w:sz="4" w:space="0" w:color="000000"/>
            </w:tcBorders>
            <w:shd w:fill="auto" w:val="clear"/>
          </w:tcPr>
          <w:p>
            <w:pPr>
              <w:pStyle w:val="Heading2"/>
              <w:spacing w:before="60" w:after="60"/>
              <w:ind w:left="0" w:right="622" w:hanging="0"/>
              <w:rPr>
                <w:rFonts w:ascii="Arial" w:hAnsi="Arial" w:cs="Arial"/>
                <w:sz w:val="24"/>
              </w:rPr>
            </w:pPr>
            <w:r>
              <w:rPr>
                <w:rFonts w:cs="Arial" w:ascii="Arial" w:hAnsi="Arial"/>
                <w:sz w:val="24"/>
              </w:rPr>
              <w:t>Directorate: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60" w:after="60"/>
              <w:ind w:left="0" w:right="622" w:hanging="0"/>
              <w:rPr/>
            </w:pPr>
            <w:r>
              <w:rPr/>
              <w:t>Children’s Services</w:t>
            </w:r>
          </w:p>
        </w:tc>
        <w:tc>
          <w:tcPr>
            <w:tcW w:w="2268"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pPr>
            <w:r>
              <w:rPr>
                <w:b/>
                <w:sz w:val="24"/>
              </w:rPr>
              <w:t>Section</w:t>
            </w:r>
            <w:r>
              <w:rPr>
                <w:sz w:val="24"/>
              </w:rPr>
              <w:t>:</w:t>
            </w:r>
          </w:p>
        </w:tc>
        <w:tc>
          <w:tcPr>
            <w:tcW w:w="358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ind w:left="0" w:right="622" w:hanging="0"/>
              <w:rPr/>
            </w:pPr>
            <w:r>
              <w:rPr/>
              <w:t>Community Educational Psychology Service</w:t>
            </w:r>
          </w:p>
        </w:tc>
      </w:tr>
    </w:tbl>
    <w:p>
      <w:pPr>
        <w:pStyle w:val="Normal"/>
        <w:ind w:left="0" w:right="622" w:hanging="0"/>
        <w:rPr/>
      </w:pPr>
      <w:r>
        <w:rPr/>
      </w:r>
    </w:p>
    <w:tbl>
      <w:tblPr>
        <w:tblW w:w="10100" w:type="dxa"/>
        <w:jc w:val="left"/>
        <w:tblInd w:w="98" w:type="dxa"/>
        <w:tblCellMar>
          <w:top w:w="0" w:type="dxa"/>
          <w:left w:w="108" w:type="dxa"/>
          <w:bottom w:w="0" w:type="dxa"/>
          <w:right w:w="108" w:type="dxa"/>
        </w:tblCellMar>
      </w:tblPr>
      <w:tblGrid>
        <w:gridCol w:w="3827"/>
        <w:gridCol w:w="6263"/>
        <w:gridCol w:w="10"/>
      </w:tblGrid>
      <w:tr>
        <w:trPr>
          <w:trHeight w:val="523" w:hRule="atLeast"/>
        </w:trPr>
        <w:tc>
          <w:tcPr>
            <w:tcW w:w="3827" w:type="dxa"/>
            <w:tcBorders>
              <w:bottom w:val="single" w:sz="4" w:space="0" w:color="000000"/>
            </w:tcBorders>
            <w:shd w:fill="auto" w:val="clear"/>
          </w:tcPr>
          <w:p>
            <w:pPr>
              <w:pStyle w:val="Normal"/>
              <w:spacing w:before="60" w:after="60"/>
              <w:ind w:left="0" w:right="622" w:hanging="0"/>
              <w:rPr>
                <w:b/>
                <w:b/>
                <w:sz w:val="24"/>
              </w:rPr>
            </w:pPr>
            <w:r>
              <w:rPr>
                <w:b/>
                <w:sz w:val="24"/>
              </w:rPr>
              <w:t>Job details</w:t>
            </w:r>
          </w:p>
        </w:tc>
        <w:tc>
          <w:tcPr>
            <w:tcW w:w="6263" w:type="dxa"/>
            <w:tcBorders>
              <w:bottom w:val="single" w:sz="4" w:space="0" w:color="000000"/>
            </w:tcBorders>
            <w:shd w:fill="auto" w:val="clear"/>
          </w:tcPr>
          <w:p>
            <w:pPr>
              <w:pStyle w:val="Heading1"/>
              <w:snapToGrid w:val="false"/>
              <w:spacing w:before="60" w:after="60"/>
              <w:ind w:left="0" w:right="622" w:hanging="0"/>
              <w:rPr>
                <w:b w:val="false"/>
                <w:b w:val="false"/>
              </w:rPr>
            </w:pPr>
            <w:r>
              <w:rPr>
                <w:b w:val="false"/>
              </w:rPr>
            </w:r>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Job title:</w:t>
            </w:r>
          </w:p>
        </w:tc>
        <w:tc>
          <w:tcPr>
            <w:tcW w:w="62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ind w:left="0" w:right="622" w:hanging="0"/>
              <w:rPr/>
            </w:pPr>
            <w:r>
              <w:rPr/>
              <w:t>Community Educational Psychologist</w:t>
            </w:r>
            <w:r>
              <w:fldChar w:fldCharType="begin">
                <w:ffData>
                  <w:name w:val="Job_Title"/>
                  <w:enabled/>
                  <w:calcOnExit w:val="0"/>
                  <w:textInput/>
                </w:ffData>
              </w:fldChar>
            </w:r>
            <w:r>
              <w:rPr/>
              <w:instrText> FORMTEXT </w:instrText>
            </w:r>
            <w:r>
              <w:rPr/>
              <w:fldChar w:fldCharType="separate"/>
            </w:r>
            <w:bookmarkStart w:id="0" w:name="Job_Title"/>
            <w:bookmarkStart w:id="1" w:name="Job_Title"/>
            <w:r>
              <w:rPr/>
            </w:r>
            <w:r>
              <w:rPr/>
            </w:r>
            <w:r>
              <w:rPr/>
              <w:fldChar w:fldCharType="end"/>
            </w:r>
            <w:bookmarkEnd w:id="0"/>
            <w:bookmarkEnd w:id="1"/>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Grade:</w:t>
            </w:r>
          </w:p>
        </w:tc>
        <w:tc>
          <w:tcPr>
            <w:tcW w:w="627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hd w:fill="FFFFFF" w:val="clear"/>
              <w:spacing w:before="60" w:after="0"/>
              <w:rPr/>
            </w:pPr>
            <w:r>
              <w:rPr>
                <w:rFonts w:cs="Arial"/>
                <w:bCs/>
                <w:color w:val="000000"/>
                <w:lang w:eastAsia="en-GB"/>
              </w:rPr>
              <w:t>Soulbury EP A Scale</w:t>
            </w:r>
            <w:r>
              <w:rPr/>
              <w:t xml:space="preserve"> 4-9 + Up to 3 SPAs</w:t>
            </w:r>
            <w:r>
              <w:fldChar w:fldCharType="begin">
                <w:ffData>
                  <w:name w:val="Grade"/>
                  <w:enabled/>
                  <w:calcOnExit w:val="0"/>
                  <w:textInput/>
                </w:ffData>
              </w:fldChar>
            </w:r>
            <w:r>
              <w:rPr/>
              <w:instrText> FORMTEXT </w:instrText>
            </w:r>
            <w:r>
              <w:rPr/>
              <w:fldChar w:fldCharType="separate"/>
            </w:r>
            <w:bookmarkStart w:id="2" w:name="Grade"/>
            <w:r>
              <w:rPr/>
            </w:r>
            <w:r>
              <w:rPr/>
            </w:r>
            <w:r>
              <w:rPr/>
              <w:fldChar w:fldCharType="end"/>
            </w:r>
            <w:bookmarkEnd w:id="2"/>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Location of work:</w:t>
            </w:r>
          </w:p>
        </w:tc>
        <w:tc>
          <w:tcPr>
            <w:tcW w:w="627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620" w:leader="none"/>
              </w:tabs>
              <w:spacing w:before="120" w:after="60"/>
              <w:ind w:left="1620" w:right="0" w:hanging="1620"/>
              <w:rPr>
                <w:rFonts w:cs="Arial"/>
              </w:rPr>
            </w:pPr>
            <w:r>
              <w:rPr>
                <w:rFonts w:cs="Arial"/>
              </w:rPr>
              <w:t>3 Knowsley Place</w:t>
            </w:r>
          </w:p>
          <w:p>
            <w:pPr>
              <w:pStyle w:val="Normal"/>
              <w:tabs>
                <w:tab w:val="clear" w:pos="720"/>
                <w:tab w:val="left" w:pos="1620" w:leader="none"/>
              </w:tabs>
              <w:spacing w:before="120" w:after="60"/>
              <w:ind w:left="1620" w:right="0" w:hanging="1620"/>
              <w:rPr>
                <w:rFonts w:cs="Arial"/>
              </w:rPr>
            </w:pPr>
            <w:r>
              <w:rPr>
                <w:rFonts w:cs="Arial"/>
              </w:rPr>
              <w:t>Bury</w:t>
            </w:r>
          </w:p>
          <w:p>
            <w:pPr>
              <w:pStyle w:val="Heading1"/>
              <w:spacing w:before="60" w:after="60"/>
              <w:ind w:left="0" w:right="622" w:hanging="0"/>
              <w:rPr>
                <w:rFonts w:cs="Arial"/>
                <w:b w:val="false"/>
                <w:b w:val="false"/>
                <w:bCs/>
                <w:sz w:val="20"/>
                <w:szCs w:val="16"/>
              </w:rPr>
            </w:pPr>
            <w:r>
              <w:rPr>
                <w:rFonts w:cs="Arial"/>
                <w:b w:val="false"/>
                <w:bCs/>
                <w:sz w:val="20"/>
                <w:szCs w:val="16"/>
              </w:rPr>
              <w:t>BL9 0EJ</w:t>
            </w:r>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Directly responsible to:</w:t>
            </w:r>
          </w:p>
        </w:tc>
        <w:tc>
          <w:tcPr>
            <w:tcW w:w="627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before="60" w:after="60"/>
              <w:jc w:val="left"/>
              <w:rPr>
                <w:rFonts w:cs="Arial"/>
              </w:rPr>
            </w:pPr>
            <w:r>
              <w:rPr>
                <w:rFonts w:cs="Arial"/>
              </w:rPr>
              <w:t>Assistant Principal Educational Psychologist</w:t>
            </w:r>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Directly responsible for:</w:t>
            </w:r>
          </w:p>
        </w:tc>
        <w:tc>
          <w:tcPr>
            <w:tcW w:w="6273" w:type="dxa"/>
            <w:tcBorders>
              <w:top w:val="single" w:sz="4" w:space="0" w:color="000000"/>
              <w:left w:val="single" w:sz="4" w:space="0" w:color="000000"/>
              <w:bottom w:val="single" w:sz="4" w:space="0" w:color="000000"/>
              <w:right w:val="single" w:sz="4" w:space="0" w:color="000000"/>
            </w:tcBorders>
            <w:shd w:fill="auto" w:val="clear"/>
          </w:tcPr>
          <w:p>
            <w:pPr>
              <w:pStyle w:val="Heading1"/>
              <w:spacing w:before="60" w:after="60"/>
              <w:ind w:left="0" w:right="622" w:hanging="0"/>
              <w:rPr>
                <w:b w:val="false"/>
                <w:b w:val="false"/>
                <w:sz w:val="20"/>
              </w:rPr>
            </w:pPr>
            <w:r>
              <w:rPr>
                <w:b w:val="false"/>
                <w:sz w:val="20"/>
              </w:rPr>
              <w:t>Supporting the delivery of a creative and dynamic educational psychology service to a number of schools, and community settings, including offering psychological advice to the authority as requested.</w:t>
            </w:r>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Hours of duty:</w:t>
            </w:r>
          </w:p>
        </w:tc>
        <w:tc>
          <w:tcPr>
            <w:tcW w:w="6273" w:type="dxa"/>
            <w:tcBorders>
              <w:top w:val="single" w:sz="4" w:space="0" w:color="000000"/>
              <w:left w:val="single" w:sz="4" w:space="0" w:color="000000"/>
              <w:bottom w:val="single" w:sz="4" w:space="0" w:color="000000"/>
              <w:right w:val="single" w:sz="4" w:space="0" w:color="000000"/>
            </w:tcBorders>
            <w:shd w:fill="auto" w:val="clear"/>
          </w:tcPr>
          <w:p>
            <w:pPr>
              <w:pStyle w:val="Heading1"/>
              <w:spacing w:before="60" w:after="60"/>
              <w:ind w:left="0" w:right="622" w:hanging="0"/>
              <w:rPr>
                <w:bCs/>
                <w:sz w:val="20"/>
              </w:rPr>
            </w:pPr>
            <w:r>
              <w:rPr>
                <w:bCs/>
                <w:sz w:val="20"/>
              </w:rPr>
              <w:t>Full time, 37 hours (part-time applications will be considered)</w:t>
            </w:r>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Primary purpose of the job:</w:t>
            </w:r>
          </w:p>
        </w:tc>
        <w:tc>
          <w:tcPr>
            <w:tcW w:w="6273" w:type="dxa"/>
            <w:tcBorders>
              <w:top w:val="single" w:sz="4" w:space="0" w:color="000000"/>
              <w:left w:val="single" w:sz="4" w:space="0" w:color="000000"/>
              <w:bottom w:val="single" w:sz="4" w:space="0" w:color="000000"/>
              <w:right w:val="single" w:sz="4" w:space="0" w:color="000000"/>
            </w:tcBorders>
            <w:shd w:fill="auto" w:val="clear"/>
          </w:tcPr>
          <w:p>
            <w:pPr>
              <w:pStyle w:val="Heading1"/>
              <w:tabs>
                <w:tab w:val="clear" w:pos="720"/>
                <w:tab w:val="left" w:pos="480" w:leader="none"/>
              </w:tabs>
              <w:spacing w:before="60" w:after="60"/>
              <w:ind w:left="0" w:right="51" w:hanging="0"/>
              <w:rPr>
                <w:rFonts w:cs="Arial"/>
                <w:b w:val="false"/>
                <w:b w:val="false"/>
                <w:sz w:val="20"/>
              </w:rPr>
            </w:pPr>
            <w:r>
              <w:rPr>
                <w:rFonts w:cs="Arial"/>
                <w:b w:val="false"/>
                <w:sz w:val="20"/>
              </w:rPr>
              <w:t xml:space="preserve">To undertake the role and duties of a Community Educational Psychologist and deliver a service to a number of Bury schools, establishments and the wider Bury community. </w:t>
            </w:r>
          </w:p>
        </w:tc>
      </w:tr>
      <w:tr>
        <w:trPr>
          <w:trHeight w:val="523" w:hRule="atLeast"/>
        </w:trPr>
        <w:tc>
          <w:tcPr>
            <w:tcW w:w="3827" w:type="dxa"/>
            <w:tcBorders>
              <w:top w:val="single" w:sz="4" w:space="0" w:color="000000"/>
              <w:left w:val="single" w:sz="4" w:space="0" w:color="000000"/>
              <w:bottom w:val="single" w:sz="4" w:space="0" w:color="000000"/>
            </w:tcBorders>
            <w:shd w:fill="auto" w:val="clear"/>
          </w:tcPr>
          <w:p>
            <w:pPr>
              <w:pStyle w:val="Normal"/>
              <w:spacing w:before="60" w:after="60"/>
              <w:ind w:left="0" w:right="622" w:hanging="0"/>
              <w:rPr>
                <w:b/>
                <w:b/>
                <w:sz w:val="24"/>
              </w:rPr>
            </w:pPr>
            <w:r>
              <w:rPr>
                <w:b/>
                <w:sz w:val="24"/>
              </w:rPr>
              <w:t>Post ref no:</w:t>
            </w:r>
          </w:p>
        </w:tc>
        <w:tc>
          <w:tcPr>
            <w:tcW w:w="6273" w:type="dxa"/>
            <w:tcBorders>
              <w:top w:val="single" w:sz="4" w:space="0" w:color="000000"/>
              <w:left w:val="single" w:sz="4" w:space="0" w:color="000000"/>
              <w:bottom w:val="single" w:sz="4" w:space="0" w:color="000000"/>
              <w:right w:val="single" w:sz="4" w:space="0" w:color="000000"/>
            </w:tcBorders>
            <w:shd w:fill="auto" w:val="clear"/>
          </w:tcPr>
          <w:p>
            <w:pPr>
              <w:pStyle w:val="Heading1"/>
              <w:snapToGrid w:val="false"/>
              <w:spacing w:before="60" w:after="60"/>
              <w:ind w:left="0" w:right="622" w:hanging="0"/>
              <w:rPr>
                <w:b w:val="false"/>
                <w:b w:val="false"/>
                <w:sz w:val="20"/>
              </w:rPr>
            </w:pPr>
            <w:r>
              <w:rPr>
                <w:b w:val="false"/>
                <w:sz w:val="20"/>
              </w:rPr>
            </w:r>
          </w:p>
        </w:tc>
      </w:tr>
    </w:tbl>
    <w:p>
      <w:pPr>
        <w:pStyle w:val="Normal"/>
        <w:ind w:left="0" w:right="622" w:hanging="0"/>
        <w:jc w:val="both"/>
        <w:rPr>
          <w:b/>
          <w:b/>
        </w:rPr>
      </w:pPr>
      <w:r>
        <w:rPr>
          <w:b/>
        </w:rPr>
      </w:r>
    </w:p>
    <w:p>
      <w:pPr>
        <w:pStyle w:val="Normal"/>
        <w:ind w:left="0" w:right="622" w:hanging="0"/>
        <w:jc w:val="both"/>
        <w:rPr>
          <w:b/>
          <w:b/>
        </w:rPr>
      </w:pPr>
      <w:r>
        <w:rPr>
          <w:b/>
        </w:rPr>
      </w:r>
    </w:p>
    <w:tbl>
      <w:tblPr>
        <w:tblW w:w="10102" w:type="dxa"/>
        <w:jc w:val="left"/>
        <w:tblInd w:w="98" w:type="dxa"/>
        <w:tblCellMar>
          <w:top w:w="0" w:type="dxa"/>
          <w:left w:w="108" w:type="dxa"/>
          <w:bottom w:w="0" w:type="dxa"/>
          <w:right w:w="108" w:type="dxa"/>
        </w:tblCellMar>
      </w:tblPr>
      <w:tblGrid>
        <w:gridCol w:w="10092"/>
        <w:gridCol w:w="10"/>
      </w:tblGrid>
      <w:tr>
        <w:trPr>
          <w:trHeight w:val="555" w:hRule="atLeast"/>
        </w:trPr>
        <w:tc>
          <w:tcPr>
            <w:tcW w:w="10092" w:type="dxa"/>
            <w:tcBorders/>
            <w:shd w:fill="auto" w:val="clear"/>
          </w:tcPr>
          <w:p>
            <w:pPr>
              <w:pStyle w:val="Heading1"/>
              <w:spacing w:before="60" w:after="60"/>
              <w:ind w:left="0" w:right="622" w:hanging="0"/>
              <w:jc w:val="both"/>
              <w:rPr/>
            </w:pPr>
            <w:r>
              <w:rPr/>
              <w:t>Main duties and responsibilities/accountabilities</w:t>
            </w:r>
          </w:p>
        </w:tc>
      </w:tr>
      <w:tr>
        <w:trPr>
          <w:trHeight w:val="1488" w:hRule="atLeast"/>
        </w:trPr>
        <w:tc>
          <w:tcPr>
            <w:tcW w:w="10102" w:type="dxa"/>
            <w:tcBorders>
              <w:top w:val="single" w:sz="4" w:space="0" w:color="000000"/>
              <w:left w:val="single" w:sz="4" w:space="0" w:color="000000"/>
              <w:bottom w:val="single" w:sz="4" w:space="0" w:color="000000"/>
              <w:right w:val="single" w:sz="4" w:space="0" w:color="000000"/>
            </w:tcBorders>
            <w:shd w:fill="auto" w:val="clear"/>
          </w:tcPr>
          <w:p>
            <w:pPr>
              <w:pStyle w:val="ListParagraph"/>
              <w:snapToGrid w:val="false"/>
              <w:spacing w:before="60" w:after="60"/>
              <w:contextualSpacing/>
              <w:rPr>
                <w:rFonts w:cs="Arial"/>
              </w:rPr>
            </w:pPr>
            <w:r>
              <w:rPr>
                <w:rFonts w:cs="Arial"/>
              </w:rPr>
            </w:r>
          </w:p>
          <w:tbl>
            <w:tblPr>
              <w:tblW w:w="5000" w:type="pct"/>
              <w:jc w:val="left"/>
              <w:tblInd w:w="0" w:type="dxa"/>
              <w:tblCellMar>
                <w:top w:w="0" w:type="dxa"/>
                <w:left w:w="0" w:type="dxa"/>
                <w:bottom w:w="0" w:type="dxa"/>
                <w:right w:w="0" w:type="dxa"/>
              </w:tblCellMar>
            </w:tblPr>
            <w:tblGrid>
              <w:gridCol w:w="9886"/>
            </w:tblGrid>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Promote the use of psychology to improve the educational outcomes and emotional well-being of children and young people.</w:t>
                  </w:r>
                </w:p>
                <w:p>
                  <w:pPr>
                    <w:pStyle w:val="ListParagraph"/>
                    <w:numPr>
                      <w:ilvl w:val="0"/>
                      <w:numId w:val="5"/>
                    </w:numPr>
                    <w:spacing w:before="0" w:after="0"/>
                    <w:contextualSpacing/>
                    <w:rPr>
                      <w:rFonts w:cs="Arial"/>
                    </w:rPr>
                  </w:pPr>
                  <w:r>
                    <w:rPr>
                      <w:rFonts w:cs="Arial"/>
                    </w:rPr>
                    <w:t>To contribute to meeting Bury Council priorities, including the delivery of the Experts at Hand model.</w:t>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 xml:space="preserve">Work collaboratively with setting-based staff, parents and children to help in the assessment of needs and the implementation of strategies. </w:t>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To support the service in the delivery of strategies working at a preventative level.</w:t>
                  </w:r>
                </w:p>
              </w:tc>
            </w:tr>
            <w:tr>
              <w:trPr/>
              <w:tc>
                <w:tcPr>
                  <w:tcW w:w="9886" w:type="dxa"/>
                  <w:tcBorders/>
                  <w:shd w:fill="auto" w:val="clear"/>
                </w:tcPr>
                <w:p>
                  <w:pPr>
                    <w:pStyle w:val="Normal"/>
                    <w:snapToGrid w:val="false"/>
                    <w:spacing w:before="0" w:after="0"/>
                    <w:rPr>
                      <w:rFonts w:cs="Arial"/>
                      <w:lang w:eastAsia="en-GB"/>
                    </w:rPr>
                  </w:pPr>
                  <w:r>
                    <w:rPr>
                      <w:rFonts w:cs="Arial"/>
                      <w:lang w:eastAsia="en-GB"/>
                    </w:rPr>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To participate in meetings at schools and settings.</w:t>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To keep accurate, up to date records of all contacts and work relating to children, young people and their families in accordance with service protocols.</w:t>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To work on longer term interventions both directly with staff and with children and their families this is to include group work as appropriate.</w:t>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Undertake research/collect evidence and data on given topics. To prepare summary reports of findings.</w:t>
                  </w:r>
                </w:p>
              </w:tc>
            </w:tr>
            <w:tr>
              <w:trPr/>
              <w:tc>
                <w:tcPr>
                  <w:tcW w:w="9886" w:type="dxa"/>
                  <w:tcBorders/>
                  <w:shd w:fill="auto" w:val="clear"/>
                </w:tcPr>
                <w:p>
                  <w:pPr>
                    <w:pStyle w:val="Normal"/>
                    <w:snapToGrid w:val="false"/>
                    <w:spacing w:before="0" w:after="0"/>
                    <w:rPr>
                      <w:rFonts w:cs="Arial"/>
                      <w:lang w:eastAsia="en-GB"/>
                    </w:rPr>
                  </w:pPr>
                  <w:r>
                    <w:rPr>
                      <w:rFonts w:cs="Arial"/>
                      <w:lang w:eastAsia="en-GB"/>
                    </w:rPr>
                  </w:r>
                </w:p>
              </w:tc>
            </w:tr>
            <w:tr>
              <w:trPr/>
              <w:tc>
                <w:tcPr>
                  <w:tcW w:w="9886" w:type="dxa"/>
                  <w:tcBorders/>
                  <w:shd w:fill="auto" w:val="clear"/>
                </w:tcPr>
                <w:p>
                  <w:pPr>
                    <w:pStyle w:val="ListParagraph"/>
                    <w:numPr>
                      <w:ilvl w:val="0"/>
                      <w:numId w:val="5"/>
                    </w:numPr>
                    <w:spacing w:before="0" w:after="0"/>
                    <w:contextualSpacing/>
                    <w:rPr>
                      <w:rFonts w:cs="Arial"/>
                      <w:lang w:eastAsia="en-GB"/>
                    </w:rPr>
                  </w:pPr>
                  <w:r>
                    <w:rPr>
                      <w:rFonts w:cs="Arial"/>
                      <w:lang w:eastAsia="en-GB"/>
                    </w:rPr>
                    <w:t>Develop skills and knowledge through participation in the process of supervision and being supervised by colleagues and the line managers. Undertake further training as part of continuing professional development, as appropriate.</w:t>
                  </w:r>
                </w:p>
                <w:p>
                  <w:pPr>
                    <w:pStyle w:val="ListParagraph"/>
                    <w:numPr>
                      <w:ilvl w:val="0"/>
                      <w:numId w:val="5"/>
                    </w:numPr>
                    <w:spacing w:before="0" w:after="0"/>
                    <w:contextualSpacing/>
                    <w:rPr>
                      <w:rFonts w:cs="Arial"/>
                      <w:lang w:eastAsia="en-GB"/>
                    </w:rPr>
                  </w:pPr>
                  <w:r>
                    <w:rPr>
                      <w:rFonts w:cs="Arial"/>
                      <w:lang w:eastAsia="en-GB"/>
                    </w:rPr>
                    <w:t xml:space="preserve">Support the local authority in tasks, relevant to educational services. </w:t>
                  </w:r>
                </w:p>
                <w:p>
                  <w:pPr>
                    <w:pStyle w:val="ListParagraph"/>
                    <w:spacing w:before="0" w:after="0"/>
                    <w:contextualSpacing/>
                    <w:rPr>
                      <w:rFonts w:cs="Arial"/>
                      <w:lang w:eastAsia="en-GB"/>
                    </w:rPr>
                  </w:pPr>
                  <w:r>
                    <w:rPr>
                      <w:rFonts w:cs="Arial"/>
                      <w:lang w:eastAsia="en-GB"/>
                    </w:rPr>
                  </w:r>
                </w:p>
                <w:p>
                  <w:pPr>
                    <w:pStyle w:val="Normal"/>
                    <w:spacing w:before="0" w:after="0"/>
                    <w:ind w:left="360" w:right="0" w:hanging="0"/>
                    <w:rPr>
                      <w:rFonts w:cs="Arial"/>
                      <w:lang w:eastAsia="en-GB"/>
                    </w:rPr>
                  </w:pPr>
                  <w:r>
                    <w:rPr>
                      <w:rFonts w:cs="Arial"/>
                      <w:lang w:eastAsia="en-GB"/>
                    </w:rPr>
                  </w:r>
                </w:p>
              </w:tc>
            </w:tr>
          </w:tbl>
          <w:p>
            <w:pPr>
              <w:pStyle w:val="Normal"/>
              <w:ind w:left="360" w:right="0" w:hanging="0"/>
              <w:rPr>
                <w:rFonts w:cs="Arial"/>
                <w:b/>
                <w:b/>
                <w:u w:val="single"/>
                <w:lang w:eastAsia="en-GB"/>
              </w:rPr>
            </w:pPr>
            <w:r>
              <w:rPr>
                <w:rFonts w:cs="Arial"/>
                <w:b/>
                <w:u w:val="single"/>
                <w:lang w:eastAsia="en-GB"/>
              </w:rPr>
              <w:t>Summary of Job Tasks</w:t>
            </w:r>
          </w:p>
          <w:p>
            <w:pPr>
              <w:pStyle w:val="ListParagraph"/>
              <w:numPr>
                <w:ilvl w:val="0"/>
                <w:numId w:val="4"/>
              </w:numPr>
              <w:spacing w:before="0" w:after="0"/>
              <w:contextualSpacing/>
              <w:rPr>
                <w:rFonts w:cs="Arial"/>
                <w:lang w:eastAsia="en-GB"/>
              </w:rPr>
            </w:pPr>
            <w:r>
              <w:rPr>
                <w:rFonts w:cs="Arial"/>
                <w:lang w:eastAsia="en-GB"/>
              </w:rPr>
              <w:t xml:space="preserve">Undertake a range of information gathering, observations, assessments, and interventions pertinent to the services’ work with children/ YP and their parents/ carers. Participate in the development and delivery of psycho-educational group work. </w:t>
            </w:r>
          </w:p>
          <w:p>
            <w:pPr>
              <w:pStyle w:val="ListParagraph"/>
              <w:numPr>
                <w:ilvl w:val="0"/>
                <w:numId w:val="4"/>
              </w:numPr>
              <w:spacing w:before="0" w:after="0"/>
              <w:contextualSpacing/>
              <w:rPr>
                <w:rFonts w:cs="Arial"/>
                <w:lang w:eastAsia="en-GB"/>
              </w:rPr>
            </w:pPr>
            <w:r>
              <w:rPr>
                <w:rFonts w:cs="Arial"/>
                <w:lang w:eastAsia="en-GB"/>
              </w:rPr>
              <w:t>Engage in relevant searches of psychological literature to develop and enhance courses, packages and materials used by the Community Educational Psychology Service</w:t>
            </w:r>
          </w:p>
          <w:p>
            <w:pPr>
              <w:pStyle w:val="ListParagraph"/>
              <w:numPr>
                <w:ilvl w:val="0"/>
                <w:numId w:val="4"/>
              </w:numPr>
              <w:spacing w:before="0" w:after="0"/>
              <w:contextualSpacing/>
              <w:rPr>
                <w:rFonts w:cs="Arial"/>
                <w:lang w:eastAsia="en-GB"/>
              </w:rPr>
            </w:pPr>
            <w:r>
              <w:rPr>
                <w:rFonts w:cs="Arial"/>
                <w:lang w:eastAsia="en-GB"/>
              </w:rPr>
              <w:t>Keep accurate and retrievable records of work and provide written feedback as required.</w:t>
            </w:r>
          </w:p>
          <w:p>
            <w:pPr>
              <w:pStyle w:val="ListParagraph"/>
              <w:numPr>
                <w:ilvl w:val="0"/>
                <w:numId w:val="4"/>
              </w:numPr>
              <w:spacing w:before="0" w:after="0"/>
              <w:contextualSpacing/>
              <w:rPr>
                <w:rFonts w:cs="Arial"/>
                <w:lang w:eastAsia="en-GB"/>
              </w:rPr>
            </w:pPr>
            <w:r>
              <w:rPr>
                <w:rFonts w:cs="Arial"/>
                <w:lang w:eastAsia="en-GB"/>
              </w:rPr>
              <w:t>Attend service meetings and contribute to aims of the service.</w:t>
            </w:r>
          </w:p>
          <w:p>
            <w:pPr>
              <w:pStyle w:val="ListParagraph"/>
              <w:numPr>
                <w:ilvl w:val="0"/>
                <w:numId w:val="4"/>
              </w:numPr>
              <w:spacing w:before="0" w:after="0"/>
              <w:ind w:left="720" w:right="622" w:hanging="360"/>
              <w:contextualSpacing/>
              <w:jc w:val="both"/>
              <w:rPr>
                <w:rFonts w:cs="Arial"/>
                <w:lang w:eastAsia="en-GB"/>
              </w:rPr>
            </w:pPr>
            <w:r>
              <w:rPr>
                <w:rFonts w:cs="Arial"/>
                <w:lang w:eastAsia="en-GB"/>
              </w:rPr>
              <w:t>Report on a regular basis to the Principal or nominated Psychologist.</w:t>
            </w:r>
          </w:p>
          <w:p>
            <w:pPr>
              <w:pStyle w:val="ListParagraph"/>
              <w:numPr>
                <w:ilvl w:val="0"/>
                <w:numId w:val="4"/>
              </w:numPr>
              <w:spacing w:before="0" w:after="0"/>
              <w:contextualSpacing/>
              <w:rPr>
                <w:rFonts w:cs="Arial"/>
                <w:lang w:eastAsia="en-GB"/>
              </w:rPr>
            </w:pPr>
            <w:r>
              <w:rPr>
                <w:rFonts w:cs="Arial"/>
                <w:lang w:eastAsia="en-GB"/>
              </w:rPr>
              <w:t>To offer psychological advice, in line with statutory guidance and within timescales.</w:t>
            </w:r>
          </w:p>
          <w:p>
            <w:pPr>
              <w:pStyle w:val="ListParagraph"/>
              <w:numPr>
                <w:ilvl w:val="0"/>
                <w:numId w:val="4"/>
              </w:numPr>
              <w:spacing w:before="0" w:after="0"/>
              <w:ind w:left="720" w:right="622" w:hanging="360"/>
              <w:contextualSpacing/>
              <w:jc w:val="both"/>
              <w:rPr>
                <w:rFonts w:cs="Arial"/>
                <w:lang w:eastAsia="en-GB"/>
              </w:rPr>
            </w:pPr>
            <w:r>
              <w:rPr>
                <w:rFonts w:cs="Arial"/>
                <w:lang w:eastAsia="en-GB"/>
              </w:rPr>
              <w:t>To work in accordance with professional guidelines to provide psychological support to the Bury community.</w:t>
            </w:r>
          </w:p>
          <w:p>
            <w:pPr>
              <w:pStyle w:val="ListParagraph"/>
              <w:numPr>
                <w:ilvl w:val="0"/>
                <w:numId w:val="4"/>
              </w:numPr>
              <w:spacing w:before="0" w:after="0"/>
              <w:contextualSpacing/>
              <w:rPr>
                <w:rFonts w:cs="Arial"/>
                <w:lang w:eastAsia="en-GB"/>
              </w:rPr>
            </w:pPr>
            <w:r>
              <w:rPr>
                <w:rFonts w:cs="Arial"/>
                <w:lang w:eastAsia="en-GB"/>
              </w:rPr>
              <w:t xml:space="preserve">To take part in meetings, including service and team meetings, within the Community Educational Psychology Service </w:t>
            </w:r>
          </w:p>
          <w:p>
            <w:pPr>
              <w:pStyle w:val="ListParagraph"/>
              <w:spacing w:before="0" w:after="0"/>
              <w:contextualSpacing/>
              <w:rPr>
                <w:rFonts w:cs="Arial"/>
                <w:lang w:eastAsia="en-GB"/>
              </w:rPr>
            </w:pPr>
            <w:r>
              <w:rPr>
                <w:rFonts w:cs="Arial"/>
                <w:lang w:eastAsia="en-GB"/>
              </w:rPr>
            </w:r>
          </w:p>
        </w:tc>
      </w:tr>
    </w:tbl>
    <w:p>
      <w:pPr>
        <w:pStyle w:val="Normal"/>
        <w:ind w:left="0" w:right="622" w:firstLine="284"/>
        <w:jc w:val="both"/>
        <w:rPr>
          <w:b/>
          <w:b/>
        </w:rPr>
      </w:pPr>
      <w:r>
        <w:rPr>
          <w:b/>
        </w:rPr>
      </w:r>
    </w:p>
    <w:p>
      <w:pPr>
        <w:pStyle w:val="Normal"/>
        <w:spacing w:before="0" w:after="0"/>
        <w:rPr>
          <w:b/>
          <w:b/>
        </w:rPr>
      </w:pPr>
      <w:r>
        <w:rPr>
          <w:b/>
        </w:rPr>
      </w:r>
      <w:r>
        <w:br w:type="page"/>
      </w:r>
    </w:p>
    <w:p>
      <w:pPr>
        <w:pStyle w:val="Normal"/>
        <w:ind w:left="0" w:right="622" w:firstLine="284"/>
        <w:jc w:val="both"/>
        <w:rPr>
          <w:b/>
          <w:b/>
        </w:rPr>
      </w:pPr>
      <w:r>
        <w:rPr>
          <w:b/>
        </w:rPr>
      </w:r>
    </w:p>
    <w:tbl>
      <w:tblPr>
        <w:tblW w:w="9872" w:type="dxa"/>
        <w:jc w:val="left"/>
        <w:tblInd w:w="132" w:type="dxa"/>
        <w:tblCellMar>
          <w:top w:w="0" w:type="dxa"/>
          <w:left w:w="108" w:type="dxa"/>
          <w:bottom w:w="0" w:type="dxa"/>
          <w:right w:w="108" w:type="dxa"/>
        </w:tblCellMar>
      </w:tblPr>
      <w:tblGrid>
        <w:gridCol w:w="9862"/>
        <w:gridCol w:w="10"/>
      </w:tblGrid>
      <w:tr>
        <w:trPr/>
        <w:tc>
          <w:tcPr>
            <w:tcW w:w="9862" w:type="dxa"/>
            <w:tcBorders>
              <w:bottom w:val="single" w:sz="4" w:space="0" w:color="000000"/>
            </w:tcBorders>
            <w:shd w:fill="auto" w:val="clear"/>
          </w:tcPr>
          <w:p>
            <w:pPr>
              <w:pStyle w:val="Heading6"/>
              <w:spacing w:before="60" w:after="60"/>
              <w:ind w:left="0" w:right="622" w:hanging="0"/>
              <w:rPr/>
            </w:pPr>
            <w:r>
              <w:rPr/>
              <w:t>Review arrangements</w:t>
            </w:r>
          </w:p>
        </w:tc>
      </w:tr>
      <w:tr>
        <w:trPr/>
        <w:tc>
          <w:tcPr>
            <w:tcW w:w="987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ind w:left="0" w:right="622" w:hanging="0"/>
              <w:jc w:val="both"/>
              <w:rPr/>
            </w:pPr>
            <w:r>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postholder at the appropriate time.</w:t>
            </w:r>
          </w:p>
        </w:tc>
      </w:tr>
    </w:tbl>
    <w:p>
      <w:pPr>
        <w:pStyle w:val="Normal"/>
        <w:ind w:left="0" w:right="622" w:hanging="0"/>
        <w:jc w:val="both"/>
        <w:rPr/>
      </w:pPr>
      <w:r>
        <w:rPr/>
      </w:r>
    </w:p>
    <w:p>
      <w:pPr>
        <w:pStyle w:val="Heading4"/>
        <w:ind w:left="0" w:right="622" w:hanging="0"/>
        <w:jc w:val="both"/>
        <w:rPr/>
      </w:pPr>
      <w:r>
        <w:rPr/>
        <w:t>Date job description prepared/revised: July 2026</w:t>
      </w:r>
    </w:p>
    <w:p>
      <w:pPr>
        <w:pStyle w:val="Normal"/>
        <w:tabs>
          <w:tab w:val="clear" w:pos="720"/>
          <w:tab w:val="left" w:pos="-720" w:leader="none"/>
        </w:tabs>
        <w:suppressAutoHyphens w:val="true"/>
        <w:ind w:left="0" w:right="622" w:hanging="0"/>
        <w:jc w:val="both"/>
        <w:rPr>
          <w:b/>
          <w:b/>
        </w:rPr>
      </w:pPr>
      <w:r>
        <w:rPr>
          <w:b/>
        </w:rPr>
        <w:t>Prepared/revised by:</w:t>
        <w:tab/>
        <w:tab/>
        <w:t>Dr Jawad Shah</w:t>
      </w:r>
    </w:p>
    <w:p>
      <w:pPr>
        <w:sectPr>
          <w:type w:val="nextPage"/>
          <w:pgSz w:w="11906" w:h="16838"/>
          <w:pgMar w:left="994" w:right="1134" w:header="0" w:top="710" w:footer="0" w:bottom="1843" w:gutter="0"/>
          <w:pgNumType w:fmt="decimal"/>
          <w:formProt w:val="false"/>
          <w:textDirection w:val="lrTb"/>
          <w:docGrid w:type="default" w:linePitch="100" w:charSpace="8192"/>
        </w:sectPr>
        <w:pStyle w:val="Normal"/>
        <w:tabs>
          <w:tab w:val="clear" w:pos="720"/>
          <w:tab w:val="left" w:pos="-720" w:leader="none"/>
        </w:tabs>
        <w:suppressAutoHyphens w:val="true"/>
        <w:ind w:left="0" w:right="622" w:hanging="0"/>
        <w:jc w:val="both"/>
        <w:rPr>
          <w:b/>
          <w:b/>
        </w:rPr>
      </w:pPr>
      <w:r>
        <w:rPr>
          <w:b/>
        </w:rPr>
        <w:t>Agreed job description signed by holder:</w:t>
      </w:r>
    </w:p>
    <w:p>
      <w:pPr>
        <w:pStyle w:val="Normal"/>
        <w:ind w:left="0" w:right="622" w:hanging="0"/>
        <w:rPr/>
      </w:pPr>
      <w:r>
        <w:rPr/>
        <w:tab/>
      </w:r>
    </w:p>
    <w:p>
      <w:pPr>
        <w:pStyle w:val="Normal"/>
        <w:ind w:left="0" w:right="622" w:hanging="0"/>
        <w:rPr/>
      </w:pPr>
      <w:r>
        <w:rPr/>
        <w:drawing>
          <wp:inline distT="0" distB="0" distL="0" distR="0">
            <wp:extent cx="723265" cy="33274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49" t="-324" r="-149" b="-324"/>
                    <a:stretch>
                      <a:fillRect/>
                    </a:stretch>
                  </pic:blipFill>
                  <pic:spPr bwMode="auto">
                    <a:xfrm>
                      <a:off x="0" y="0"/>
                      <a:ext cx="723265" cy="332740"/>
                    </a:xfrm>
                    <a:prstGeom prst="rect">
                      <a:avLst/>
                    </a:prstGeom>
                  </pic:spPr>
                </pic:pic>
              </a:graphicData>
            </a:graphic>
          </wp:inline>
        </w:drawing>
      </w:r>
    </w:p>
    <w:p>
      <w:pPr>
        <w:pStyle w:val="Normal"/>
        <w:ind w:left="0" w:right="622" w:hanging="0"/>
        <w:rPr/>
      </w:pPr>
      <w:r>
        <w:rPr/>
      </w:r>
    </w:p>
    <w:p>
      <w:pPr>
        <w:pStyle w:val="Normal"/>
        <w:ind w:left="0" w:right="622" w:hanging="0"/>
        <w:rPr/>
      </w:pPr>
      <w:r>
        <w:rPr/>
        <w:tab/>
        <w:tab/>
        <w:tab/>
      </w:r>
    </w:p>
    <w:tbl>
      <w:tblPr>
        <w:tblW w:w="15188" w:type="dxa"/>
        <w:jc w:val="left"/>
        <w:tblInd w:w="0" w:type="dxa"/>
        <w:tblCellMar>
          <w:top w:w="0" w:type="dxa"/>
          <w:left w:w="108" w:type="dxa"/>
          <w:bottom w:w="0" w:type="dxa"/>
          <w:right w:w="108" w:type="dxa"/>
        </w:tblCellMar>
      </w:tblPr>
      <w:tblGrid>
        <w:gridCol w:w="4517"/>
        <w:gridCol w:w="2429"/>
        <w:gridCol w:w="4322"/>
        <w:gridCol w:w="3920"/>
      </w:tblGrid>
      <w:tr>
        <w:trPr/>
        <w:tc>
          <w:tcPr>
            <w:tcW w:w="4517" w:type="dxa"/>
            <w:tcBorders>
              <w:top w:val="single" w:sz="6" w:space="0" w:color="000000"/>
              <w:left w:val="single" w:sz="6" w:space="0" w:color="000000"/>
              <w:bottom w:val="single" w:sz="6" w:space="0" w:color="000000"/>
            </w:tcBorders>
            <w:shd w:fill="E5E5E5" w:val="clear"/>
          </w:tcPr>
          <w:p>
            <w:pPr>
              <w:pStyle w:val="Normal"/>
              <w:spacing w:before="60" w:after="60"/>
              <w:ind w:left="0" w:right="622" w:hanging="0"/>
              <w:rPr>
                <w:b/>
                <w:b/>
              </w:rPr>
            </w:pPr>
            <w:r>
              <w:rPr>
                <w:b/>
              </w:rPr>
              <w:t>Job title</w:t>
            </w:r>
          </w:p>
        </w:tc>
        <w:tc>
          <w:tcPr>
            <w:tcW w:w="2429" w:type="dxa"/>
            <w:tcBorders>
              <w:top w:val="single" w:sz="6" w:space="0" w:color="000000"/>
              <w:left w:val="single" w:sz="6" w:space="0" w:color="000000"/>
              <w:bottom w:val="single" w:sz="6" w:space="0" w:color="000000"/>
            </w:tcBorders>
            <w:shd w:fill="E5E5E5" w:val="clear"/>
          </w:tcPr>
          <w:p>
            <w:pPr>
              <w:pStyle w:val="Normal"/>
              <w:spacing w:before="60" w:after="60"/>
              <w:ind w:left="0" w:right="622" w:hanging="0"/>
              <w:rPr>
                <w:b/>
                <w:b/>
              </w:rPr>
            </w:pPr>
            <w:r>
              <w:rPr>
                <w:b/>
              </w:rPr>
              <w:t>Grade</w:t>
            </w:r>
          </w:p>
        </w:tc>
        <w:tc>
          <w:tcPr>
            <w:tcW w:w="4322" w:type="dxa"/>
            <w:tcBorders>
              <w:top w:val="single" w:sz="6" w:space="0" w:color="000000"/>
              <w:left w:val="single" w:sz="6" w:space="0" w:color="000000"/>
              <w:bottom w:val="single" w:sz="6" w:space="0" w:color="000000"/>
            </w:tcBorders>
            <w:shd w:fill="E5E5E5" w:val="clear"/>
          </w:tcPr>
          <w:p>
            <w:pPr>
              <w:pStyle w:val="Normal"/>
              <w:spacing w:before="60" w:after="60"/>
              <w:ind w:left="0" w:right="622" w:hanging="0"/>
              <w:rPr>
                <w:b/>
                <w:b/>
              </w:rPr>
            </w:pPr>
            <w:r>
              <w:rPr>
                <w:b/>
              </w:rPr>
              <w:t>Directorate</w:t>
            </w:r>
          </w:p>
        </w:tc>
        <w:tc>
          <w:tcPr>
            <w:tcW w:w="3920" w:type="dxa"/>
            <w:tcBorders>
              <w:top w:val="single" w:sz="6" w:space="0" w:color="000000"/>
              <w:left w:val="single" w:sz="6" w:space="0" w:color="000000"/>
              <w:bottom w:val="single" w:sz="6" w:space="0" w:color="000000"/>
              <w:right w:val="single" w:sz="6" w:space="0" w:color="000000"/>
            </w:tcBorders>
            <w:shd w:fill="E5E5E5" w:val="clear"/>
          </w:tcPr>
          <w:p>
            <w:pPr>
              <w:pStyle w:val="Normal"/>
              <w:spacing w:before="60" w:after="60"/>
              <w:ind w:left="0" w:right="622" w:hanging="0"/>
              <w:rPr>
                <w:b/>
                <w:b/>
              </w:rPr>
            </w:pPr>
            <w:r>
              <w:rPr>
                <w:b/>
              </w:rPr>
              <w:t>Location</w:t>
            </w:r>
          </w:p>
        </w:tc>
      </w:tr>
      <w:tr>
        <w:trPr>
          <w:trHeight w:val="569" w:hRule="atLeast"/>
        </w:trPr>
        <w:tc>
          <w:tcPr>
            <w:tcW w:w="4517" w:type="dxa"/>
            <w:tcBorders>
              <w:top w:val="single" w:sz="6" w:space="0" w:color="000000"/>
              <w:left w:val="single" w:sz="6" w:space="0" w:color="000000"/>
              <w:bottom w:val="single" w:sz="6" w:space="0" w:color="000000"/>
            </w:tcBorders>
            <w:shd w:fill="auto" w:val="clear"/>
            <w:vAlign w:val="center"/>
          </w:tcPr>
          <w:p>
            <w:pPr>
              <w:pStyle w:val="Normal"/>
              <w:spacing w:before="60" w:after="60"/>
              <w:ind w:left="0" w:right="622" w:hanging="0"/>
              <w:rPr/>
            </w:pPr>
            <w:r>
              <w:rPr/>
              <w:t xml:space="preserve">Community Educational Psychologist </w:t>
            </w:r>
            <w:r>
              <w:fldChar w:fldCharType="begin">
                <w:ffData>
                  <w:name w:val="Job_Title1"/>
                  <w:enabled/>
                  <w:calcOnExit w:val="0"/>
                  <w:textInput/>
                </w:ffData>
              </w:fldChar>
            </w:r>
            <w:r>
              <w:rPr/>
              <w:instrText> FORMTEXT </w:instrText>
            </w:r>
            <w:r>
              <w:rPr/>
              <w:fldChar w:fldCharType="separate"/>
            </w:r>
            <w:bookmarkStart w:id="3" w:name="Job_Title1"/>
            <w:bookmarkStart w:id="4" w:name="Job_Title1"/>
            <w:r>
              <w:rPr/>
            </w:r>
            <w:r>
              <w:rPr/>
            </w:r>
            <w:r>
              <w:rPr/>
              <w:fldChar w:fldCharType="end"/>
            </w:r>
            <w:bookmarkEnd w:id="3"/>
            <w:bookmarkEnd w:id="4"/>
          </w:p>
        </w:tc>
        <w:tc>
          <w:tcPr>
            <w:tcW w:w="2429" w:type="dxa"/>
            <w:tcBorders>
              <w:top w:val="single" w:sz="6" w:space="0" w:color="000000"/>
              <w:left w:val="single" w:sz="6" w:space="0" w:color="000000"/>
              <w:bottom w:val="single" w:sz="6" w:space="0" w:color="000000"/>
            </w:tcBorders>
            <w:shd w:fill="auto" w:val="clear"/>
            <w:vAlign w:val="center"/>
          </w:tcPr>
          <w:p>
            <w:pPr>
              <w:pStyle w:val="Normal"/>
              <w:shd w:fill="FFFFFF" w:val="clear"/>
              <w:spacing w:before="60" w:after="0"/>
              <w:rPr/>
            </w:pPr>
            <w:r>
              <w:rPr>
                <w:rFonts w:cs="Arial"/>
                <w:bCs/>
                <w:color w:val="000000"/>
                <w:lang w:eastAsia="en-GB"/>
              </w:rPr>
              <w:t>Soulbury EP scale</w:t>
            </w:r>
            <w:r>
              <w:rPr/>
              <w:t xml:space="preserve"> A 4-9 + up to 3 SPAs</w:t>
            </w:r>
            <w:r>
              <w:fldChar w:fldCharType="begin">
                <w:ffData>
                  <w:name w:val="Grade1"/>
                  <w:enabled/>
                  <w:calcOnExit w:val="0"/>
                  <w:textInput/>
                </w:ffData>
              </w:fldChar>
            </w:r>
            <w:r>
              <w:rPr/>
              <w:instrText> FORMTEXT </w:instrText>
            </w:r>
            <w:r>
              <w:rPr/>
              <w:fldChar w:fldCharType="separate"/>
            </w:r>
            <w:bookmarkStart w:id="5" w:name="Grade1"/>
            <w:r>
              <w:rPr/>
            </w:r>
            <w:r>
              <w:rPr/>
            </w:r>
            <w:r>
              <w:rPr/>
              <w:fldChar w:fldCharType="end"/>
            </w:r>
            <w:bookmarkEnd w:id="5"/>
          </w:p>
        </w:tc>
        <w:tc>
          <w:tcPr>
            <w:tcW w:w="4322" w:type="dxa"/>
            <w:tcBorders>
              <w:top w:val="single" w:sz="6" w:space="0" w:color="000000"/>
              <w:left w:val="single" w:sz="6" w:space="0" w:color="000000"/>
              <w:bottom w:val="single" w:sz="6" w:space="0" w:color="000000"/>
            </w:tcBorders>
            <w:shd w:fill="auto" w:val="clear"/>
            <w:vAlign w:val="center"/>
          </w:tcPr>
          <w:p>
            <w:pPr>
              <w:pStyle w:val="Normal"/>
              <w:spacing w:before="60" w:after="60"/>
              <w:ind w:left="0" w:right="622" w:hanging="0"/>
              <w:rPr/>
            </w:pPr>
            <w:r>
              <w:rPr/>
              <w:t>Children’s Services</w:t>
            </w:r>
          </w:p>
        </w:tc>
        <w:tc>
          <w:tcPr>
            <w:tcW w:w="392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tabs>
                <w:tab w:val="clear" w:pos="720"/>
                <w:tab w:val="left" w:pos="1620" w:leader="none"/>
              </w:tabs>
              <w:spacing w:before="120" w:after="60"/>
              <w:ind w:left="1620" w:right="0" w:hanging="1620"/>
              <w:rPr>
                <w:rFonts w:cs="Arial"/>
              </w:rPr>
            </w:pPr>
            <w:r>
              <w:rPr>
                <w:rFonts w:cs="Arial"/>
              </w:rPr>
              <w:t>3 Knowsley Place</w:t>
            </w:r>
          </w:p>
          <w:p>
            <w:pPr>
              <w:pStyle w:val="Normal"/>
              <w:tabs>
                <w:tab w:val="clear" w:pos="720"/>
                <w:tab w:val="left" w:pos="1620" w:leader="none"/>
              </w:tabs>
              <w:spacing w:before="120" w:after="60"/>
              <w:ind w:left="1620" w:right="0" w:hanging="1620"/>
              <w:rPr>
                <w:rFonts w:cs="Arial"/>
              </w:rPr>
            </w:pPr>
            <w:r>
              <w:rPr>
                <w:rFonts w:cs="Arial"/>
              </w:rPr>
              <w:t>Bury</w:t>
            </w:r>
          </w:p>
          <w:p>
            <w:pPr>
              <w:pStyle w:val="Normal"/>
              <w:spacing w:before="60" w:after="60"/>
              <w:ind w:left="0" w:right="622" w:hanging="0"/>
              <w:rPr>
                <w:rFonts w:cs="Arial"/>
              </w:rPr>
            </w:pPr>
            <w:r>
              <w:rPr>
                <w:rFonts w:cs="Arial"/>
              </w:rPr>
              <w:t>BL9 0EJ</w:t>
            </w:r>
          </w:p>
        </w:tc>
      </w:tr>
    </w:tbl>
    <w:p>
      <w:pPr>
        <w:pStyle w:val="Caption1"/>
        <w:ind w:left="0" w:right="622" w:hanging="0"/>
        <w:rPr/>
      </w:pPr>
      <w:r>
        <w:rPr/>
        <w:t>Note to manager</w:t>
      </w:r>
    </w:p>
    <w:p>
      <w:pPr>
        <w:pStyle w:val="Normal"/>
        <w:ind w:left="0" w:right="622" w:hanging="0"/>
        <w:rPr/>
      </w:pPr>
      <w:r>
        <w:rPr/>
        <w:t xml:space="preserve">In completing this form you are setting the expected standard for the person you need for this job on this occasion.  Once completed, it will help to create your shortlist of candidates and to devise the questions you ask at interview. Please describe the criterion in ways that are both accurate and capable of being tested.  Above all, the requirements must be job related and non-discriminatory. The job description, person specification and advertisement must be consistent. Each of the criteria must be identified under the </w:t>
      </w:r>
      <w:r>
        <w:rPr>
          <w:b/>
        </w:rPr>
        <w:t>Essential</w:t>
      </w:r>
      <w:r>
        <w:rPr/>
        <w:t xml:space="preserve"> or </w:t>
      </w:r>
      <w:r>
        <w:rPr>
          <w:b/>
        </w:rPr>
        <w:t>Desirable</w:t>
      </w:r>
      <w:r>
        <w:rPr/>
        <w:t xml:space="preserve"> headings. Whilst all criterions are important, those marked </w:t>
      </w:r>
      <w:r>
        <w:rPr>
          <w:b/>
        </w:rPr>
        <w:t>Essential</w:t>
      </w:r>
      <w:r>
        <w:rPr/>
        <w:t xml:space="preserve"> must be met before an interview can be offered. (See Section 6 of the Recruitment and Selection Code of Practice for more information on producing a person specification)</w:t>
      </w:r>
    </w:p>
    <w:p>
      <w:pPr>
        <w:pStyle w:val="Heading4"/>
        <w:pBdr>
          <w:top w:val="single" w:sz="6" w:space="7" w:color="000000"/>
          <w:left w:val="single" w:sz="6" w:space="5" w:color="000000"/>
          <w:bottom w:val="single" w:sz="6" w:space="10" w:color="000000"/>
          <w:right w:val="single" w:sz="6" w:space="14" w:color="000000"/>
        </w:pBdr>
        <w:ind w:left="0" w:right="622" w:hanging="0"/>
        <w:rPr/>
      </w:pPr>
      <w:r>
        <w:rPr/>
        <w:t>Note to applicants</w:t>
      </w:r>
    </w:p>
    <w:p>
      <w:pPr>
        <w:pStyle w:val="Normal"/>
        <w:pBdr>
          <w:top w:val="single" w:sz="6" w:space="7" w:color="000000"/>
          <w:left w:val="single" w:sz="6" w:space="5" w:color="000000"/>
          <w:bottom w:val="single" w:sz="6" w:space="10" w:color="000000"/>
          <w:right w:val="single" w:sz="6" w:space="14" w:color="000000"/>
        </w:pBdr>
        <w:shd w:fill="E5E5E5" w:val="clear"/>
        <w:ind w:left="0" w:right="622" w:hanging="0"/>
        <w:rPr/>
      </w:pPr>
      <w:r>
        <w:rPr/>
        <w:t xml:space="preserve">Whilst all criterions below are important, those under the </w:t>
      </w:r>
      <w:r>
        <w:rPr>
          <w:b/>
        </w:rPr>
        <w:t>Essential</w:t>
      </w:r>
      <w:r>
        <w:rPr/>
        <w:t xml:space="preserve"> heading are the key requirements. You should pay particular attention to these areas and provide evidence of meeting them. Failure to do so may mean that you will not be invited for interview.</w:t>
      </w:r>
    </w:p>
    <w:p>
      <w:pPr>
        <w:pStyle w:val="Normal"/>
        <w:ind w:left="0" w:right="622" w:hanging="0"/>
        <w:rPr>
          <w:b/>
          <w:b/>
        </w:rPr>
      </w:pPr>
      <w:r>
        <w:rPr>
          <w:b/>
        </w:rPr>
        <w:tab/>
        <w:tab/>
        <w:tab/>
        <w:tab/>
        <w:tab/>
        <w:tab/>
        <w:tab/>
        <w:tab/>
        <w:tab/>
        <w:tab/>
        <w:tab/>
        <w:tab/>
        <w:tab/>
        <w:tab/>
        <w:tab/>
        <w:t xml:space="preserve">        </w:t>
        <w:tab/>
        <w:tab/>
        <w:t xml:space="preserve">           (*See grid overleaf)</w:t>
      </w:r>
    </w:p>
    <w:tbl>
      <w:tblPr>
        <w:tblW w:w="15202" w:type="dxa"/>
        <w:jc w:val="left"/>
        <w:tblInd w:w="-12" w:type="dxa"/>
        <w:tblCellMar>
          <w:top w:w="0" w:type="dxa"/>
          <w:left w:w="108" w:type="dxa"/>
          <w:bottom w:w="0" w:type="dxa"/>
          <w:right w:w="108" w:type="dxa"/>
        </w:tblCellMar>
      </w:tblPr>
      <w:tblGrid>
        <w:gridCol w:w="1790"/>
        <w:gridCol w:w="11619"/>
        <w:gridCol w:w="1793"/>
      </w:tblGrid>
      <w:tr>
        <w:trPr>
          <w:tblHeader w:val="true"/>
          <w:trHeight w:val="360" w:hRule="atLeast"/>
        </w:trPr>
        <w:tc>
          <w:tcPr>
            <w:tcW w:w="1790" w:type="dxa"/>
            <w:tcBorders>
              <w:top w:val="single" w:sz="12" w:space="0" w:color="000000"/>
              <w:left w:val="single" w:sz="12" w:space="0" w:color="000000"/>
              <w:bottom w:val="single" w:sz="12" w:space="0" w:color="000000"/>
            </w:tcBorders>
            <w:shd w:fill="E5E5E5" w:val="clear"/>
            <w:vAlign w:val="center"/>
          </w:tcPr>
          <w:p>
            <w:pPr>
              <w:pStyle w:val="Normal"/>
              <w:spacing w:before="60" w:after="60"/>
              <w:ind w:left="0" w:right="622" w:hanging="0"/>
              <w:rPr>
                <w:b/>
                <w:b/>
              </w:rPr>
            </w:pPr>
            <w:r>
              <w:rPr>
                <w:b/>
              </w:rPr>
              <w:t>Essential criteria</w:t>
            </w:r>
          </w:p>
        </w:tc>
        <w:tc>
          <w:tcPr>
            <w:tcW w:w="11619" w:type="dxa"/>
            <w:tcBorders>
              <w:top w:val="single" w:sz="12" w:space="0" w:color="000000"/>
              <w:left w:val="single" w:sz="6" w:space="0" w:color="000000"/>
              <w:bottom w:val="single" w:sz="12" w:space="0" w:color="000000"/>
            </w:tcBorders>
            <w:shd w:fill="E5E5E5" w:val="clear"/>
            <w:vAlign w:val="center"/>
          </w:tcPr>
          <w:p>
            <w:pPr>
              <w:pStyle w:val="Normal"/>
              <w:spacing w:before="60" w:after="60"/>
              <w:ind w:left="0" w:right="622" w:hanging="0"/>
              <w:rPr>
                <w:b/>
                <w:b/>
              </w:rPr>
            </w:pPr>
            <w:r>
              <w:rPr>
                <w:b/>
              </w:rPr>
              <w:t>Necessary requirements – skills, knowledge, experience etc.</w:t>
            </w:r>
          </w:p>
        </w:tc>
        <w:tc>
          <w:tcPr>
            <w:tcW w:w="1793" w:type="dxa"/>
            <w:tcBorders>
              <w:top w:val="single" w:sz="12" w:space="0" w:color="000000"/>
              <w:left w:val="single" w:sz="6" w:space="0" w:color="000000"/>
              <w:bottom w:val="single" w:sz="12" w:space="0" w:color="000000"/>
              <w:right w:val="single" w:sz="12" w:space="0" w:color="000000"/>
            </w:tcBorders>
            <w:shd w:fill="E5E5E5" w:val="clear"/>
            <w:vAlign w:val="center"/>
          </w:tcPr>
          <w:p>
            <w:pPr>
              <w:pStyle w:val="Normal"/>
              <w:spacing w:before="60" w:after="60"/>
              <w:ind w:left="0" w:right="622" w:hanging="0"/>
              <w:rPr>
                <w:b/>
                <w:b/>
              </w:rPr>
            </w:pPr>
            <w:r>
              <w:rPr>
                <w:b/>
              </w:rPr>
              <w:t>* M.O.A.</w:t>
            </w:r>
          </w:p>
        </w:tc>
      </w:tr>
      <w:tr>
        <w:trPr>
          <w:trHeight w:val="358" w:hRule="atLeast"/>
        </w:trPr>
        <w:tc>
          <w:tcPr>
            <w:tcW w:w="1790" w:type="dxa"/>
            <w:tcBorders>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1</w:t>
            </w:r>
          </w:p>
        </w:tc>
        <w:tc>
          <w:tcPr>
            <w:tcW w:w="11619" w:type="dxa"/>
            <w:tcBorders>
              <w:left w:val="single" w:sz="6" w:space="0" w:color="000000"/>
              <w:bottom w:val="single" w:sz="6" w:space="0" w:color="000000"/>
            </w:tcBorders>
            <w:shd w:fill="auto" w:val="clear"/>
          </w:tcPr>
          <w:p>
            <w:pPr>
              <w:pStyle w:val="Normal"/>
              <w:spacing w:before="0" w:after="0"/>
              <w:rPr/>
            </w:pPr>
            <w:r>
              <w:rPr/>
              <w:t>To be suitably qualified and registered with the HCPC as an Educational Psychologist (or due to qualify within 12 months)</w:t>
            </w:r>
          </w:p>
        </w:tc>
        <w:tc>
          <w:tcPr>
            <w:tcW w:w="1793" w:type="dxa"/>
            <w:tcBorders>
              <w:left w:val="single" w:sz="6" w:space="0" w:color="000000"/>
              <w:bottom w:val="single" w:sz="6" w:space="0" w:color="000000"/>
              <w:right w:val="single" w:sz="12" w:space="0" w:color="000000"/>
            </w:tcBorders>
            <w:shd w:fill="auto" w:val="clear"/>
          </w:tcPr>
          <w:p>
            <w:pPr>
              <w:pStyle w:val="Normal"/>
              <w:spacing w:before="60" w:after="60"/>
              <w:ind w:left="0" w:right="622" w:hanging="0"/>
              <w:rPr>
                <w:rFonts w:cs="Arial"/>
                <w:b/>
                <w:b/>
                <w:bCs/>
              </w:rPr>
            </w:pPr>
            <w:r>
              <w:rPr>
                <w:rFonts w:cs="Arial"/>
                <w:b/>
                <w:bCs/>
              </w:rPr>
              <w:t>A</w:t>
            </w:r>
          </w:p>
        </w:tc>
      </w:tr>
      <w:tr>
        <w:trPr>
          <w:trHeight w:val="358" w:hRule="atLeast"/>
        </w:trPr>
        <w:tc>
          <w:tcPr>
            <w:tcW w:w="1790" w:type="dxa"/>
            <w:tcBorders>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2</w:t>
            </w:r>
          </w:p>
        </w:tc>
        <w:tc>
          <w:tcPr>
            <w:tcW w:w="11619" w:type="dxa"/>
            <w:tcBorders>
              <w:left w:val="single" w:sz="6" w:space="0" w:color="000000"/>
              <w:bottom w:val="single" w:sz="6" w:space="0" w:color="000000"/>
            </w:tcBorders>
            <w:shd w:fill="auto" w:val="clear"/>
          </w:tcPr>
          <w:p>
            <w:pPr>
              <w:pStyle w:val="Normal"/>
              <w:spacing w:before="0" w:after="0"/>
              <w:ind w:left="0" w:right="622" w:hanging="0"/>
              <w:rPr/>
            </w:pPr>
            <w:r>
              <w:rPr/>
              <w:t xml:space="preserve">Ability to work at a systemic level with key stakeholders including educational settings. </w:t>
            </w:r>
          </w:p>
        </w:tc>
        <w:tc>
          <w:tcPr>
            <w:tcW w:w="1793" w:type="dxa"/>
            <w:tcBorders>
              <w:left w:val="single" w:sz="6" w:space="0" w:color="000000"/>
              <w:bottom w:val="single" w:sz="6" w:space="0" w:color="000000"/>
              <w:right w:val="single" w:sz="12" w:space="0" w:color="000000"/>
            </w:tcBorders>
            <w:shd w:fill="auto" w:val="clear"/>
          </w:tcPr>
          <w:p>
            <w:pPr>
              <w:pStyle w:val="Normal"/>
              <w:spacing w:before="60" w:after="60"/>
              <w:ind w:left="0" w:right="622" w:hanging="0"/>
              <w:rPr>
                <w:rFonts w:cs="Arial"/>
                <w:b/>
                <w:b/>
                <w:bCs/>
              </w:rPr>
            </w:pPr>
            <w:r>
              <w:rPr>
                <w:rFonts w:cs="Arial"/>
                <w:b/>
                <w:bCs/>
              </w:rPr>
              <w:t>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3</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engage, communicate &amp; work in partnership effectively with children and young people (CYP), carers &amp; members of Children’s Services.</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Heading2"/>
              <w:spacing w:before="60" w:after="60"/>
              <w:ind w:left="0" w:right="622" w:hanging="0"/>
              <w:rPr>
                <w:rFonts w:ascii="Arial" w:hAnsi="Arial" w:cs="Arial"/>
              </w:rPr>
            </w:pPr>
            <w:r>
              <w:rPr>
                <w:rFonts w:cs="Arial" w:ascii="Arial" w:hAnsi="Arial"/>
              </w:rPr>
              <w:t>A/I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4</w:t>
            </w:r>
          </w:p>
        </w:tc>
        <w:tc>
          <w:tcPr>
            <w:tcW w:w="11619" w:type="dxa"/>
            <w:tcBorders>
              <w:top w:val="single" w:sz="6" w:space="0" w:color="000000"/>
              <w:left w:val="single" w:sz="6" w:space="0" w:color="000000"/>
              <w:bottom w:val="single" w:sz="6" w:space="0" w:color="000000"/>
            </w:tcBorders>
            <w:shd w:fill="auto" w:val="clear"/>
          </w:tcPr>
          <w:p>
            <w:pPr>
              <w:pStyle w:val="Normal"/>
              <w:tabs>
                <w:tab w:val="clear" w:pos="720"/>
                <w:tab w:val="left" w:pos="1080" w:leader="none"/>
              </w:tabs>
              <w:spacing w:before="60" w:after="60"/>
              <w:ind w:left="0" w:right="622" w:hanging="0"/>
              <w:rPr/>
            </w:pPr>
            <w:r>
              <w:rPr/>
              <w:t>Ability to form effective working relationships with all commissioners of EP services.</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rFonts w:cs="Arial"/>
                <w:b/>
                <w:b/>
                <w:bCs/>
              </w:rPr>
            </w:pPr>
            <w:r>
              <w:rPr>
                <w:rFonts w:cs="Arial"/>
                <w:b/>
                <w:bCs/>
              </w:rPr>
              <w:t>A/I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5</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apply a wide variety of assessment techniques and interventions across varied settings with CYP 0</w:t>
            </w:r>
            <w:r>
              <w:rPr>
                <w:rFonts w:eastAsia="Wingdings" w:cs="Wingdings" w:ascii="Wingdings" w:hAnsi="Wingdings"/>
              </w:rPr>
              <w:t></w:t>
            </w:r>
            <w:r>
              <w:rPr/>
              <w:t xml:space="preserve"> 25 years.</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rFonts w:cs="Arial"/>
                <w:b/>
                <w:b/>
                <w:bCs/>
              </w:rPr>
            </w:pPr>
            <w:r>
              <w:rPr>
                <w:rFonts w:cs="Arial"/>
                <w:b/>
                <w:bCs/>
              </w:rPr>
              <w:t>A/I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6</w:t>
            </w:r>
          </w:p>
        </w:tc>
        <w:tc>
          <w:tcPr>
            <w:tcW w:w="11619" w:type="dxa"/>
            <w:tcBorders>
              <w:top w:val="single" w:sz="6" w:space="0" w:color="000000"/>
              <w:left w:val="single" w:sz="6" w:space="0" w:color="000000"/>
              <w:bottom w:val="single" w:sz="6" w:space="0" w:color="000000"/>
            </w:tcBorders>
            <w:shd w:fill="auto" w:val="clear"/>
          </w:tcPr>
          <w:p>
            <w:pPr>
              <w:pStyle w:val="Normal"/>
              <w:spacing w:before="60" w:after="60"/>
              <w:ind w:left="0" w:right="622" w:hanging="0"/>
              <w:rPr/>
            </w:pPr>
            <w:r>
              <w:rPr/>
              <w:t>Ability to plan, prioritise &amp; manage a workload effectively within prescribed time-scales.</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pPr>
            <w:r>
              <w:rPr/>
              <w:t>A/I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7</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work both independently &amp; as part of different teams.</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rFonts w:cs="Arial"/>
                <w:b/>
                <w:b/>
                <w:bCs/>
              </w:rPr>
            </w:pPr>
            <w:r>
              <w:rPr>
                <w:rFonts w:cs="Arial"/>
                <w:b/>
                <w:bCs/>
              </w:rPr>
              <w:t>A/I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8</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work to agreed quality standard in terms of report writing &amp; other forms of communication and training.</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b/>
                <w:b/>
              </w:rPr>
            </w:pPr>
            <w:r>
              <w:rPr>
                <w:b/>
              </w:rPr>
              <w:t>A/I</w:t>
            </w:r>
          </w:p>
        </w:tc>
      </w:tr>
      <w:tr>
        <w:trPr>
          <w:trHeight w:val="386"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9</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travel both within and outside Bury in order to complete duties as specified by the PEP.</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b/>
                <w:b/>
              </w:rPr>
            </w:pPr>
            <w:r>
              <w:rPr>
                <w:b/>
              </w:rPr>
              <w:t>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10</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write summative reports that describe progress, outcomes and provision.</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b/>
                <w:b/>
              </w:rPr>
            </w:pPr>
            <w:r>
              <w:rPr>
                <w:b/>
              </w:rPr>
              <w:t>I</w:t>
            </w:r>
          </w:p>
        </w:tc>
      </w:tr>
      <w:tr>
        <w:trPr>
          <w:trHeight w:val="360" w:hRule="atLeast"/>
        </w:trPr>
        <w:tc>
          <w:tcPr>
            <w:tcW w:w="1790" w:type="dxa"/>
            <w:tcBorders>
              <w:top w:val="single" w:sz="6" w:space="0" w:color="000000"/>
              <w:left w:val="single" w:sz="12" w:space="0" w:color="000000"/>
              <w:bottom w:val="single" w:sz="6" w:space="0" w:color="000000"/>
            </w:tcBorders>
            <w:shd w:fill="auto" w:val="clear"/>
          </w:tcPr>
          <w:p>
            <w:pPr>
              <w:pStyle w:val="Normal"/>
              <w:numPr>
                <w:ilvl w:val="0"/>
                <w:numId w:val="2"/>
              </w:numPr>
              <w:spacing w:before="60" w:after="60"/>
              <w:ind w:left="0" w:right="622" w:hanging="360"/>
              <w:rPr/>
            </w:pPr>
            <w:r>
              <w:rPr/>
              <w:t>11</w:t>
            </w:r>
          </w:p>
        </w:tc>
        <w:tc>
          <w:tcPr>
            <w:tcW w:w="11619" w:type="dxa"/>
            <w:tcBorders>
              <w:top w:val="single" w:sz="6" w:space="0" w:color="000000"/>
              <w:left w:val="single" w:sz="6" w:space="0" w:color="000000"/>
              <w:bottom w:val="single" w:sz="6" w:space="0" w:color="000000"/>
            </w:tcBorders>
            <w:shd w:fill="auto" w:val="clear"/>
          </w:tcPr>
          <w:p>
            <w:pPr>
              <w:pStyle w:val="Normal"/>
              <w:spacing w:before="0" w:after="0"/>
              <w:ind w:left="0" w:right="622" w:hanging="0"/>
              <w:rPr/>
            </w:pPr>
            <w:r>
              <w:rPr/>
              <w:t>Ability to make comprehensive links between aspects of the service and wider context of the LA and wider context.</w:t>
            </w:r>
          </w:p>
        </w:tc>
        <w:tc>
          <w:tcPr>
            <w:tcW w:w="1793" w:type="dxa"/>
            <w:tcBorders>
              <w:top w:val="single" w:sz="6" w:space="0" w:color="000000"/>
              <w:left w:val="single" w:sz="6" w:space="0" w:color="000000"/>
              <w:bottom w:val="single" w:sz="6" w:space="0" w:color="000000"/>
              <w:right w:val="single" w:sz="12" w:space="0" w:color="000000"/>
            </w:tcBorders>
            <w:shd w:fill="auto" w:val="clear"/>
          </w:tcPr>
          <w:p>
            <w:pPr>
              <w:pStyle w:val="Normal"/>
              <w:spacing w:before="60" w:after="60"/>
              <w:ind w:left="0" w:right="622" w:hanging="0"/>
              <w:rPr>
                <w:b/>
                <w:b/>
              </w:rPr>
            </w:pPr>
            <w:r>
              <w:rPr>
                <w:b/>
              </w:rPr>
              <w:t>I</w:t>
            </w:r>
          </w:p>
        </w:tc>
      </w:tr>
      <w:tr>
        <w:trPr>
          <w:trHeight w:val="360" w:hRule="atLeast"/>
        </w:trPr>
        <w:tc>
          <w:tcPr>
            <w:tcW w:w="1790" w:type="dxa"/>
            <w:tcBorders>
              <w:top w:val="single" w:sz="6" w:space="0" w:color="000000"/>
              <w:left w:val="single" w:sz="12" w:space="0" w:color="000000"/>
              <w:bottom w:val="single" w:sz="12" w:space="0" w:color="000000"/>
            </w:tcBorders>
            <w:shd w:fill="auto" w:val="clear"/>
          </w:tcPr>
          <w:p>
            <w:pPr>
              <w:pStyle w:val="Normal"/>
              <w:numPr>
                <w:ilvl w:val="0"/>
                <w:numId w:val="2"/>
              </w:numPr>
              <w:spacing w:before="60" w:after="60"/>
              <w:ind w:left="0" w:right="622" w:hanging="360"/>
              <w:rPr/>
            </w:pPr>
            <w:r>
              <w:rPr/>
              <w:t>12</w:t>
            </w:r>
          </w:p>
        </w:tc>
        <w:tc>
          <w:tcPr>
            <w:tcW w:w="11619" w:type="dxa"/>
            <w:tcBorders>
              <w:top w:val="single" w:sz="6" w:space="0" w:color="000000"/>
              <w:left w:val="single" w:sz="6" w:space="0" w:color="000000"/>
              <w:bottom w:val="single" w:sz="12" w:space="0" w:color="000000"/>
            </w:tcBorders>
            <w:shd w:fill="auto" w:val="clear"/>
          </w:tcPr>
          <w:p>
            <w:pPr>
              <w:pStyle w:val="Normal"/>
              <w:spacing w:before="0" w:after="0"/>
              <w:ind w:left="0" w:right="622" w:hanging="0"/>
              <w:rPr>
                <w:rFonts w:cs="Arial"/>
                <w:lang w:eastAsia="en-GB"/>
              </w:rPr>
            </w:pPr>
            <w:r>
              <w:rPr>
                <w:rFonts w:cs="Arial"/>
                <w:lang w:eastAsia="en-GB"/>
              </w:rPr>
              <w:t>To take part in meetings, including service and team, within the Educational Psychology Service.</w:t>
            </w:r>
          </w:p>
        </w:tc>
        <w:tc>
          <w:tcPr>
            <w:tcW w:w="1793" w:type="dxa"/>
            <w:tcBorders>
              <w:top w:val="single" w:sz="6" w:space="0" w:color="000000"/>
              <w:left w:val="single" w:sz="6" w:space="0" w:color="000000"/>
              <w:bottom w:val="single" w:sz="12" w:space="0" w:color="000000"/>
              <w:right w:val="single" w:sz="12" w:space="0" w:color="000000"/>
            </w:tcBorders>
            <w:shd w:fill="auto" w:val="clear"/>
          </w:tcPr>
          <w:p>
            <w:pPr>
              <w:pStyle w:val="Normal"/>
              <w:spacing w:before="60" w:after="60"/>
              <w:ind w:left="0" w:right="622" w:hanging="0"/>
              <w:rPr>
                <w:b/>
                <w:b/>
              </w:rPr>
            </w:pPr>
            <w:r>
              <w:rPr>
                <w:b/>
              </w:rPr>
              <w:t>I</w:t>
            </w:r>
          </w:p>
        </w:tc>
      </w:tr>
    </w:tbl>
    <w:p>
      <w:pPr>
        <w:pStyle w:val="Normal"/>
        <w:ind w:left="0" w:right="622" w:hanging="0"/>
        <w:rPr/>
      </w:pPr>
      <w:r>
        <w:rPr/>
      </w:r>
    </w:p>
    <w:tbl>
      <w:tblPr>
        <w:tblW w:w="15202" w:type="dxa"/>
        <w:jc w:val="left"/>
        <w:tblInd w:w="-12" w:type="dxa"/>
        <w:tblCellMar>
          <w:top w:w="0" w:type="dxa"/>
          <w:left w:w="108" w:type="dxa"/>
          <w:bottom w:w="0" w:type="dxa"/>
          <w:right w:w="108" w:type="dxa"/>
        </w:tblCellMar>
      </w:tblPr>
      <w:tblGrid>
        <w:gridCol w:w="1790"/>
        <w:gridCol w:w="11619"/>
        <w:gridCol w:w="1793"/>
      </w:tblGrid>
      <w:tr>
        <w:trPr>
          <w:trHeight w:val="360" w:hRule="atLeast"/>
        </w:trPr>
        <w:tc>
          <w:tcPr>
            <w:tcW w:w="1790" w:type="dxa"/>
            <w:tcBorders>
              <w:top w:val="single" w:sz="12" w:space="0" w:color="000000"/>
              <w:left w:val="single" w:sz="12" w:space="0" w:color="000000"/>
            </w:tcBorders>
            <w:shd w:fill="E5E5E5" w:val="clear"/>
            <w:vAlign w:val="center"/>
          </w:tcPr>
          <w:p>
            <w:pPr>
              <w:pStyle w:val="Heading1"/>
              <w:spacing w:before="60" w:after="60"/>
              <w:ind w:left="0" w:right="622" w:hanging="0"/>
              <w:rPr>
                <w:sz w:val="20"/>
              </w:rPr>
            </w:pPr>
            <w:r>
              <w:rPr>
                <w:sz w:val="20"/>
              </w:rPr>
              <w:t>Desirable criteria</w:t>
            </w:r>
          </w:p>
        </w:tc>
        <w:tc>
          <w:tcPr>
            <w:tcW w:w="11619" w:type="dxa"/>
            <w:tcBorders>
              <w:top w:val="single" w:sz="12" w:space="0" w:color="000000"/>
              <w:left w:val="single" w:sz="6" w:space="0" w:color="000000"/>
            </w:tcBorders>
            <w:shd w:fill="E5E5E5" w:val="clear"/>
            <w:vAlign w:val="center"/>
          </w:tcPr>
          <w:p>
            <w:pPr>
              <w:pStyle w:val="Normal"/>
              <w:spacing w:before="60" w:after="60"/>
              <w:ind w:left="0" w:right="622" w:hanging="0"/>
              <w:rPr>
                <w:b/>
                <w:b/>
              </w:rPr>
            </w:pPr>
            <w:r>
              <w:rPr>
                <w:b/>
              </w:rPr>
              <w:t>Necessary requirements – skills, knowledge, experience etc.</w:t>
            </w:r>
          </w:p>
        </w:tc>
        <w:tc>
          <w:tcPr>
            <w:tcW w:w="1793" w:type="dxa"/>
            <w:tcBorders>
              <w:top w:val="single" w:sz="12" w:space="0" w:color="000000"/>
              <w:left w:val="single" w:sz="6" w:space="0" w:color="000000"/>
              <w:right w:val="single" w:sz="12" w:space="0" w:color="000000"/>
            </w:tcBorders>
            <w:shd w:fill="E5E5E5" w:val="clear"/>
            <w:vAlign w:val="center"/>
          </w:tcPr>
          <w:p>
            <w:pPr>
              <w:pStyle w:val="Normal"/>
              <w:spacing w:before="60" w:after="60"/>
              <w:ind w:left="0" w:right="622" w:hanging="0"/>
              <w:rPr>
                <w:b/>
                <w:b/>
              </w:rPr>
            </w:pPr>
            <w:r>
              <w:rPr>
                <w:b/>
              </w:rPr>
              <w:t>* M.O.A.</w:t>
            </w:r>
          </w:p>
        </w:tc>
      </w:tr>
      <w:tr>
        <w:trPr>
          <w:trHeight w:val="360" w:hRule="atLeast"/>
        </w:trPr>
        <w:tc>
          <w:tcPr>
            <w:tcW w:w="1790" w:type="dxa"/>
            <w:tcBorders>
              <w:top w:val="single" w:sz="12" w:space="0" w:color="000000"/>
              <w:left w:val="single" w:sz="12" w:space="0" w:color="000000"/>
              <w:bottom w:val="single" w:sz="12" w:space="0" w:color="000000"/>
            </w:tcBorders>
            <w:shd w:fill="auto" w:val="clear"/>
            <w:vAlign w:val="center"/>
          </w:tcPr>
          <w:p>
            <w:pPr>
              <w:pStyle w:val="Normal"/>
              <w:numPr>
                <w:ilvl w:val="0"/>
                <w:numId w:val="3"/>
              </w:numPr>
              <w:spacing w:before="60" w:after="60"/>
              <w:ind w:left="0" w:right="622" w:hanging="360"/>
              <w:rPr/>
            </w:pPr>
            <w:r>
              <w:rPr/>
              <w:t>1</w:t>
            </w:r>
          </w:p>
        </w:tc>
        <w:tc>
          <w:tcPr>
            <w:tcW w:w="11619" w:type="dxa"/>
            <w:tcBorders>
              <w:top w:val="single" w:sz="12" w:space="0" w:color="000000"/>
              <w:left w:val="single" w:sz="6" w:space="0" w:color="000000"/>
              <w:bottom w:val="single" w:sz="12" w:space="0" w:color="000000"/>
            </w:tcBorders>
            <w:shd w:fill="auto" w:val="clear"/>
            <w:vAlign w:val="center"/>
          </w:tcPr>
          <w:p>
            <w:pPr>
              <w:pStyle w:val="Normal"/>
              <w:spacing w:before="60" w:after="60"/>
              <w:ind w:left="0" w:right="622" w:hanging="0"/>
              <w:rPr/>
            </w:pPr>
            <w:r>
              <w:rPr/>
              <w:t>Previous experience of working across the age range 0-25.</w:t>
            </w:r>
          </w:p>
        </w:tc>
        <w:tc>
          <w:tcPr>
            <w:tcW w:w="1793"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spacing w:before="60" w:after="60"/>
              <w:ind w:left="0" w:right="622" w:hanging="0"/>
              <w:rPr>
                <w:b/>
                <w:b/>
              </w:rPr>
            </w:pPr>
            <w:r>
              <w:rPr>
                <w:b/>
              </w:rPr>
              <w:t>I/A</w:t>
            </w:r>
          </w:p>
        </w:tc>
      </w:tr>
      <w:tr>
        <w:trPr>
          <w:trHeight w:val="360" w:hRule="atLeast"/>
        </w:trPr>
        <w:tc>
          <w:tcPr>
            <w:tcW w:w="1790" w:type="dxa"/>
            <w:tcBorders>
              <w:top w:val="single" w:sz="12" w:space="0" w:color="000000"/>
              <w:left w:val="single" w:sz="12" w:space="0" w:color="000000"/>
              <w:bottom w:val="single" w:sz="12" w:space="0" w:color="000000"/>
            </w:tcBorders>
            <w:shd w:fill="auto" w:val="clear"/>
            <w:vAlign w:val="center"/>
          </w:tcPr>
          <w:p>
            <w:pPr>
              <w:pStyle w:val="Normal"/>
              <w:numPr>
                <w:ilvl w:val="0"/>
                <w:numId w:val="3"/>
              </w:numPr>
              <w:spacing w:before="60" w:after="60"/>
              <w:ind w:left="0" w:right="622" w:hanging="360"/>
              <w:rPr/>
            </w:pPr>
            <w:r>
              <w:rPr/>
              <w:t>2</w:t>
            </w:r>
          </w:p>
        </w:tc>
        <w:tc>
          <w:tcPr>
            <w:tcW w:w="11619" w:type="dxa"/>
            <w:tcBorders>
              <w:top w:val="single" w:sz="12" w:space="0" w:color="000000"/>
              <w:left w:val="single" w:sz="6" w:space="0" w:color="000000"/>
              <w:bottom w:val="single" w:sz="12" w:space="0" w:color="000000"/>
            </w:tcBorders>
            <w:shd w:fill="auto" w:val="clear"/>
            <w:vAlign w:val="center"/>
          </w:tcPr>
          <w:p>
            <w:pPr>
              <w:pStyle w:val="Normal"/>
              <w:spacing w:before="60" w:after="60"/>
              <w:ind w:left="0" w:right="622" w:hanging="0"/>
              <w:rPr/>
            </w:pPr>
            <w:r>
              <w:rPr/>
              <w:t>Experience of delivering training to professionals and/ or parents.</w:t>
            </w:r>
          </w:p>
        </w:tc>
        <w:tc>
          <w:tcPr>
            <w:tcW w:w="1793"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spacing w:before="60" w:after="60"/>
              <w:ind w:left="0" w:right="622" w:hanging="0"/>
              <w:rPr>
                <w:b/>
                <w:b/>
              </w:rPr>
            </w:pPr>
            <w:r>
              <w:rPr>
                <w:b/>
              </w:rPr>
              <w:t>I/A</w:t>
            </w:r>
          </w:p>
        </w:tc>
      </w:tr>
      <w:tr>
        <w:trPr>
          <w:trHeight w:val="360" w:hRule="atLeast"/>
        </w:trPr>
        <w:tc>
          <w:tcPr>
            <w:tcW w:w="1790" w:type="dxa"/>
            <w:tcBorders>
              <w:top w:val="single" w:sz="12" w:space="0" w:color="000000"/>
              <w:left w:val="single" w:sz="12" w:space="0" w:color="000000"/>
              <w:bottom w:val="single" w:sz="12" w:space="0" w:color="000000"/>
            </w:tcBorders>
            <w:shd w:fill="auto" w:val="clear"/>
            <w:vAlign w:val="center"/>
          </w:tcPr>
          <w:p>
            <w:pPr>
              <w:pStyle w:val="Normal"/>
              <w:spacing w:before="60" w:after="60"/>
              <w:ind w:left="0" w:right="622" w:hanging="0"/>
              <w:rPr/>
            </w:pPr>
            <w:r>
              <w:rPr/>
              <w:t>3</w:t>
            </w:r>
          </w:p>
        </w:tc>
        <w:tc>
          <w:tcPr>
            <w:tcW w:w="11619" w:type="dxa"/>
            <w:tcBorders>
              <w:top w:val="single" w:sz="12" w:space="0" w:color="000000"/>
              <w:left w:val="single" w:sz="6" w:space="0" w:color="000000"/>
              <w:bottom w:val="single" w:sz="12" w:space="0" w:color="000000"/>
            </w:tcBorders>
            <w:shd w:fill="auto" w:val="clear"/>
            <w:vAlign w:val="center"/>
          </w:tcPr>
          <w:p>
            <w:pPr>
              <w:pStyle w:val="Normal"/>
              <w:spacing w:before="60" w:after="60"/>
              <w:ind w:left="0" w:right="622" w:hanging="0"/>
              <w:rPr/>
            </w:pPr>
            <w:r>
              <w:rPr/>
              <w:t xml:space="preserve">Experience of gathering and advocating or CYP views and aspirations. </w:t>
            </w:r>
          </w:p>
        </w:tc>
        <w:tc>
          <w:tcPr>
            <w:tcW w:w="1793"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spacing w:before="60" w:after="60"/>
              <w:ind w:left="0" w:right="622" w:hanging="0"/>
              <w:rPr>
                <w:b/>
                <w:b/>
              </w:rPr>
            </w:pPr>
            <w:r>
              <w:rPr>
                <w:b/>
              </w:rPr>
              <w:t>I/A</w:t>
            </w:r>
          </w:p>
        </w:tc>
      </w:tr>
      <w:tr>
        <w:trPr>
          <w:trHeight w:val="360" w:hRule="atLeast"/>
        </w:trPr>
        <w:tc>
          <w:tcPr>
            <w:tcW w:w="1790" w:type="dxa"/>
            <w:tcBorders>
              <w:top w:val="single" w:sz="12" w:space="0" w:color="000000"/>
              <w:left w:val="single" w:sz="12" w:space="0" w:color="000000"/>
              <w:bottom w:val="single" w:sz="12" w:space="0" w:color="000000"/>
            </w:tcBorders>
            <w:shd w:fill="auto" w:val="clear"/>
            <w:vAlign w:val="center"/>
          </w:tcPr>
          <w:p>
            <w:pPr>
              <w:pStyle w:val="Normal"/>
              <w:snapToGrid w:val="false"/>
              <w:spacing w:before="60" w:after="60"/>
              <w:ind w:left="0" w:right="622" w:hanging="0"/>
              <w:rPr/>
            </w:pPr>
            <w:r>
              <w:rPr/>
            </w:r>
          </w:p>
        </w:tc>
        <w:tc>
          <w:tcPr>
            <w:tcW w:w="11619" w:type="dxa"/>
            <w:tcBorders>
              <w:top w:val="single" w:sz="12" w:space="0" w:color="000000"/>
              <w:left w:val="single" w:sz="6" w:space="0" w:color="000000"/>
              <w:bottom w:val="single" w:sz="12" w:space="0" w:color="000000"/>
            </w:tcBorders>
            <w:shd w:fill="auto" w:val="clear"/>
            <w:vAlign w:val="center"/>
          </w:tcPr>
          <w:p>
            <w:pPr>
              <w:pStyle w:val="Normal"/>
              <w:snapToGrid w:val="false"/>
              <w:spacing w:before="60" w:after="60"/>
              <w:ind w:left="0" w:right="622" w:hanging="0"/>
              <w:rPr/>
            </w:pPr>
            <w:r>
              <w:rPr/>
            </w:r>
          </w:p>
        </w:tc>
        <w:tc>
          <w:tcPr>
            <w:tcW w:w="1793"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snapToGrid w:val="false"/>
              <w:spacing w:before="60" w:after="60"/>
              <w:ind w:left="0" w:right="622" w:hanging="0"/>
              <w:rPr/>
            </w:pPr>
            <w:r>
              <w:rPr/>
            </w:r>
          </w:p>
        </w:tc>
      </w:tr>
    </w:tbl>
    <w:p>
      <w:pPr>
        <w:pStyle w:val="Normal"/>
        <w:ind w:left="0" w:right="622" w:hanging="0"/>
        <w:rPr/>
      </w:pPr>
      <w:r>
        <w:rPr/>
      </w:r>
    </w:p>
    <w:p>
      <w:pPr>
        <w:pStyle w:val="Normal"/>
        <w:ind w:left="0" w:right="622" w:hanging="0"/>
        <w:rPr>
          <w:b/>
          <w:b/>
        </w:rPr>
      </w:pPr>
      <w:r>
        <w:rPr>
          <w:b/>
        </w:rPr>
      </w:r>
    </w:p>
    <w:tbl>
      <w:tblPr>
        <w:tblW w:w="15188" w:type="dxa"/>
        <w:jc w:val="left"/>
        <w:tblInd w:w="0" w:type="dxa"/>
        <w:tblCellMar>
          <w:top w:w="0" w:type="dxa"/>
          <w:left w:w="108" w:type="dxa"/>
          <w:bottom w:w="0" w:type="dxa"/>
          <w:right w:w="108" w:type="dxa"/>
        </w:tblCellMar>
      </w:tblPr>
      <w:tblGrid>
        <w:gridCol w:w="4697"/>
        <w:gridCol w:w="2569"/>
        <w:gridCol w:w="5138"/>
        <w:gridCol w:w="2784"/>
      </w:tblGrid>
      <w:tr>
        <w:trPr/>
        <w:tc>
          <w:tcPr>
            <w:tcW w:w="4697" w:type="dxa"/>
            <w:tcBorders>
              <w:top w:val="single" w:sz="6" w:space="0" w:color="000000"/>
              <w:left w:val="single" w:sz="6" w:space="0" w:color="000000"/>
              <w:bottom w:val="single" w:sz="6" w:space="0" w:color="000000"/>
            </w:tcBorders>
            <w:shd w:fill="E5E5E5" w:val="clear"/>
          </w:tcPr>
          <w:p>
            <w:pPr>
              <w:pStyle w:val="Normal"/>
              <w:spacing w:before="60" w:after="60"/>
              <w:ind w:left="0" w:right="622" w:hanging="0"/>
              <w:rPr>
                <w:b/>
                <w:b/>
              </w:rPr>
            </w:pPr>
            <w:r>
              <w:rPr>
                <w:b/>
              </w:rPr>
              <w:t>Completed by</w:t>
            </w:r>
          </w:p>
        </w:tc>
        <w:tc>
          <w:tcPr>
            <w:tcW w:w="2569" w:type="dxa"/>
            <w:tcBorders>
              <w:top w:val="single" w:sz="6" w:space="0" w:color="000000"/>
              <w:left w:val="single" w:sz="6" w:space="0" w:color="000000"/>
              <w:bottom w:val="single" w:sz="6" w:space="0" w:color="000000"/>
            </w:tcBorders>
            <w:shd w:fill="E5E5E5" w:val="clear"/>
          </w:tcPr>
          <w:p>
            <w:pPr>
              <w:pStyle w:val="Normal"/>
              <w:spacing w:before="60" w:after="60"/>
              <w:ind w:left="0" w:right="622" w:hanging="0"/>
              <w:rPr>
                <w:b/>
                <w:b/>
              </w:rPr>
            </w:pPr>
            <w:r>
              <w:rPr>
                <w:b/>
              </w:rPr>
              <w:t>Date</w:t>
            </w:r>
          </w:p>
        </w:tc>
        <w:tc>
          <w:tcPr>
            <w:tcW w:w="5138" w:type="dxa"/>
            <w:tcBorders>
              <w:top w:val="single" w:sz="6" w:space="0" w:color="000000"/>
              <w:left w:val="single" w:sz="6" w:space="0" w:color="000000"/>
              <w:bottom w:val="single" w:sz="6" w:space="0" w:color="000000"/>
            </w:tcBorders>
            <w:shd w:fill="E5E5E5" w:val="clear"/>
          </w:tcPr>
          <w:p>
            <w:pPr>
              <w:pStyle w:val="Normal"/>
              <w:spacing w:before="60" w:after="60"/>
              <w:ind w:left="0" w:right="622" w:hanging="0"/>
              <w:rPr>
                <w:b/>
                <w:b/>
              </w:rPr>
            </w:pPr>
            <w:r>
              <w:rPr>
                <w:b/>
              </w:rPr>
              <w:t>Approved by</w:t>
            </w:r>
          </w:p>
        </w:tc>
        <w:tc>
          <w:tcPr>
            <w:tcW w:w="2784" w:type="dxa"/>
            <w:tcBorders>
              <w:top w:val="single" w:sz="6" w:space="0" w:color="000000"/>
              <w:left w:val="single" w:sz="6" w:space="0" w:color="000000"/>
              <w:bottom w:val="single" w:sz="6" w:space="0" w:color="000000"/>
              <w:right w:val="single" w:sz="6" w:space="0" w:color="000000"/>
            </w:tcBorders>
            <w:shd w:fill="E5E5E5" w:val="clear"/>
          </w:tcPr>
          <w:p>
            <w:pPr>
              <w:pStyle w:val="Normal"/>
              <w:spacing w:before="60" w:after="60"/>
              <w:ind w:left="0" w:right="622" w:hanging="0"/>
              <w:rPr>
                <w:b/>
                <w:b/>
              </w:rPr>
            </w:pPr>
            <w:r>
              <w:rPr>
                <w:b/>
              </w:rPr>
              <w:t>Date</w:t>
            </w:r>
          </w:p>
        </w:tc>
      </w:tr>
      <w:tr>
        <w:trPr/>
        <w:tc>
          <w:tcPr>
            <w:tcW w:w="4697" w:type="dxa"/>
            <w:tcBorders>
              <w:top w:val="single" w:sz="6" w:space="0" w:color="000000"/>
              <w:left w:val="single" w:sz="6" w:space="0" w:color="000000"/>
              <w:bottom w:val="single" w:sz="6" w:space="0" w:color="000000"/>
            </w:tcBorders>
            <w:shd w:fill="auto" w:val="clear"/>
          </w:tcPr>
          <w:p>
            <w:pPr>
              <w:pStyle w:val="Normal"/>
              <w:spacing w:before="60" w:after="60"/>
              <w:ind w:left="0" w:right="622" w:hanging="0"/>
              <w:rPr>
                <w:b/>
                <w:b/>
              </w:rPr>
            </w:pPr>
            <w:r>
              <w:rPr>
                <w:b/>
              </w:rPr>
              <w:t>Jawad Shah</w:t>
            </w:r>
          </w:p>
        </w:tc>
        <w:tc>
          <w:tcPr>
            <w:tcW w:w="2569" w:type="dxa"/>
            <w:tcBorders>
              <w:top w:val="single" w:sz="6" w:space="0" w:color="000000"/>
              <w:left w:val="single" w:sz="6" w:space="0" w:color="000000"/>
              <w:bottom w:val="single" w:sz="6" w:space="0" w:color="000000"/>
            </w:tcBorders>
            <w:shd w:fill="auto" w:val="clear"/>
          </w:tcPr>
          <w:p>
            <w:pPr>
              <w:pStyle w:val="Normal"/>
              <w:spacing w:before="60" w:after="60"/>
              <w:ind w:left="0" w:right="622" w:hanging="0"/>
              <w:rPr>
                <w:b/>
                <w:b/>
              </w:rPr>
            </w:pPr>
            <w:r>
              <w:rPr>
                <w:b/>
              </w:rPr>
              <w:t>July 2026</w:t>
            </w:r>
          </w:p>
        </w:tc>
        <w:tc>
          <w:tcPr>
            <w:tcW w:w="5138" w:type="dxa"/>
            <w:tcBorders>
              <w:top w:val="single" w:sz="6" w:space="0" w:color="000000"/>
              <w:left w:val="single" w:sz="6" w:space="0" w:color="000000"/>
              <w:bottom w:val="single" w:sz="6" w:space="0" w:color="000000"/>
            </w:tcBorders>
            <w:shd w:fill="auto" w:val="clear"/>
          </w:tcPr>
          <w:p>
            <w:pPr>
              <w:pStyle w:val="Normal"/>
              <w:snapToGrid w:val="false"/>
              <w:spacing w:before="60" w:after="60"/>
              <w:ind w:left="0" w:right="622" w:hanging="0"/>
              <w:rPr>
                <w:b/>
                <w:b/>
              </w:rPr>
            </w:pPr>
            <w:r>
              <w:rPr>
                <w:b/>
              </w:rPr>
            </w:r>
          </w:p>
        </w:tc>
        <w:tc>
          <w:tcPr>
            <w:tcW w:w="278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spacing w:before="60" w:after="60"/>
              <w:ind w:left="0" w:right="622" w:hanging="0"/>
              <w:rPr>
                <w:b/>
                <w:b/>
              </w:rPr>
            </w:pPr>
            <w:r>
              <w:rPr>
                <w:b/>
              </w:rPr>
            </w:r>
          </w:p>
        </w:tc>
      </w:tr>
    </w:tbl>
    <w:p>
      <w:pPr>
        <w:pStyle w:val="Normal"/>
        <w:ind w:left="0" w:right="622" w:hanging="0"/>
        <w:rPr>
          <w:b/>
          <w:b/>
        </w:rPr>
      </w:pPr>
      <w:r>
        <w:rPr>
          <w:b/>
        </w:rPr>
      </w:r>
    </w:p>
    <w:p>
      <w:pPr>
        <w:pStyle w:val="Normal"/>
        <w:ind w:left="0" w:right="622" w:hanging="0"/>
        <w:rPr>
          <w:b/>
          <w:b/>
        </w:rPr>
      </w:pPr>
      <w:r>
        <w:rPr>
          <w:b/>
        </w:rPr>
        <w:t>Method of assessment (* M.O.A.)</w:t>
      </w:r>
    </w:p>
    <w:p>
      <w:pPr>
        <w:pStyle w:val="Normal"/>
        <w:ind w:left="0" w:right="622" w:hanging="0"/>
        <w:rPr>
          <w:b/>
          <w:b/>
        </w:rPr>
      </w:pPr>
      <w:r>
        <w:rPr>
          <w:b/>
        </w:rPr>
      </w:r>
    </w:p>
    <w:p>
      <w:pPr>
        <w:pStyle w:val="Normal"/>
        <w:ind w:left="0" w:right="622" w:hanging="0"/>
        <w:rPr/>
      </w:pPr>
      <w:r>
        <w:rPr>
          <w:b/>
        </w:rPr>
        <w:t xml:space="preserve">A = </w:t>
      </w:r>
      <w:r>
        <w:rPr/>
        <w:t>Application form</w:t>
      </w:r>
      <w:r>
        <w:rPr>
          <w:b/>
        </w:rPr>
        <w:t xml:space="preserve">,    C = </w:t>
      </w:r>
      <w:r>
        <w:rPr/>
        <w:t>Certificate</w:t>
      </w:r>
      <w:r>
        <w:rPr>
          <w:b/>
        </w:rPr>
        <w:t xml:space="preserve">,    E = </w:t>
      </w:r>
      <w:r>
        <w:rPr/>
        <w:t>Exercise</w:t>
      </w:r>
      <w:r>
        <w:rPr>
          <w:b/>
        </w:rPr>
        <w:t>,    I</w:t>
      </w:r>
      <w:r>
        <w:rPr/>
        <w:t xml:space="preserve"> </w:t>
      </w:r>
      <w:r>
        <w:rPr>
          <w:b/>
        </w:rPr>
        <w:t xml:space="preserve">= </w:t>
      </w:r>
      <w:r>
        <w:rPr/>
        <w:t>Interview</w:t>
      </w:r>
      <w:r>
        <w:rPr>
          <w:b/>
        </w:rPr>
        <w:t xml:space="preserve">,    P = </w:t>
      </w:r>
      <w:r>
        <w:rPr/>
        <w:t>Presentation</w:t>
      </w:r>
      <w:r>
        <w:rPr>
          <w:b/>
        </w:rPr>
        <w:t xml:space="preserve">,    T = </w:t>
      </w:r>
      <w:r>
        <w:rPr/>
        <w:t>Test</w:t>
      </w:r>
      <w:r>
        <w:rPr>
          <w:b/>
        </w:rPr>
        <w:t xml:space="preserve">,    AC = </w:t>
      </w:r>
      <w:r>
        <w:rPr/>
        <w:t>Assessment centre</w:t>
      </w:r>
      <w:r>
        <w:rPr>
          <w:b/>
        </w:rPr>
        <w:tab/>
      </w:r>
    </w:p>
    <w:p>
      <w:pPr>
        <w:pStyle w:val="Normal"/>
        <w:tabs>
          <w:tab w:val="clear" w:pos="720"/>
          <w:tab w:val="left" w:pos="-720" w:leader="none"/>
        </w:tabs>
        <w:suppressAutoHyphens w:val="true"/>
        <w:ind w:left="0" w:right="622" w:hanging="0"/>
        <w:rPr>
          <w:rFonts w:ascii="Helvetica;Arial" w:hAnsi="Helvetica;Arial" w:cs="Helvetica;Arial"/>
        </w:rPr>
      </w:pPr>
      <w:r>
        <w:rPr>
          <w:rFonts w:cs="Helvetica;Arial" w:ascii="Helvetica;Arial" w:hAnsi="Helvetica;Arial"/>
        </w:rPr>
      </w:r>
    </w:p>
    <w:p>
      <w:pPr>
        <w:pStyle w:val="Normal"/>
        <w:tabs>
          <w:tab w:val="clear" w:pos="720"/>
          <w:tab w:val="left" w:pos="-720" w:leader="none"/>
        </w:tabs>
        <w:suppressAutoHyphens w:val="true"/>
        <w:spacing w:before="60" w:after="60"/>
        <w:ind w:left="0" w:right="622" w:hanging="0"/>
        <w:jc w:val="both"/>
        <w:rPr>
          <w:rFonts w:ascii="Helvetica;Arial" w:hAnsi="Helvetica;Arial" w:cs="Helvetica;Arial"/>
        </w:rPr>
      </w:pPr>
      <w:r>
        <w:rPr>
          <w:rFonts w:cs="Helvetica;Arial" w:ascii="Helvetica;Arial" w:hAnsi="Helvetica;Arial"/>
        </w:rPr>
      </w:r>
    </w:p>
    <w:sectPr>
      <w:type w:val="nextPage"/>
      <w:pgSz w:orient="landscape" w:w="16838" w:h="11906"/>
      <w:pgMar w:left="737" w:right="737" w:header="0" w:top="992" w:footer="0" w:bottom="851"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Tahoma">
    <w:charset w:val="00"/>
    <w:family w:val="roman"/>
    <w:pitch w:val="variable"/>
  </w:font>
  <w:font w:name="Liberation Sans">
    <w:altName w:val="Arial"/>
    <w:charset w:val="00"/>
    <w:family w:val="roman"/>
    <w:pitch w:val="variable"/>
  </w:font>
  <w:font w:name="Wingding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rPr/>
    </w:lvl>
    <w:lvl w:ilvl="1">
      <w:start w:val="1"/>
      <w:pStyle w:val="Heading2"/>
      <w:numFmt w:val="none"/>
      <w:suff w:val="nothing"/>
      <w:lvlText w:val=""/>
      <w:lvlJc w:val="left"/>
      <w:pPr>
        <w:ind w:left="0" w:hanging="0"/>
      </w:pPr>
      <w:rPr/>
    </w:lvl>
    <w:lvl w:ilvl="2">
      <w:start w:val="1"/>
      <w:pStyle w:val="Heading3"/>
      <w:numFmt w:val="none"/>
      <w:suff w:val="nothing"/>
      <w:lvlText w:val=""/>
      <w:lvlJc w:val="left"/>
      <w:pPr>
        <w:ind w:left="0" w:hanging="0"/>
      </w:pPr>
      <w:rPr/>
    </w:lvl>
    <w:lvl w:ilvl="3">
      <w:start w:val="1"/>
      <w:pStyle w:val="Heading4"/>
      <w:numFmt w:val="none"/>
      <w:suff w:val="nothing"/>
      <w:lvlText w:val=""/>
      <w:lvlJc w:val="left"/>
      <w:pPr>
        <w:ind w:left="0" w:hanging="0"/>
      </w:pPr>
      <w:rPr/>
    </w:lvl>
    <w:lvl w:ilvl="4">
      <w:start w:val="1"/>
      <w:pStyle w:val="Heading5"/>
      <w:numFmt w:val="none"/>
      <w:suff w:val="nothing"/>
      <w:lvlText w:val=""/>
      <w:lvlJc w:val="left"/>
      <w:pPr>
        <w:ind w:left="0" w:hanging="0"/>
      </w:pPr>
      <w:rPr/>
    </w:lvl>
    <w:lvl w:ilvl="5">
      <w:start w:val="1"/>
      <w:pStyle w:val="Heading6"/>
      <w:numFmt w:val="none"/>
      <w:suff w:val="nothing"/>
      <w:lvlText w:val=""/>
      <w:lvlJc w:val="left"/>
      <w:pPr>
        <w:ind w:left="0" w:hanging="0"/>
      </w:pPr>
      <w:rPr/>
    </w:lvl>
    <w:lvl w:ilvl="6">
      <w:start w:val="1"/>
      <w:pStyle w:val="Heading7"/>
      <w:numFmt w:val="none"/>
      <w:suff w:val="nothing"/>
      <w:lvlText w:val=""/>
      <w:lvlJc w:val="left"/>
      <w:pPr>
        <w:ind w:left="0" w:hanging="0"/>
      </w:pPr>
      <w:r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rFonts w:eastAsia="Calibri"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60" w:after="60"/>
      <w:jc w:val="left"/>
    </w:pPr>
    <w:rPr>
      <w:rFonts w:ascii="Arial" w:hAnsi="Arial"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outlineLvl w:val="0"/>
    </w:pPr>
    <w:rPr>
      <w:b/>
      <w:sz w:val="24"/>
    </w:rPr>
  </w:style>
  <w:style w:type="paragraph" w:styleId="Heading2">
    <w:name w:val="Heading 2"/>
    <w:basedOn w:val="Normal"/>
    <w:next w:val="Normal"/>
    <w:qFormat/>
    <w:pPr>
      <w:keepNext w:val="true"/>
      <w:numPr>
        <w:ilvl w:val="1"/>
        <w:numId w:val="1"/>
      </w:numPr>
      <w:outlineLvl w:val="1"/>
    </w:pPr>
    <w:rPr>
      <w:rFonts w:ascii="Helvetica;Arial" w:hAnsi="Helvetica;Arial" w:cs="Helvetica;Arial"/>
      <w:b/>
    </w:rPr>
  </w:style>
  <w:style w:type="paragraph" w:styleId="Heading3">
    <w:name w:val="Heading 3"/>
    <w:basedOn w:val="Normal"/>
    <w:next w:val="Normal"/>
    <w:qFormat/>
    <w:pPr>
      <w:keepNext w:val="true"/>
      <w:numPr>
        <w:ilvl w:val="2"/>
        <w:numId w:val="1"/>
      </w:numPr>
      <w:pBdr>
        <w:top w:val="single" w:sz="6" w:space="1" w:color="000000"/>
        <w:left w:val="single" w:sz="6" w:space="1" w:color="000000"/>
        <w:bottom w:val="single" w:sz="6" w:space="31" w:color="000000"/>
        <w:right w:val="single" w:sz="6" w:space="1" w:color="000000"/>
      </w:pBdr>
      <w:ind w:left="720" w:right="-327" w:hanging="720"/>
      <w:jc w:val="both"/>
      <w:outlineLvl w:val="2"/>
    </w:pPr>
    <w:rPr>
      <w:rFonts w:ascii="Helvetica;Arial" w:hAnsi="Helvetica;Arial" w:cs="Helvetica;Arial"/>
      <w:b/>
      <w:sz w:val="24"/>
    </w:rPr>
  </w:style>
  <w:style w:type="paragraph" w:styleId="Heading4">
    <w:name w:val="Heading 4"/>
    <w:basedOn w:val="Normal"/>
    <w:next w:val="Normal"/>
    <w:qFormat/>
    <w:pPr>
      <w:keepNext w:val="true"/>
      <w:numPr>
        <w:ilvl w:val="3"/>
        <w:numId w:val="1"/>
      </w:numPr>
      <w:tabs>
        <w:tab w:val="clear" w:pos="720"/>
        <w:tab w:val="left" w:pos="-720" w:leader="none"/>
      </w:tabs>
      <w:suppressAutoHyphens w:val="true"/>
      <w:ind w:left="-142" w:right="0" w:hanging="0"/>
      <w:outlineLvl w:val="3"/>
    </w:pPr>
    <w:rPr>
      <w:rFonts w:ascii="Helvetica;Arial" w:hAnsi="Helvetica;Arial" w:cs="Helvetica;Arial"/>
      <w:b/>
    </w:rPr>
  </w:style>
  <w:style w:type="paragraph" w:styleId="Heading5">
    <w:name w:val="Heading 5"/>
    <w:basedOn w:val="Normal"/>
    <w:next w:val="Normal"/>
    <w:qFormat/>
    <w:pPr>
      <w:keepNext w:val="true"/>
      <w:numPr>
        <w:ilvl w:val="4"/>
        <w:numId w:val="1"/>
      </w:numPr>
      <w:ind w:left="0" w:right="-327" w:hanging="0"/>
      <w:jc w:val="both"/>
      <w:outlineLvl w:val="4"/>
    </w:pPr>
    <w:rPr>
      <w:rFonts w:ascii="Helvetica;Arial" w:hAnsi="Helvetica;Arial" w:cs="Helvetica;Arial"/>
      <w:b/>
      <w:sz w:val="24"/>
    </w:rPr>
  </w:style>
  <w:style w:type="paragraph" w:styleId="Heading6">
    <w:name w:val="Heading 6"/>
    <w:basedOn w:val="Normal"/>
    <w:next w:val="Normal"/>
    <w:qFormat/>
    <w:pPr>
      <w:keepNext w:val="true"/>
      <w:numPr>
        <w:ilvl w:val="5"/>
        <w:numId w:val="1"/>
      </w:numPr>
      <w:jc w:val="both"/>
      <w:outlineLvl w:val="5"/>
    </w:pPr>
    <w:rPr>
      <w:b/>
      <w:sz w:val="24"/>
    </w:rPr>
  </w:style>
  <w:style w:type="paragraph" w:styleId="Heading7">
    <w:name w:val="Heading 7"/>
    <w:basedOn w:val="Normal"/>
    <w:next w:val="Normal"/>
    <w:qFormat/>
    <w:pPr>
      <w:keepNext w:val="true"/>
      <w:numPr>
        <w:ilvl w:val="6"/>
        <w:numId w:val="1"/>
      </w:numPr>
      <w:pBdr>
        <w:top w:val="single" w:sz="6" w:space="7" w:color="000000"/>
        <w:left w:val="single" w:sz="6" w:space="5" w:color="000000"/>
        <w:bottom w:val="single" w:sz="6" w:space="10" w:color="000000"/>
        <w:right w:val="single" w:sz="6" w:space="14" w:color="000000"/>
      </w:pBdr>
      <w:shd w:fill="E5E5E5" w:val="clear"/>
      <w:ind w:left="0" w:right="249" w:hanging="0"/>
      <w:outlineLvl w:val="6"/>
    </w:pPr>
    <w:rPr>
      <w:b/>
      <w:bC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eastAsia="Calibri" w:cs="Arial"/>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lang w:eastAsia="en-U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Arial" w:hAnsi="Arial" w:cs="Arial"/>
      <w:lang w:eastAsia="en-US"/>
    </w:rPr>
  </w:style>
  <w:style w:type="character" w:styleId="CommentSubjectChar">
    <w:name w:val="Comment Subject Char"/>
    <w:basedOn w:val="CommentTextChar"/>
    <w:qFormat/>
    <w:rPr>
      <w:rFonts w:ascii="Arial" w:hAnsi="Arial" w:cs="Arial"/>
      <w:b/>
      <w:bCs/>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pBdr>
        <w:top w:val="single" w:sz="4" w:space="1" w:color="000000"/>
        <w:left w:val="single" w:sz="4" w:space="4" w:color="000000"/>
        <w:bottom w:val="single" w:sz="4" w:space="1" w:color="000000"/>
        <w:right w:val="single" w:sz="4" w:space="4" w:color="000000"/>
      </w:pBdr>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4"/>
    </w:rPr>
  </w:style>
  <w:style w:type="paragraph" w:styleId="Footer">
    <w:name w:val="Footer"/>
    <w:basedOn w:val="Normal"/>
    <w:pPr>
      <w:tabs>
        <w:tab w:val="clear" w:pos="720"/>
        <w:tab w:val="center" w:pos="4153" w:leader="none"/>
        <w:tab w:val="right" w:pos="8306" w:leader="none"/>
      </w:tabs>
    </w:pPr>
    <w:rPr>
      <w:sz w:val="24"/>
    </w:rPr>
  </w:style>
  <w:style w:type="paragraph" w:styleId="TextBodyIndent">
    <w:name w:val="Body Text Indent"/>
    <w:basedOn w:val="Normal"/>
    <w:pPr>
      <w:ind w:left="-142" w:right="0" w:hanging="0"/>
      <w:jc w:val="both"/>
    </w:pPr>
    <w:rPr>
      <w:b/>
      <w:sz w:val="22"/>
    </w:rPr>
  </w:style>
  <w:style w:type="paragraph" w:styleId="BodyTextIndent2">
    <w:name w:val="Body Text Indent 2"/>
    <w:basedOn w:val="Normal"/>
    <w:qFormat/>
    <w:pPr>
      <w:ind w:left="142" w:right="0" w:hanging="0"/>
    </w:pPr>
    <w:rPr/>
  </w:style>
  <w:style w:type="paragraph" w:styleId="Caption1">
    <w:name w:val="caption"/>
    <w:basedOn w:val="Normal"/>
    <w:next w:val="Normal"/>
    <w:qFormat/>
    <w:pPr/>
    <w:rPr>
      <w:b/>
    </w:rPr>
  </w:style>
  <w:style w:type="paragraph" w:styleId="BalloonText">
    <w:name w:val="Balloon Text"/>
    <w:basedOn w:val="Normal"/>
    <w:qFormat/>
    <w:pPr>
      <w:spacing w:before="0" w:after="0"/>
    </w:pPr>
    <w:rPr>
      <w:rFonts w:ascii="Tahoma" w:hAnsi="Tahoma" w:cs="Tahoma"/>
      <w:sz w:val="16"/>
      <w:szCs w:val="16"/>
    </w:rPr>
  </w:style>
  <w:style w:type="paragraph" w:styleId="ListParagraph">
    <w:name w:val="List Paragraph"/>
    <w:basedOn w:val="Normal"/>
    <w:qFormat/>
    <w:pPr>
      <w:spacing w:before="60" w:after="60"/>
      <w:ind w:left="720" w:right="0" w:hanging="0"/>
      <w:contextualSpacing/>
    </w:pPr>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0"/>
      <w:szCs w:val="20"/>
      <w:lang w:val="en-GB" w:eastAsia="en-US" w:bidi="ar-SA"/>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rub</Template>
  <TotalTime>7</TotalTime>
  <Application>LibreOffice/6.3.4.2$Windows_X86_64 LibreOffice_project/60da17e045e08f1793c57c00ba83cdfce946d0aa</Application>
  <Company>City of Salford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2026-07-22T15:50:00Z</dcterms:created>
  <dc:creator>Sue Parkinson</dc:creator>
  <dc:description/>
  <dc:language>en-US</dc:language>
  <cp:lastModifiedBy>Shah, Dr Jawad</cp:lastModifiedBy>
  <cp:lastPrinted>1995-11-21T17:41:00Z</cp:lastPrinted>
  <dcterms:modified xsi:type="dcterms:W3CDTF">2026-07-22T15:57:00Z</dcterms:modified>
  <cp:revision>10</cp:revision>
  <dc:subject/>
  <dc:title>JOB DESCRIPTION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Salford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