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9550" cy="6115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9550" cy="611505"/>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115" w:type="dxa"/>
        <w:tblCellMar>
          <w:top w:w="0" w:type="dxa"/>
          <w:left w:w="108" w:type="dxa"/>
          <w:bottom w:w="0" w:type="dxa"/>
          <w:right w:w="108" w:type="dxa"/>
        </w:tblCellMar>
      </w:tblPr>
      <w:tblGrid>
        <w:gridCol w:w="4428"/>
        <w:gridCol w:w="723"/>
        <w:gridCol w:w="2711"/>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xml:space="preserve">: </w:t>
            </w:r>
            <w:r>
              <w:rPr/>
              <w:t>Staying Well Co-ordinator</w:t>
            </w:r>
            <w:r>
              <w:rPr>
                <w:rFonts w:cs="Arial"/>
              </w:rPr>
              <w:t xml:space="preserve"> </w:t>
            </w:r>
          </w:p>
        </w:tc>
      </w:tr>
      <w:tr>
        <w:trPr>
          <w:cantSplit w:val="true"/>
        </w:trPr>
        <w:tc>
          <w:tcPr>
            <w:tcW w:w="51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xml:space="preserve">: </w:t>
            </w:r>
            <w:r>
              <w:rPr/>
              <w:t>Health &amp; Adult Care</w:t>
            </w:r>
          </w:p>
        </w:tc>
        <w:tc>
          <w:tcPr>
            <w:tcW w:w="5315"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1"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Staying Well Team</w:t>
            </w:r>
          </w:p>
        </w:tc>
        <w:tc>
          <w:tcPr>
            <w:tcW w:w="5315"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9</w:t>
            </w:r>
          </w:p>
        </w:tc>
      </w:tr>
      <w:tr>
        <w:trPr>
          <w:trHeight w:val="720" w:hRule="atLeast"/>
          <w:cantSplit w:val="true"/>
        </w:trPr>
        <w:tc>
          <w:tcPr>
            <w:tcW w:w="51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Textile Hall</w:t>
            </w:r>
          </w:p>
        </w:tc>
        <w:tc>
          <w:tcPr>
            <w:tcW w:w="5315"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p>
          <w:p>
            <w:pPr>
              <w:pStyle w:val="Normal"/>
              <w:numPr>
                <w:ilvl w:val="0"/>
                <w:numId w:val="2"/>
              </w:numPr>
              <w:tabs>
                <w:tab w:val="clear" w:pos="720"/>
                <w:tab w:val="left" w:pos="567" w:leader="none"/>
              </w:tabs>
              <w:spacing w:lineRule="auto" w:line="240" w:before="40" w:after="40"/>
              <w:jc w:val="both"/>
              <w:rPr>
                <w:rFonts w:cs="Arial"/>
              </w:rPr>
            </w:pPr>
            <w:r>
              <w:rPr>
                <w:rFonts w:cs="Arial"/>
              </w:rPr>
              <w:t>The nature of this post is not always predictable and will require the post holder to work flexibly and outside of normal working hours to meet service requirements</w:t>
            </w:r>
          </w:p>
          <w:p>
            <w:pPr>
              <w:pStyle w:val="Normal"/>
              <w:numPr>
                <w:ilvl w:val="0"/>
                <w:numId w:val="2"/>
              </w:numPr>
              <w:tabs>
                <w:tab w:val="clear" w:pos="720"/>
                <w:tab w:val="left" w:pos="567" w:leader="none"/>
              </w:tabs>
              <w:spacing w:lineRule="auto" w:line="240" w:before="40" w:after="40"/>
              <w:jc w:val="both"/>
              <w:rPr>
                <w:rFonts w:cs="Arial"/>
              </w:rPr>
            </w:pPr>
            <w:r>
              <w:rPr>
                <w:rFonts w:cs="Arial"/>
              </w:rPr>
              <w:t>Ability to travel inside and outside the Borough, on occasion transporting service users, carers ,or colleagues as required for which expenses will be payable in accordance with the council’s conditions of service</w:t>
            </w:r>
          </w:p>
          <w:p>
            <w:pPr>
              <w:pStyle w:val="Normal"/>
              <w:keepLines/>
              <w:numPr>
                <w:ilvl w:val="0"/>
                <w:numId w:val="2"/>
              </w:numPr>
              <w:spacing w:lineRule="auto" w:line="240" w:before="40" w:after="40"/>
              <w:jc w:val="both"/>
              <w:rPr/>
            </w:pPr>
            <w:r>
              <w:rPr/>
              <w:t>Satisfactory DBS disclosure at the enhanced level to be renewed in line with the authority’s timescales</w:t>
            </w:r>
          </w:p>
          <w:p>
            <w:pPr>
              <w:pStyle w:val="Normal"/>
              <w:keepLines/>
              <w:numPr>
                <w:ilvl w:val="0"/>
                <w:numId w:val="3"/>
              </w:numPr>
              <w:tabs>
                <w:tab w:val="clear" w:pos="720"/>
                <w:tab w:val="left" w:pos="356" w:leader="none"/>
              </w:tabs>
              <w:spacing w:lineRule="auto" w:line="240" w:before="60" w:after="60"/>
              <w:ind w:left="360" w:right="0" w:hanging="360"/>
              <w:rPr>
                <w:rFonts w:cs="Arial"/>
              </w:rPr>
            </w:pPr>
            <w:r>
              <w:rPr>
                <w:rFonts w:cs="Arial"/>
              </w:rPr>
              <w:t>Extended flexi time scheme in operation</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keepLines/>
              <w:spacing w:before="40" w:after="40"/>
              <w:jc w:val="both"/>
              <w:rPr>
                <w:rFonts w:cs="Arial"/>
              </w:rPr>
            </w:pPr>
            <w:r>
              <w:rPr>
                <w:rFonts w:cs="Arial"/>
              </w:rPr>
              <w:t>Improve health, well-being and quality of life enabling people to stay healthy, happy and promote independence in their own homes by reducing risk and preventing future crisis.</w:t>
            </w:r>
          </w:p>
          <w:p>
            <w:pPr>
              <w:pStyle w:val="Normal"/>
              <w:keepLines/>
              <w:spacing w:before="120" w:after="120"/>
              <w:jc w:val="both"/>
              <w:rPr/>
            </w:pPr>
            <w:r>
              <w:rPr>
                <w:rFonts w:cs="Arial"/>
              </w:rPr>
              <w:t xml:space="preserve">To ensure an effective customer journey through the service via good customer service, high quality care co – ordination specific to an individual’s needs by means of one to one support to offer </w:t>
            </w:r>
            <w:r>
              <w:rPr/>
              <w:t>personalised support, advice or assistance.</w:t>
            </w:r>
          </w:p>
          <w:p>
            <w:pPr>
              <w:pStyle w:val="Normal"/>
              <w:tabs>
                <w:tab w:val="clear" w:pos="720"/>
                <w:tab w:val="left" w:pos="567" w:leader="none"/>
              </w:tabs>
              <w:spacing w:lineRule="auto" w:line="240" w:before="40" w:after="40"/>
              <w:jc w:val="both"/>
              <w:rPr>
                <w:rFonts w:cs="Arial"/>
              </w:rPr>
            </w:pPr>
            <w:r>
              <w:rPr>
                <w:rFonts w:cs="Arial"/>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Executive Director of Communities and Wellbeing</w:t>
            </w:r>
            <w:r>
              <w:rPr/>
              <w:t xml:space="preserve">  </w:t>
            </w:r>
            <w:r>
              <w:rPr>
                <w:rFonts w:cs="Arial"/>
              </w:rPr>
              <w:t xml:space="preserve">  </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xml:space="preserve">: </w:t>
            </w:r>
            <w:r>
              <w:rPr/>
              <w:t>Team Leader– Staying Well Team</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xml:space="preserve">: </w:t>
            </w:r>
          </w:p>
        </w:tc>
      </w:tr>
      <w:tr>
        <w:trPr>
          <w:trHeight w:val="2223"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keepLines/>
              <w:numPr>
                <w:ilvl w:val="0"/>
                <w:numId w:val="5"/>
              </w:numPr>
              <w:tabs>
                <w:tab w:val="clear" w:pos="720"/>
                <w:tab w:val="left" w:pos="4320" w:leader="none"/>
              </w:tabs>
              <w:spacing w:lineRule="exact" w:line="240" w:before="0" w:after="0"/>
              <w:rPr/>
            </w:pPr>
            <w:r>
              <w:rPr/>
              <w:t>All staff within the Department and across the Council.</w:t>
            </w:r>
          </w:p>
          <w:p>
            <w:pPr>
              <w:pStyle w:val="Normal"/>
              <w:keepLines/>
              <w:numPr>
                <w:ilvl w:val="0"/>
                <w:numId w:val="5"/>
              </w:numPr>
              <w:tabs>
                <w:tab w:val="clear" w:pos="720"/>
                <w:tab w:val="left" w:pos="4320" w:leader="none"/>
              </w:tabs>
              <w:spacing w:lineRule="exact" w:line="240" w:before="0" w:after="0"/>
              <w:rPr/>
            </w:pPr>
            <w:r>
              <w:rPr/>
              <w:t>Bury NHS Trust, Community Healthcare Bury, Pennine Acute Trust, 3</w:t>
            </w:r>
            <w:r>
              <w:rPr>
                <w:vertAlign w:val="superscript"/>
              </w:rPr>
              <w:t>rd</w:t>
            </w:r>
            <w:r>
              <w:rPr/>
              <w:t xml:space="preserve"> Sector and independent organisations, Police, Housing Providers, DWP and other statutory organisations </w:t>
            </w:r>
          </w:p>
          <w:p>
            <w:pPr>
              <w:pStyle w:val="ListParagraph"/>
              <w:numPr>
                <w:ilvl w:val="0"/>
                <w:numId w:val="5"/>
              </w:numPr>
              <w:tabs>
                <w:tab w:val="clear" w:pos="720"/>
                <w:tab w:val="left" w:pos="4320" w:leader="none"/>
              </w:tabs>
              <w:spacing w:before="120" w:after="120"/>
              <w:contextualSpacing/>
              <w:rPr/>
            </w:pPr>
            <w:r>
              <w:rPr/>
              <w:t>Customers, carers, and members of the public.</w:t>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numPr>
                <w:ilvl w:val="0"/>
                <w:numId w:val="4"/>
              </w:numPr>
              <w:tabs>
                <w:tab w:val="clear" w:pos="720"/>
                <w:tab w:val="left" w:pos="567" w:leader="none"/>
              </w:tabs>
              <w:spacing w:lineRule="auto" w:line="240" w:before="40" w:after="40"/>
              <w:jc w:val="both"/>
              <w:rPr>
                <w:rFonts w:cs="Arial"/>
              </w:rPr>
            </w:pPr>
            <w:r>
              <w:rPr>
                <w:rFonts w:cs="Arial"/>
              </w:rPr>
              <w:t>Mobile phones and office equipment</w:t>
            </w:r>
          </w:p>
          <w:p>
            <w:pPr>
              <w:pStyle w:val="Normal"/>
              <w:numPr>
                <w:ilvl w:val="0"/>
                <w:numId w:val="4"/>
              </w:numPr>
              <w:tabs>
                <w:tab w:val="clear" w:pos="720"/>
                <w:tab w:val="left" w:pos="567" w:leader="none"/>
              </w:tabs>
              <w:spacing w:lineRule="auto" w:line="240" w:before="40" w:after="40"/>
              <w:jc w:val="both"/>
              <w:rPr>
                <w:rFonts w:cs="Arial"/>
              </w:rPr>
            </w:pPr>
            <w:r>
              <w:rPr>
                <w:rFonts w:cs="Arial"/>
              </w:rPr>
              <w:t>ICT equipment</w:t>
            </w:r>
          </w:p>
          <w:p>
            <w:pPr>
              <w:pStyle w:val="Normal"/>
              <w:numPr>
                <w:ilvl w:val="0"/>
                <w:numId w:val="4"/>
              </w:numPr>
              <w:tabs>
                <w:tab w:val="clear" w:pos="720"/>
                <w:tab w:val="left" w:pos="567" w:leader="none"/>
              </w:tabs>
              <w:spacing w:lineRule="auto" w:line="240" w:before="40" w:after="40"/>
              <w:jc w:val="both"/>
              <w:rPr>
                <w:rFonts w:cs="Arial"/>
              </w:rPr>
            </w:pPr>
            <w:r>
              <w:rPr>
                <w:rFonts w:cs="Arial"/>
              </w:rPr>
              <w:t>Other resources delegated to the postholder</w:t>
            </w:r>
          </w:p>
          <w:p>
            <w:pPr>
              <w:pStyle w:val="ListParagraph"/>
              <w:spacing w:before="120" w:after="120"/>
              <w:ind w:left="360" w:right="0" w:hanging="0"/>
              <w:contextualSpacing/>
              <w:rPr>
                <w:rFonts w:cs="Arial"/>
              </w:rPr>
            </w:pPr>
            <w:r>
              <w:rPr>
                <w:rFonts w:cs="Arial"/>
              </w:rPr>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rPr>
                <w:rFonts w:cs="Arial"/>
                <w:b/>
                <w:b/>
              </w:rPr>
            </w:pPr>
            <w:r>
              <w:rPr>
                <w:rFonts w:cs="Arial"/>
                <w:b/>
              </w:rPr>
              <w:t>Responsibilities</w:t>
            </w:r>
          </w:p>
          <w:p>
            <w:pPr>
              <w:pStyle w:val="Normal"/>
              <w:numPr>
                <w:ilvl w:val="0"/>
                <w:numId w:val="6"/>
              </w:numPr>
              <w:spacing w:lineRule="auto" w:line="264" w:before="0" w:after="0"/>
              <w:rPr>
                <w:rFonts w:cs="Arial"/>
              </w:rPr>
            </w:pPr>
            <w:r>
              <w:rPr>
                <w:rFonts w:cs="Arial"/>
              </w:rPr>
              <w:t>Using a defined ‘Staying Well’ Checklist tool to identify potential risks/needs to improve the health and wellbeing of a defined group of GP practice patients during a person centred home based visit.</w:t>
            </w:r>
          </w:p>
          <w:p>
            <w:pPr>
              <w:pStyle w:val="Normal"/>
              <w:spacing w:lineRule="auto" w:line="264" w:before="0" w:after="0"/>
              <w:ind w:left="720" w:right="0" w:hanging="0"/>
              <w:rPr>
                <w:rFonts w:cs="Arial"/>
              </w:rPr>
            </w:pPr>
            <w:r>
              <w:rPr>
                <w:rFonts w:cs="Arial"/>
              </w:rPr>
            </w:r>
          </w:p>
          <w:p>
            <w:pPr>
              <w:pStyle w:val="Normal"/>
              <w:numPr>
                <w:ilvl w:val="0"/>
                <w:numId w:val="6"/>
              </w:numPr>
              <w:spacing w:lineRule="auto" w:line="264" w:before="0" w:after="0"/>
              <w:rPr>
                <w:rFonts w:cs="Arial"/>
              </w:rPr>
            </w:pPr>
            <w:r>
              <w:rPr>
                <w:rFonts w:cs="Arial"/>
              </w:rPr>
              <w:t>To identify individual and community assets to promote self help and empowerment amongst Staying Well clients</w:t>
            </w:r>
          </w:p>
          <w:p>
            <w:pPr>
              <w:pStyle w:val="ListParagraph"/>
              <w:rPr>
                <w:rFonts w:cs="Arial"/>
              </w:rPr>
            </w:pPr>
            <w:r>
              <w:rPr>
                <w:rFonts w:cs="Arial"/>
              </w:rPr>
            </w:r>
          </w:p>
          <w:p>
            <w:pPr>
              <w:pStyle w:val="Normal"/>
              <w:numPr>
                <w:ilvl w:val="0"/>
                <w:numId w:val="6"/>
              </w:numPr>
              <w:ind w:left="720" w:right="26" w:hanging="360"/>
              <w:jc w:val="both"/>
              <w:rPr>
                <w:rFonts w:cs="Arial"/>
              </w:rPr>
            </w:pPr>
            <w:r>
              <w:rPr>
                <w:rFonts w:cs="Arial"/>
              </w:rPr>
              <w:t>To support and advocate for the individual ensuring they are able to access appropriate support and services to enhance quality of life and maintain their independence.</w:t>
            </w:r>
          </w:p>
          <w:p>
            <w:pPr>
              <w:pStyle w:val="Normal"/>
              <w:numPr>
                <w:ilvl w:val="0"/>
                <w:numId w:val="6"/>
              </w:numPr>
              <w:ind w:left="720" w:right="26" w:hanging="360"/>
              <w:jc w:val="both"/>
              <w:rPr>
                <w:rFonts w:cs="Arial"/>
              </w:rPr>
            </w:pPr>
            <w:r>
              <w:rPr>
                <w:rFonts w:cs="Arial"/>
              </w:rPr>
              <w:t>To organise and facilitate client group sessions to maximise client outcomes and promote peer support amongst clients who have been through the service.</w:t>
            </w:r>
          </w:p>
          <w:p>
            <w:pPr>
              <w:pStyle w:val="Normal"/>
              <w:numPr>
                <w:ilvl w:val="0"/>
                <w:numId w:val="6"/>
              </w:numPr>
              <w:spacing w:lineRule="auto" w:line="240" w:before="0" w:after="0"/>
              <w:rPr>
                <w:rFonts w:cs="Arial"/>
              </w:rPr>
            </w:pPr>
            <w:r>
              <w:rPr>
                <w:rFonts w:cs="Arial"/>
              </w:rPr>
              <w:t>To undertake and maintain accurate and comprehensive data collection to inform project evaluation</w:t>
            </w:r>
          </w:p>
          <w:p>
            <w:pPr>
              <w:pStyle w:val="Normal"/>
              <w:ind w:left="720" w:right="0" w:hanging="0"/>
              <w:rPr>
                <w:rFonts w:cs="Arial"/>
              </w:rPr>
            </w:pPr>
            <w:r>
              <w:rPr>
                <w:rFonts w:cs="Arial"/>
              </w:rPr>
            </w:r>
          </w:p>
          <w:p>
            <w:pPr>
              <w:pStyle w:val="Normal"/>
              <w:numPr>
                <w:ilvl w:val="0"/>
                <w:numId w:val="6"/>
              </w:numPr>
              <w:spacing w:lineRule="auto" w:line="240" w:before="0" w:after="0"/>
              <w:rPr>
                <w:rFonts w:cs="Arial"/>
              </w:rPr>
            </w:pPr>
            <w:r>
              <w:rPr>
                <w:rFonts w:cs="Arial"/>
              </w:rPr>
              <w:t>To build and maintain positive working relationships with GP practices, services and other key stakeholders of the project</w:t>
            </w:r>
          </w:p>
          <w:p>
            <w:pPr>
              <w:pStyle w:val="ListParagraph"/>
              <w:rPr>
                <w:rFonts w:cs="Arial"/>
              </w:rPr>
            </w:pPr>
            <w:r>
              <w:rPr>
                <w:rFonts w:cs="Arial"/>
              </w:rPr>
            </w:r>
          </w:p>
          <w:p>
            <w:pPr>
              <w:pStyle w:val="Normal"/>
              <w:rPr>
                <w:b/>
                <w:b/>
              </w:rPr>
            </w:pPr>
            <w:r>
              <w:rPr>
                <w:b/>
              </w:rPr>
              <w:t>Main Duties</w:t>
            </w:r>
          </w:p>
          <w:p>
            <w:pPr>
              <w:pStyle w:val="Normal"/>
              <w:rPr/>
            </w:pPr>
            <w:r>
              <w:rPr/>
            </w:r>
          </w:p>
          <w:p>
            <w:pPr>
              <w:pStyle w:val="Normal"/>
              <w:rPr>
                <w:rFonts w:cs="Arial"/>
              </w:rPr>
            </w:pPr>
            <w:r>
              <w:rPr>
                <w:rFonts w:cs="Arial"/>
              </w:rPr>
              <w:t>To identify ways of enabling patients and their carers selected from defined GP practices /Adult Social Services in Bury to stay well and maintain their independence.</w:t>
            </w:r>
          </w:p>
          <w:p>
            <w:pPr>
              <w:pStyle w:val="Normal"/>
              <w:ind w:left="720" w:right="0" w:hanging="0"/>
              <w:rPr>
                <w:rFonts w:cs="Arial"/>
              </w:rPr>
            </w:pPr>
            <w:r>
              <w:rPr>
                <w:rFonts w:cs="Arial"/>
              </w:rPr>
            </w:r>
          </w:p>
          <w:p>
            <w:pPr>
              <w:pStyle w:val="Normal"/>
              <w:numPr>
                <w:ilvl w:val="0"/>
                <w:numId w:val="10"/>
              </w:numPr>
              <w:spacing w:lineRule="auto" w:line="240" w:before="0" w:after="0"/>
              <w:contextualSpacing/>
              <w:rPr/>
            </w:pPr>
            <w:r>
              <w:rPr/>
              <w:t>To liaise with GP practice/Adult Social Services staff to produce a list of contacts in line with project criteria</w:t>
            </w:r>
          </w:p>
          <w:p>
            <w:pPr>
              <w:pStyle w:val="Normal"/>
              <w:numPr>
                <w:ilvl w:val="0"/>
                <w:numId w:val="10"/>
              </w:numPr>
              <w:spacing w:lineRule="auto" w:line="264" w:before="0" w:after="0"/>
              <w:contextualSpacing/>
              <w:rPr/>
            </w:pPr>
            <w:r>
              <w:rPr/>
              <w:t>To work with the Hospital SW Teams to identify those patients due for discharge that may require support when home to prevent repeat admissions.</w:t>
            </w:r>
          </w:p>
          <w:p>
            <w:pPr>
              <w:pStyle w:val="Normal"/>
              <w:numPr>
                <w:ilvl w:val="0"/>
                <w:numId w:val="10"/>
              </w:numPr>
              <w:spacing w:lineRule="auto" w:line="240" w:before="0" w:after="0"/>
              <w:contextualSpacing/>
              <w:rPr/>
            </w:pPr>
            <w:r>
              <w:rPr/>
              <w:t>To explore various methods to invite and arrange appointments for home-based person centred conversation with the aim of maximising up take, using persuasive and motivational skills.</w:t>
            </w:r>
          </w:p>
          <w:p>
            <w:pPr>
              <w:pStyle w:val="Normal"/>
              <w:numPr>
                <w:ilvl w:val="0"/>
                <w:numId w:val="10"/>
              </w:numPr>
              <w:spacing w:lineRule="auto" w:line="264" w:before="0" w:after="0"/>
              <w:contextualSpacing/>
              <w:rPr/>
            </w:pPr>
            <w:r>
              <w:rPr/>
              <w:t>To work closely with Neighbourhood Hubs and attend weekly meetings with all partners to identify individuals that will benefit from  support</w:t>
            </w:r>
          </w:p>
          <w:p>
            <w:pPr>
              <w:pStyle w:val="Normal"/>
              <w:numPr>
                <w:ilvl w:val="0"/>
                <w:numId w:val="10"/>
              </w:numPr>
              <w:spacing w:lineRule="auto" w:line="240" w:before="0" w:after="0"/>
              <w:contextualSpacing/>
              <w:rPr/>
            </w:pPr>
            <w:r>
              <w:rPr/>
              <w:t>This will involve providing and receiving complex personal sensitive information, where persuasive, motivational, negotiating, empathic and re-assurance skills are required. For example having a conversation about managing personal finances, emotional well-being, hobbies and interests, and personal health,</w:t>
            </w:r>
            <w:r>
              <w:rPr>
                <w:rFonts w:cs="Arial"/>
              </w:rPr>
              <w:t xml:space="preserve"> </w:t>
            </w:r>
            <w:r>
              <w:rPr/>
              <w:t>with the aim of finding out existing and</w:t>
            </w:r>
            <w:r>
              <w:rPr>
                <w:rFonts w:cs="Arial"/>
              </w:rPr>
              <w:t xml:space="preserve"> </w:t>
            </w:r>
            <w:r>
              <w:rPr/>
              <w:t>potential needs/issues/barriers and assets.</w:t>
            </w:r>
          </w:p>
          <w:p>
            <w:pPr>
              <w:pStyle w:val="Normal"/>
              <w:numPr>
                <w:ilvl w:val="0"/>
                <w:numId w:val="10"/>
              </w:numPr>
              <w:spacing w:lineRule="auto" w:line="240" w:before="0" w:after="0"/>
              <w:contextualSpacing/>
              <w:rPr/>
            </w:pPr>
            <w:r>
              <w:rPr/>
              <w:t>To work with individuals to identify actions and solutions that can be taken up to help maintain independence and enhance quality of life with the aim of maximising self-management. This will include providing and receiving of personal or delicate information.</w:t>
            </w:r>
          </w:p>
          <w:p>
            <w:pPr>
              <w:pStyle w:val="Normal"/>
              <w:numPr>
                <w:ilvl w:val="0"/>
                <w:numId w:val="10"/>
              </w:numPr>
              <w:spacing w:lineRule="auto" w:line="240" w:before="0" w:after="0"/>
              <w:contextualSpacing/>
              <w:rPr/>
            </w:pPr>
            <w:r>
              <w:rPr/>
              <w:t>Contribute to the safeguarding of adults by adhering to Bury’s Multi- Agency Safeguarding Adults Policy and Procedures.</w:t>
            </w:r>
          </w:p>
          <w:p>
            <w:pPr>
              <w:pStyle w:val="Normal"/>
              <w:spacing w:before="0" w:after="200"/>
              <w:ind w:left="720" w:right="0" w:hanging="0"/>
              <w:contextualSpacing/>
              <w:rPr/>
            </w:pPr>
            <w:r>
              <w:rPr/>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rPr>
                <w:rFonts w:cs="Arial"/>
              </w:rPr>
            </w:pPr>
            <w:r>
              <w:rPr>
                <w:rFonts w:cs="Arial"/>
              </w:rPr>
              <w:t>To support the patient and their carer to identify and access help to remain independent</w:t>
            </w:r>
          </w:p>
          <w:p>
            <w:pPr>
              <w:pStyle w:val="Normal"/>
              <w:spacing w:before="0" w:after="200"/>
              <w:ind w:left="720" w:right="0" w:hanging="0"/>
              <w:contextualSpacing/>
              <w:rPr/>
            </w:pPr>
            <w:r>
              <w:rPr/>
            </w:r>
          </w:p>
          <w:p>
            <w:pPr>
              <w:pStyle w:val="Normal"/>
              <w:numPr>
                <w:ilvl w:val="0"/>
                <w:numId w:val="8"/>
              </w:numPr>
              <w:spacing w:lineRule="auto" w:line="264" w:before="0" w:after="0"/>
              <w:ind w:left="709" w:right="0" w:hanging="283"/>
              <w:rPr/>
            </w:pPr>
            <w:r>
              <w:rPr/>
              <w:t>To effectively and productively manage client caseload ensuring the best client outcomes</w:t>
            </w:r>
          </w:p>
          <w:p>
            <w:pPr>
              <w:pStyle w:val="Normal"/>
              <w:numPr>
                <w:ilvl w:val="0"/>
                <w:numId w:val="8"/>
              </w:numPr>
              <w:spacing w:lineRule="auto" w:line="264" w:before="0" w:after="0"/>
              <w:ind w:left="709" w:right="0" w:hanging="283"/>
              <w:rPr/>
            </w:pPr>
            <w:r>
              <w:rPr/>
              <w:t xml:space="preserve">To work closely with (Integrated Care Neighbourhood Teams) ensuring best client outcomes </w:t>
            </w:r>
          </w:p>
          <w:p>
            <w:pPr>
              <w:pStyle w:val="Normal"/>
              <w:numPr>
                <w:ilvl w:val="0"/>
                <w:numId w:val="8"/>
              </w:numPr>
              <w:spacing w:lineRule="auto" w:line="240" w:before="0" w:after="0"/>
              <w:ind w:left="709" w:right="0" w:hanging="283"/>
              <w:contextualSpacing/>
              <w:rPr/>
            </w:pPr>
            <w:r>
              <w:rPr/>
              <w:t>To identify sources of help and support through service databases, community networks and research</w:t>
            </w:r>
          </w:p>
          <w:p>
            <w:pPr>
              <w:pStyle w:val="Normal"/>
              <w:numPr>
                <w:ilvl w:val="0"/>
                <w:numId w:val="8"/>
              </w:numPr>
              <w:spacing w:lineRule="auto" w:line="240" w:before="0" w:after="0"/>
              <w:ind w:left="709" w:right="0" w:hanging="283"/>
              <w:contextualSpacing/>
              <w:rPr/>
            </w:pPr>
            <w:r>
              <w:rPr/>
              <w:t>To refer into the relevant support services</w:t>
            </w:r>
          </w:p>
          <w:p>
            <w:pPr>
              <w:pStyle w:val="Normal"/>
              <w:numPr>
                <w:ilvl w:val="0"/>
                <w:numId w:val="8"/>
              </w:numPr>
              <w:spacing w:lineRule="auto" w:line="240" w:before="0" w:after="0"/>
              <w:ind w:left="709" w:right="0" w:hanging="283"/>
              <w:contextualSpacing/>
              <w:rPr/>
            </w:pPr>
            <w:r>
              <w:rPr/>
              <w:t>To provide guidance, advice and information to patients/carers and their families on the availability of support and help on a range of issues relevant to their needs</w:t>
            </w:r>
          </w:p>
          <w:p>
            <w:pPr>
              <w:pStyle w:val="Normal"/>
              <w:numPr>
                <w:ilvl w:val="0"/>
                <w:numId w:val="8"/>
              </w:numPr>
              <w:spacing w:lineRule="auto" w:line="240" w:before="0" w:after="0"/>
              <w:ind w:left="709" w:right="0" w:hanging="283"/>
              <w:contextualSpacing/>
              <w:rPr/>
            </w:pPr>
            <w:r>
              <w:rPr/>
              <w:t>To build positive empathetic and working relationships with the patient, their carer, family, services, support groups and projects to enable communication and tailoring of patient centred provision.</w:t>
            </w:r>
          </w:p>
          <w:p>
            <w:pPr>
              <w:pStyle w:val="Normal"/>
              <w:numPr>
                <w:ilvl w:val="0"/>
                <w:numId w:val="8"/>
              </w:numPr>
              <w:spacing w:lineRule="auto" w:line="240" w:before="0" w:after="0"/>
              <w:ind w:left="709" w:right="0" w:hanging="283"/>
              <w:contextualSpacing/>
              <w:rPr/>
            </w:pPr>
            <w:r>
              <w:rPr/>
              <w:t>To support and advocate for individuals in a timely, resourceful and flexible manner to ensure their needs are addressed, looking beyond usual service options.</w:t>
            </w:r>
          </w:p>
          <w:p>
            <w:pPr>
              <w:pStyle w:val="Normal"/>
              <w:numPr>
                <w:ilvl w:val="0"/>
                <w:numId w:val="8"/>
              </w:numPr>
              <w:spacing w:lineRule="auto" w:line="240" w:before="0" w:after="0"/>
              <w:ind w:left="709" w:right="0" w:hanging="283"/>
              <w:contextualSpacing/>
              <w:rPr/>
            </w:pPr>
            <w:r>
              <w:rPr/>
              <w:t>To motivate, support and encourage individuals to make behaviour changes</w:t>
            </w:r>
          </w:p>
          <w:p>
            <w:pPr>
              <w:pStyle w:val="Normal"/>
              <w:numPr>
                <w:ilvl w:val="0"/>
                <w:numId w:val="8"/>
              </w:numPr>
              <w:spacing w:lineRule="auto" w:line="240" w:before="0" w:after="0"/>
              <w:ind w:left="709" w:right="0" w:hanging="283"/>
              <w:contextualSpacing/>
              <w:rPr/>
            </w:pPr>
            <w:r>
              <w:rPr/>
              <w:t>To identify individual and community assets to create a self-help culture empowering individuals to support others and themselves</w:t>
            </w:r>
          </w:p>
          <w:p>
            <w:pPr>
              <w:pStyle w:val="Normal"/>
              <w:numPr>
                <w:ilvl w:val="0"/>
                <w:numId w:val="8"/>
              </w:numPr>
              <w:spacing w:lineRule="auto" w:line="240" w:before="0" w:after="0"/>
              <w:ind w:left="709" w:right="0" w:hanging="283"/>
              <w:contextualSpacing/>
              <w:rPr/>
            </w:pPr>
            <w:r>
              <w:rPr/>
              <w:t>To undertake the Staying Well Check in the clients home</w:t>
            </w:r>
          </w:p>
          <w:p>
            <w:pPr>
              <w:pStyle w:val="Normal"/>
              <w:numPr>
                <w:ilvl w:val="0"/>
                <w:numId w:val="8"/>
              </w:numPr>
              <w:spacing w:lineRule="auto" w:line="240" w:before="0" w:after="0"/>
              <w:ind w:left="709" w:right="0" w:hanging="283"/>
              <w:contextualSpacing/>
              <w:rPr/>
            </w:pPr>
            <w:r>
              <w:rPr/>
              <w:t>Where required assess and order small pieces of equipment, such as grab rails, perching stools etc, to allow the client to remain independent in their own home</w:t>
            </w:r>
          </w:p>
          <w:p>
            <w:pPr>
              <w:pStyle w:val="Normal"/>
              <w:spacing w:before="0" w:after="200"/>
              <w:ind w:left="1440" w:right="0" w:hanging="0"/>
              <w:contextualSpacing/>
              <w:rPr/>
            </w:pPr>
            <w:r>
              <w:rPr/>
            </w:r>
          </w:p>
          <w:p>
            <w:pPr>
              <w:pStyle w:val="Normal"/>
              <w:rPr>
                <w:rFonts w:cs="Arial"/>
              </w:rPr>
            </w:pPr>
            <w:r>
              <w:rPr>
                <w:rFonts w:cs="Arial"/>
              </w:rPr>
              <w:t>To collect information to help demonstrate the success of the project</w:t>
            </w:r>
          </w:p>
          <w:p>
            <w:pPr>
              <w:pStyle w:val="Normal"/>
              <w:spacing w:before="0" w:after="200"/>
              <w:ind w:left="720" w:right="0" w:hanging="0"/>
              <w:contextualSpacing/>
              <w:rPr/>
            </w:pPr>
            <w:r>
              <w:rPr/>
            </w:r>
          </w:p>
          <w:p>
            <w:pPr>
              <w:pStyle w:val="Normal"/>
              <w:numPr>
                <w:ilvl w:val="0"/>
                <w:numId w:val="7"/>
              </w:numPr>
              <w:spacing w:lineRule="auto" w:line="240" w:before="0" w:after="0"/>
              <w:ind w:left="709" w:right="0" w:hanging="283"/>
              <w:contextualSpacing/>
              <w:rPr/>
            </w:pPr>
            <w:r>
              <w:rPr/>
              <w:t>To identify and report on barriers, issues and service gaps which limit the ability to address identified need</w:t>
            </w:r>
          </w:p>
          <w:p>
            <w:pPr>
              <w:pStyle w:val="Normal"/>
              <w:numPr>
                <w:ilvl w:val="0"/>
                <w:numId w:val="7"/>
              </w:numPr>
              <w:spacing w:lineRule="auto" w:line="240" w:before="0" w:after="0"/>
              <w:ind w:left="709" w:right="0" w:hanging="283"/>
              <w:contextualSpacing/>
              <w:rPr/>
            </w:pPr>
            <w:r>
              <w:rPr/>
              <w:t>To contribute to service improvement and project evaluation by identifying solutions to issues and ways of improving patient satisfaction.</w:t>
            </w:r>
          </w:p>
          <w:p>
            <w:pPr>
              <w:pStyle w:val="Normal"/>
              <w:numPr>
                <w:ilvl w:val="0"/>
                <w:numId w:val="7"/>
              </w:numPr>
              <w:spacing w:lineRule="auto" w:line="240" w:before="0" w:after="0"/>
              <w:ind w:left="709" w:right="0" w:hanging="283"/>
              <w:contextualSpacing/>
              <w:rPr>
                <w:rFonts w:cs="Arial"/>
              </w:rPr>
            </w:pPr>
            <w:r>
              <w:rPr>
                <w:rFonts w:cs="Arial"/>
              </w:rPr>
              <w:t>To maintain accurate records, files, data for planning and evaluation purposes.</w:t>
            </w:r>
          </w:p>
          <w:p>
            <w:pPr>
              <w:pStyle w:val="Normal"/>
              <w:numPr>
                <w:ilvl w:val="0"/>
                <w:numId w:val="7"/>
              </w:numPr>
              <w:spacing w:lineRule="auto" w:line="240" w:before="0" w:after="0"/>
              <w:ind w:left="709" w:right="0" w:hanging="283"/>
              <w:contextualSpacing/>
              <w:rPr>
                <w:rFonts w:cs="Arial"/>
              </w:rPr>
            </w:pPr>
            <w:r>
              <w:rPr>
                <w:rFonts w:cs="Arial"/>
              </w:rPr>
              <w:t>Attend to relevant correspondence, as appropriate and to agreed standards.</w:t>
            </w:r>
          </w:p>
          <w:p>
            <w:pPr>
              <w:pStyle w:val="Normal"/>
              <w:spacing w:before="0" w:after="200"/>
              <w:ind w:left="709" w:right="0" w:hanging="283"/>
              <w:contextualSpacing/>
              <w:rPr/>
            </w:pPr>
            <w:r>
              <w:rPr/>
            </w:r>
          </w:p>
          <w:p>
            <w:pPr>
              <w:pStyle w:val="Normal"/>
              <w:spacing w:before="0" w:after="200"/>
              <w:contextualSpacing/>
              <w:rPr>
                <w:rFonts w:cs="Arial"/>
              </w:rPr>
            </w:pPr>
            <w:r>
              <w:rPr>
                <w:rFonts w:cs="Arial"/>
              </w:rPr>
              <w:t>Other key duties and responsibilities</w:t>
            </w:r>
          </w:p>
          <w:p>
            <w:pPr>
              <w:pStyle w:val="Normal"/>
              <w:spacing w:before="0" w:after="200"/>
              <w:ind w:left="720" w:right="0" w:hanging="0"/>
              <w:contextualSpacing/>
              <w:rPr>
                <w:rFonts w:cs="Arial"/>
              </w:rPr>
            </w:pPr>
            <w:r>
              <w:rPr>
                <w:rFonts w:cs="Arial"/>
              </w:rPr>
            </w:r>
          </w:p>
          <w:p>
            <w:pPr>
              <w:pStyle w:val="Normal"/>
              <w:numPr>
                <w:ilvl w:val="0"/>
                <w:numId w:val="9"/>
              </w:numPr>
              <w:spacing w:lineRule="auto" w:line="240" w:before="0" w:after="0"/>
              <w:ind w:left="709" w:right="0" w:hanging="283"/>
              <w:contextualSpacing/>
              <w:rPr>
                <w:rFonts w:cs="Arial"/>
              </w:rPr>
            </w:pPr>
            <w:r>
              <w:rPr>
                <w:rFonts w:cs="Arial"/>
              </w:rPr>
              <w:t>To keep accurate and up to date confidential records and to provide routine monitoring information as required.</w:t>
            </w:r>
          </w:p>
          <w:p>
            <w:pPr>
              <w:pStyle w:val="Normal"/>
              <w:numPr>
                <w:ilvl w:val="0"/>
                <w:numId w:val="9"/>
              </w:numPr>
              <w:spacing w:lineRule="auto" w:line="240" w:before="0" w:after="0"/>
              <w:ind w:left="709" w:right="0" w:hanging="283"/>
              <w:contextualSpacing/>
              <w:rPr>
                <w:rFonts w:cs="Arial"/>
              </w:rPr>
            </w:pPr>
            <w:r>
              <w:rPr>
                <w:rFonts w:cs="Arial"/>
              </w:rPr>
              <w:t xml:space="preserve">To attend meetings and training opportunities as requested and agreed by Line Manager. </w:t>
            </w:r>
          </w:p>
          <w:p>
            <w:pPr>
              <w:pStyle w:val="Normal"/>
              <w:numPr>
                <w:ilvl w:val="0"/>
                <w:numId w:val="9"/>
              </w:numPr>
              <w:spacing w:lineRule="auto" w:line="240" w:before="0" w:after="240"/>
              <w:ind w:left="709" w:right="0" w:hanging="283"/>
              <w:contextualSpacing/>
              <w:rPr/>
            </w:pPr>
            <w:r>
              <w:rPr/>
              <w:t>To be responsible for your own health and safety and that of service users and/or carers by adhering to policies and procedures.</w:t>
            </w:r>
          </w:p>
          <w:p>
            <w:pPr>
              <w:pStyle w:val="Normal"/>
              <w:numPr>
                <w:ilvl w:val="0"/>
                <w:numId w:val="9"/>
              </w:numPr>
              <w:spacing w:lineRule="auto" w:line="240" w:before="0" w:after="0"/>
              <w:ind w:left="709" w:right="0" w:hanging="283"/>
              <w:contextualSpacing/>
              <w:rPr>
                <w:rFonts w:cs="Arial"/>
              </w:rPr>
            </w:pPr>
            <w:r>
              <w:rPr>
                <w:rFonts w:cs="Arial"/>
              </w:rPr>
              <w:t>The job holder will be required to work independently within work related guidelines and boundaries, however equally recognise when it is necessary to refer to their manager.</w:t>
            </w:r>
          </w:p>
          <w:p>
            <w:pPr>
              <w:pStyle w:val="Normal"/>
              <w:numPr>
                <w:ilvl w:val="0"/>
                <w:numId w:val="9"/>
              </w:numPr>
              <w:spacing w:lineRule="auto" w:line="240" w:before="0" w:after="0"/>
              <w:ind w:left="709" w:right="0" w:hanging="283"/>
              <w:contextualSpacing/>
              <w:rPr>
                <w:rFonts w:cs="Arial"/>
              </w:rPr>
            </w:pPr>
            <w:r>
              <w:rPr>
                <w:rFonts w:cs="Arial"/>
              </w:rPr>
              <w:t xml:space="preserve">To attend one to one or group progress meetings in particular during the delivery phase of the project to review the results/outcomes with their Line Manager.      </w:t>
            </w:r>
          </w:p>
          <w:p>
            <w:pPr>
              <w:pStyle w:val="Normal"/>
              <w:numPr>
                <w:ilvl w:val="0"/>
                <w:numId w:val="9"/>
              </w:numPr>
              <w:spacing w:lineRule="auto" w:line="240" w:before="0" w:after="0"/>
              <w:ind w:left="709" w:right="0" w:hanging="283"/>
              <w:contextualSpacing/>
              <w:rPr>
                <w:rFonts w:cs="Arial"/>
              </w:rPr>
            </w:pPr>
            <w:r>
              <w:rPr>
                <w:rFonts w:cs="Arial"/>
              </w:rPr>
              <w:t>To embrace our corporate values and policies in everything we do.</w:t>
            </w:r>
          </w:p>
          <w:p>
            <w:pPr>
              <w:pStyle w:val="Normal"/>
              <w:numPr>
                <w:ilvl w:val="0"/>
                <w:numId w:val="9"/>
              </w:numPr>
              <w:spacing w:lineRule="auto" w:line="240" w:before="0" w:after="0"/>
              <w:ind w:left="709" w:right="0" w:hanging="283"/>
              <w:contextualSpacing/>
              <w:rPr>
                <w:rFonts w:cs="Arial"/>
              </w:rPr>
            </w:pPr>
            <w:r>
              <w:rPr>
                <w:rFonts w:cs="Arial"/>
              </w:rPr>
              <w:t>To undertake any other duties that are requested and that are commensurate with grade and remit of the post.</w:t>
            </w:r>
          </w:p>
          <w:p>
            <w:pPr>
              <w:pStyle w:val="Normal"/>
              <w:numPr>
                <w:ilvl w:val="0"/>
                <w:numId w:val="9"/>
              </w:numPr>
              <w:spacing w:lineRule="auto" w:line="240" w:before="0" w:after="0"/>
              <w:ind w:left="709" w:right="0" w:hanging="283"/>
              <w:contextualSpacing/>
              <w:rPr>
                <w:rFonts w:cs="Arial"/>
              </w:rPr>
            </w:pPr>
            <w:r>
              <w:rPr>
                <w:rFonts w:cs="Arial"/>
              </w:rPr>
              <w:t>To implement policies for own work area and to contribute to the implementation of new policy, proposing changes to working practices by identifying, gathering and sharing any learning from the project and contributing to service development, ensuring any learning is embedded into mainstream services.</w:t>
            </w:r>
          </w:p>
          <w:p>
            <w:pPr>
              <w:pStyle w:val="Normal"/>
              <w:spacing w:before="0" w:after="200"/>
              <w:rPr>
                <w:rFonts w:cs="Arial"/>
              </w:rPr>
            </w:pPr>
            <w:r>
              <w:rPr>
                <w:rFonts w:cs="Arial"/>
              </w:rPr>
            </w:r>
          </w:p>
        </w:tc>
      </w:tr>
      <w:tr>
        <w:trPr>
          <w:trHeight w:val="277"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Heading1"/>
              <w:keepNext w:val="false"/>
              <w:snapToGrid w:val="false"/>
              <w:spacing w:lineRule="auto" w:line="240" w:before="0" w:after="0"/>
              <w:ind w:left="720" w:right="176" w:hanging="0"/>
              <w:jc w:val="both"/>
              <w:rPr>
                <w:rFonts w:ascii="Verdana" w:hAnsi="Verdana" w:cs="Verdana"/>
                <w:b w:val="false"/>
                <w:b w:val="false"/>
                <w:color w:val="auto"/>
                <w:sz w:val="22"/>
                <w:szCs w:val="22"/>
              </w:rPr>
            </w:pPr>
            <w:r>
              <w:rPr>
                <w:rFonts w:cs="Verdana" w:ascii="Verdana" w:hAnsi="Verdana"/>
                <w:b w:val="false"/>
                <w:color w:val="auto"/>
                <w:sz w:val="22"/>
                <w:szCs w:val="22"/>
              </w:rPr>
            </w:r>
          </w:p>
        </w:tc>
      </w:tr>
      <w:tr>
        <w:trPr>
          <w:trHeight w:val="7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200"/>
              <w:ind w:left="720" w:right="0" w:hanging="0"/>
              <w:jc w:val="both"/>
              <w:rPr>
                <w:rFonts w:ascii="Verdana" w:hAnsi="Verdana" w:cs="Arial"/>
                <w:b/>
                <w:b/>
                <w:color w:val="auto"/>
                <w:sz w:val="22"/>
                <w:szCs w:val="22"/>
              </w:rPr>
            </w:pPr>
            <w:r>
              <w:rPr>
                <w:rFonts w:cs="Arial"/>
                <w:b/>
                <w:color w:val="auto"/>
                <w:sz w:val="22"/>
                <w:szCs w:val="22"/>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Heading1"/>
              <w:keepNext w:val="false"/>
              <w:snapToGrid w:val="false"/>
              <w:spacing w:lineRule="auto" w:line="240" w:before="0" w:after="0"/>
              <w:ind w:left="720" w:right="176" w:hanging="0"/>
              <w:jc w:val="both"/>
              <w:rPr>
                <w:rFonts w:ascii="Verdana" w:hAnsi="Verdana" w:cs="Verdana"/>
                <w:b w:val="false"/>
                <w:b w:val="false"/>
                <w:color w:val="auto"/>
                <w:sz w:val="22"/>
                <w:szCs w:val="22"/>
              </w:rPr>
            </w:pPr>
            <w:r>
              <w:rPr>
                <w:rFonts w:cs="Verdana" w:ascii="Verdana" w:hAnsi="Verdana"/>
                <w:b w:val="false"/>
                <w:color w:val="auto"/>
                <w:sz w:val="22"/>
                <w:szCs w:val="22"/>
              </w:rPr>
            </w:r>
          </w:p>
        </w:tc>
      </w:tr>
      <w:tr>
        <w:trPr>
          <w:trHeight w:val="7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200"/>
              <w:ind w:left="720" w:right="0" w:hanging="0"/>
              <w:jc w:val="both"/>
              <w:rPr>
                <w:rFonts w:ascii="Verdana" w:hAnsi="Verdana" w:cs="Arial"/>
                <w:b/>
                <w:b/>
                <w:color w:val="auto"/>
                <w:sz w:val="22"/>
                <w:szCs w:val="22"/>
              </w:rPr>
            </w:pPr>
            <w:r>
              <w:rPr>
                <w:rFonts w:cs="Arial"/>
                <w:b/>
                <w:color w:val="auto"/>
                <w:sz w:val="22"/>
                <w:szCs w:val="22"/>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Heading1"/>
              <w:keepNext w:val="false"/>
              <w:snapToGrid w:val="false"/>
              <w:spacing w:lineRule="auto" w:line="240" w:before="0" w:after="0"/>
              <w:ind w:left="720" w:right="176" w:hanging="0"/>
              <w:jc w:val="both"/>
              <w:rPr>
                <w:rFonts w:ascii="Verdana" w:hAnsi="Verdana" w:cs="Verdana"/>
                <w:b w:val="false"/>
                <w:b w:val="false"/>
                <w:color w:val="auto"/>
                <w:sz w:val="22"/>
                <w:szCs w:val="22"/>
              </w:rPr>
            </w:pPr>
            <w:r>
              <w:rPr>
                <w:rFonts w:cs="Verdana" w:ascii="Verdana" w:hAnsi="Verdana"/>
                <w:b w:val="false"/>
                <w:color w:val="auto"/>
                <w:sz w:val="22"/>
                <w:szCs w:val="22"/>
              </w:rPr>
            </w:r>
          </w:p>
        </w:tc>
      </w:tr>
      <w:tr>
        <w:trPr>
          <w:trHeight w:val="266"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200"/>
              <w:ind w:left="720" w:right="0" w:hanging="0"/>
              <w:jc w:val="both"/>
              <w:rPr>
                <w:rFonts w:ascii="Verdana" w:hAnsi="Verdana" w:cs="Arial"/>
                <w:b/>
                <w:b/>
                <w:color w:val="auto"/>
                <w:sz w:val="22"/>
                <w:szCs w:val="22"/>
              </w:rPr>
            </w:pPr>
            <w:r>
              <w:rPr>
                <w:rFonts w:cs="Arial"/>
                <w:b/>
                <w:color w:val="auto"/>
                <w:sz w:val="22"/>
                <w:szCs w:val="22"/>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Heading1"/>
              <w:keepNext w:val="false"/>
              <w:snapToGrid w:val="false"/>
              <w:spacing w:lineRule="auto" w:line="240" w:before="0" w:after="0"/>
              <w:ind w:left="720" w:right="176" w:hanging="0"/>
              <w:jc w:val="both"/>
              <w:rPr>
                <w:rFonts w:ascii="Verdana" w:hAnsi="Verdana" w:cs="Verdana"/>
                <w:b w:val="false"/>
                <w:b w:val="false"/>
                <w:color w:val="auto"/>
                <w:sz w:val="22"/>
                <w:szCs w:val="22"/>
              </w:rPr>
            </w:pPr>
            <w:r>
              <w:rPr>
                <w:rFonts w:cs="Verdana" w:ascii="Verdana" w:hAnsi="Verdana"/>
                <w:b w:val="false"/>
                <w:color w:val="auto"/>
                <w:sz w:val="22"/>
                <w:szCs w:val="22"/>
              </w:rPr>
            </w:r>
          </w:p>
        </w:tc>
      </w:tr>
      <w:tr>
        <w:trPr>
          <w:trHeight w:val="93"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lineRule="auto" w:line="240" w:before="0" w:after="200"/>
              <w:ind w:left="720" w:right="0" w:hanging="0"/>
              <w:jc w:val="both"/>
              <w:rPr>
                <w:rFonts w:ascii="Verdana" w:hAnsi="Verdana" w:cs="Arial"/>
                <w:b/>
                <w:b/>
                <w:color w:val="auto"/>
                <w:sz w:val="22"/>
                <w:szCs w:val="22"/>
              </w:rPr>
            </w:pPr>
            <w:r>
              <w:rPr>
                <w:rFonts w:cs="Arial"/>
                <w:b/>
                <w:color w:val="auto"/>
                <w:sz w:val="22"/>
                <w:szCs w:val="22"/>
              </w:rPr>
            </w:r>
          </w:p>
        </w:tc>
      </w:tr>
      <w:tr>
        <w:trPr>
          <w:trHeight w:val="70" w:hRule="atLeast"/>
          <w:cantSplit w:val="true"/>
        </w:trPr>
        <w:tc>
          <w:tcPr>
            <w:tcW w:w="10466" w:type="dxa"/>
            <w:gridSpan w:val="4"/>
            <w:tcBorders>
              <w:left w:val="single" w:sz="6" w:space="0" w:color="000000"/>
              <w:right w:val="single" w:sz="6" w:space="0" w:color="000000"/>
            </w:tcBorders>
            <w:shd w:fill="auto" w:val="clear"/>
          </w:tcPr>
          <w:p>
            <w:pPr>
              <w:pStyle w:val="Normal"/>
              <w:widowControl/>
              <w:bidi w:val="0"/>
              <w:snapToGrid w:val="false"/>
              <w:spacing w:lineRule="auto" w:line="276" w:before="0" w:after="200"/>
              <w:jc w:val="left"/>
              <w:rPr>
                <w:rFonts w:cs="Arial"/>
                <w:b/>
                <w:b/>
              </w:rPr>
            </w:pPr>
            <w:r>
              <w:rPr>
                <w:rFonts w:cs="Arial"/>
                <w:b/>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rPr/>
            </w:pPr>
            <w:r>
              <w:rPr>
                <w:b/>
                <w:bCs/>
              </w:rPr>
              <w:t>Health and Wellbeing</w:t>
            </w:r>
            <w:r>
              <w:rPr/>
              <w:t xml:space="preserve"> -As an employee of Bury Council you should contribute to a culture that values and supports the physical and emotional wellbeing of your colleagues.</w:t>
            </w:r>
          </w:p>
          <w:p>
            <w:pPr>
              <w:pStyle w:val="Normal"/>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TextBodyIndent"/>
              <w:tabs>
                <w:tab w:val="clear" w:pos="720"/>
                <w:tab w:val="left" w:pos="510" w:leader="none"/>
              </w:tabs>
              <w:spacing w:before="0" w:after="120"/>
              <w:ind w:left="0" w:right="0" w:hanging="0"/>
              <w:jc w:val="both"/>
              <w:rPr>
                <w:rFonts w:cs="Arial"/>
                <w:b/>
                <w:b/>
              </w:rPr>
            </w:pPr>
            <w:r>
              <w:rPr>
                <w:rFonts w:cs="Arial"/>
                <w:b/>
              </w:rPr>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widowControl/>
              <w:bidi w:val="0"/>
              <w:snapToGrid w:val="false"/>
              <w:spacing w:lineRule="auto" w:line="276" w:before="0" w:after="200"/>
              <w:jc w:val="left"/>
              <w:rPr>
                <w:rFonts w:cs="Arial"/>
                <w:b/>
                <w:b/>
              </w:rPr>
            </w:pPr>
            <w:r>
              <w:rPr>
                <w:rFonts w:cs="Arial"/>
                <w:b/>
              </w:rPr>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rPr>
      </w:pPr>
      <w:r>
        <w:rPr>
          <w:rFonts w:cs="Arial"/>
        </w:rPr>
      </w:r>
    </w:p>
    <w:p>
      <w:pPr>
        <w:pStyle w:val="Normal"/>
        <w:ind w:left="6480" w:right="0" w:firstLine="720"/>
        <w:rPr>
          <w:rFonts w:cs="Arial"/>
          <w:lang w:eastAsia="en-GB"/>
        </w:rPr>
      </w:pPr>
      <w:r>
        <w:rPr>
          <w:rFonts w:cs="Arial"/>
          <w:lang w:eastAsia="en-GB"/>
        </w:rPr>
      </w:r>
    </w:p>
    <w:p>
      <w:pPr>
        <w:pStyle w:val="Normal"/>
        <w:ind w:left="6480" w:right="0" w:firstLine="720"/>
        <w:rPr>
          <w:lang w:eastAsia="en-GB"/>
        </w:rPr>
      </w:pPr>
      <w:r>
        <w:rPr>
          <w:lang w:eastAsia="en-GB"/>
        </w:rPr>
      </w:r>
    </w:p>
    <w:p>
      <w:pPr>
        <w:pStyle w:val="Normal"/>
        <w:ind w:left="6480" w:right="0" w:firstLine="720"/>
        <w:rPr>
          <w:rFonts w:cs="Arial"/>
          <w:lang w:eastAsia="en-GB"/>
        </w:rPr>
      </w:pPr>
      <w:r>
        <w:rPr>
          <w:rFonts w:cs="Arial"/>
          <w:lang w:eastAsia="en-GB"/>
        </w:rPr>
      </w:r>
    </w:p>
    <w:p>
      <w:pPr>
        <w:pStyle w:val="Normal"/>
        <w:jc w:val="center"/>
        <w:rPr>
          <w:b/>
          <w:b/>
          <w:sz w:val="24"/>
          <w:szCs w:val="24"/>
        </w:rPr>
      </w:pPr>
      <w:r>
        <w:rPr>
          <w:b/>
          <w:sz w:val="24"/>
          <w:szCs w:val="24"/>
        </w:rPr>
        <w:t>Communities &amp; Wellbeing</w:t>
      </w:r>
    </w:p>
    <w:p>
      <w:pPr>
        <w:pStyle w:val="Normal"/>
        <w:jc w:val="center"/>
        <w:rPr/>
      </w:pPr>
      <w:r>
        <w:rPr>
          <w:b/>
        </w:rPr>
        <w:t xml:space="preserve">Person Specification – </w:t>
      </w:r>
      <w:r>
        <w:rPr/>
        <w:t>Staying Well - Team Leader</w:t>
      </w:r>
    </w:p>
    <w:tbl>
      <w:tblPr>
        <w:tblW w:w="10667" w:type="dxa"/>
        <w:jc w:val="left"/>
        <w:tblInd w:w="-113" w:type="dxa"/>
        <w:tblCellMar>
          <w:top w:w="0" w:type="dxa"/>
          <w:left w:w="108" w:type="dxa"/>
          <w:bottom w:w="0" w:type="dxa"/>
          <w:right w:w="108" w:type="dxa"/>
        </w:tblCellMar>
      </w:tblPr>
      <w:tblGrid>
        <w:gridCol w:w="4761"/>
        <w:gridCol w:w="568"/>
        <w:gridCol w:w="4761"/>
        <w:gridCol w:w="567"/>
        <w:gridCol w:w="10"/>
      </w:tblGrid>
      <w:tr>
        <w:trPr>
          <w:trHeight w:val="454" w:hRule="atLeast"/>
        </w:trPr>
        <w:tc>
          <w:tcPr>
            <w:tcW w:w="1066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b/>
              </w:rPr>
              <w:t xml:space="preserve">CORE BEHAVIOURS FOR THE POST </w:t>
            </w:r>
            <w:r>
              <w:rPr>
                <w:b/>
                <w:sz w:val="16"/>
              </w:rPr>
              <w:t>(Please tick those relevant)</w:t>
            </w:r>
          </w:p>
        </w:tc>
      </w:tr>
      <w:tr>
        <w:trPr>
          <w:trHeight w:val="567" w:hRule="atLeast"/>
        </w:trPr>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Commercial Thinking &amp; Analysis</w:t>
            </w:r>
          </w:p>
        </w:tc>
        <w:tc>
          <w:tcPr>
            <w:tcW w:w="56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Planning</w:t>
            </w:r>
          </w:p>
        </w:tc>
        <w:tc>
          <w:tcPr>
            <w:tcW w:w="5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r>
      <w:tr>
        <w:trPr>
          <w:trHeight w:val="567" w:hRule="atLeast"/>
        </w:trPr>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Customer Service</w:t>
            </w:r>
          </w:p>
        </w:tc>
        <w:tc>
          <w:tcPr>
            <w:tcW w:w="568"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Developing Self &amp; Others</w:t>
            </w:r>
          </w:p>
        </w:tc>
        <w:tc>
          <w:tcPr>
            <w:tcW w:w="5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napToGrid w:val="false"/>
              <w:spacing w:lineRule="auto" w:line="276" w:before="0" w:after="200"/>
              <w:jc w:val="left"/>
              <w:rPr/>
            </w:pPr>
            <w:r>
              <w:rPr/>
            </w:r>
          </w:p>
        </w:tc>
      </w:tr>
      <w:tr>
        <w:trPr>
          <w:trHeight w:val="567" w:hRule="atLeast"/>
        </w:trPr>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Delivering Results</w:t>
            </w:r>
          </w:p>
        </w:tc>
        <w:tc>
          <w:tcPr>
            <w:tcW w:w="568"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Teams, Networking &amp; Partnerships</w:t>
            </w:r>
          </w:p>
        </w:tc>
        <w:tc>
          <w:tcPr>
            <w:tcW w:w="5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r>
      <w:tr>
        <w:trPr>
          <w:trHeight w:val="567" w:hRule="atLeast"/>
        </w:trPr>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Values, Ethics &amp; Diversity</w:t>
            </w:r>
          </w:p>
        </w:tc>
        <w:tc>
          <w:tcPr>
            <w:tcW w:w="568"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Adapting to Change</w:t>
            </w:r>
          </w:p>
        </w:tc>
        <w:tc>
          <w:tcPr>
            <w:tcW w:w="5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r>
      <w:tr>
        <w:trPr>
          <w:trHeight w:val="567" w:hRule="atLeast"/>
        </w:trPr>
        <w:tc>
          <w:tcPr>
            <w:tcW w:w="476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right"/>
              <w:rPr>
                <w:sz w:val="21"/>
                <w:szCs w:val="21"/>
              </w:rPr>
            </w:pPr>
            <w:r>
              <w:rPr>
                <w:sz w:val="21"/>
                <w:szCs w:val="21"/>
              </w:rPr>
              <w:t>Delivering a Quality Service(Continuous Improvement)</w:t>
            </w:r>
          </w:p>
        </w:tc>
        <w:tc>
          <w:tcPr>
            <w:tcW w:w="568"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Wingdings" w:hAnsi="Wingdings" w:eastAsia="Wingdings" w:cs="Wingdings"/>
                <w:sz w:val="21"/>
                <w:szCs w:val="21"/>
              </w:rPr>
            </w:pPr>
            <w:r>
              <w:rPr>
                <w:rFonts w:eastAsia="Wingdings" w:cs="Wingdings" w:ascii="Wingdings" w:hAnsi="Wingdings"/>
                <w:sz w:val="21"/>
                <w:szCs w:val="21"/>
              </w:rPr>
              <w:t></w:t>
            </w:r>
          </w:p>
        </w:tc>
        <w:tc>
          <w:tcPr>
            <w:tcW w:w="4761" w:type="dxa"/>
            <w:tcBorders>
              <w:top w:val="single" w:sz="4" w:space="0" w:color="000000"/>
              <w:left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c>
          <w:tcPr>
            <w:tcW w:w="567" w:type="dxa"/>
            <w:tcBorders>
              <w:top w:val="single" w:sz="4" w:space="0" w:color="000000"/>
            </w:tcBorders>
            <w:shd w:fill="auto" w:val="clear"/>
            <w:vAlign w:val="center"/>
          </w:tcPr>
          <w:p>
            <w:pPr>
              <w:pStyle w:val="Normal"/>
              <w:snapToGrid w:val="false"/>
              <w:spacing w:lineRule="auto" w:line="240" w:before="0" w:after="0"/>
              <w:rPr>
                <w:sz w:val="21"/>
                <w:szCs w:val="21"/>
              </w:rPr>
            </w:pPr>
            <w:r>
              <w:rPr>
                <w:sz w:val="21"/>
                <w:szCs w:val="21"/>
              </w:rPr>
            </w:r>
          </w:p>
        </w:tc>
      </w:tr>
    </w:tbl>
    <w:p>
      <w:pPr>
        <w:pStyle w:val="Normal"/>
        <w:rPr>
          <w:b/>
          <w:b/>
        </w:rPr>
      </w:pPr>
      <w:r>
        <w:rPr>
          <w:b/>
        </w:rPr>
      </w:r>
    </w:p>
    <w:tbl>
      <w:tblPr>
        <w:tblW w:w="10782" w:type="dxa"/>
        <w:jc w:val="left"/>
        <w:tblInd w:w="-4" w:type="dxa"/>
        <w:tblCellMar>
          <w:top w:w="0" w:type="dxa"/>
          <w:left w:w="108" w:type="dxa"/>
          <w:bottom w:w="0" w:type="dxa"/>
          <w:right w:w="108" w:type="dxa"/>
        </w:tblCellMar>
      </w:tblPr>
      <w:tblGrid>
        <w:gridCol w:w="4819"/>
        <w:gridCol w:w="2126"/>
        <w:gridCol w:w="1843"/>
        <w:gridCol w:w="1984"/>
        <w:gridCol w:w="10"/>
      </w:tblGrid>
      <w:tr>
        <w:trPr/>
        <w:tc>
          <w:tcPr>
            <w:tcW w:w="4819"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ASSESSMENT  METHOD</w:t>
            </w:r>
          </w:p>
        </w:tc>
        <w:tc>
          <w:tcPr>
            <w:tcW w:w="1843"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An understanding of services available to meet the needs of older people.</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Form/Interview/Case Study Task</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ind w:left="142" w:right="0" w:hanging="0"/>
              <w:jc w:val="center"/>
              <w:rPr>
                <w:rFonts w:cs="Arial"/>
              </w:rPr>
            </w:pPr>
            <w:r>
              <w:rPr>
                <w:rFonts w:cs="Arial"/>
              </w:rPr>
            </w:r>
          </w:p>
        </w:tc>
      </w:tr>
      <w:tr>
        <w:trPr>
          <w:trHeight w:val="611" w:hRule="atLeast"/>
          <w:cantSplit w:val="true"/>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Good knowledge  and understanding of potential barriers that older people face in accessing services.</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Form/Interview/Case Study Task</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rHeight w:val="611" w:hRule="atLeast"/>
          <w:cantSplit w:val="true"/>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Good knowledge of what keeps older people  well and remain independent  and awareness of the social issues impacting on the health and well-being of older adults</w:t>
            </w:r>
          </w:p>
          <w:p>
            <w:pPr>
              <w:pStyle w:val="Normal"/>
              <w:rPr>
                <w:rFonts w:cs="Arial"/>
              </w:rPr>
            </w:pPr>
            <w:r>
              <w:rPr>
                <w:rFonts w:cs="Arial"/>
              </w:rPr>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Form/Interview/Case Study Task</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11" w:hRule="atLeast"/>
          <w:cantSplit w:val="true"/>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Excellent interpersonal and communication skills together with the  ability to develop empathetic relationships with clients</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11" w:hRule="atLeast"/>
          <w:cantSplit w:val="true"/>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undertake person centred conversation using a defined staying well checklist tool.</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p>
            <w:pPr>
              <w:pStyle w:val="Normal"/>
              <w:spacing w:before="120" w:after="120"/>
              <w:rPr>
                <w:rFonts w:cs="Arial"/>
              </w:rPr>
            </w:pPr>
            <w:r>
              <w:rPr>
                <w:rFonts w:cs="Arial"/>
              </w:rPr>
            </w:r>
          </w:p>
          <w:p>
            <w:pPr>
              <w:pStyle w:val="Normal"/>
              <w:spacing w:before="120" w:after="120"/>
              <w:rPr>
                <w:rFonts w:cs="Arial"/>
              </w:rPr>
            </w:pPr>
            <w:r>
              <w:rPr>
                <w:rFonts w:cs="Arial"/>
              </w:rPr>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set, and help achieve, realistic support for clients be able to source information to help individuals</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motivate, support and encourage others to make behaviour changes</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self-motivate and work autonomously within professional boundaries</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ind w:left="360" w:right="0" w:hanging="0"/>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Resourceful and flexible approach to problem solving</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 xml:space="preserve">Ability to plan, organise and facilitate client group sessions </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ind w:left="360" w:right="0" w:hanging="0"/>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Excellent IT skills and literate e.g. use of Microsoft word, excel, access, internet and email. (RSA 2 or equivalent)</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Form/Interview/Test</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ind w:left="360" w:right="0" w:hanging="0"/>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Good organisational skills, including  good time keeping skills and ability to use own initiative</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rFonts w:cs="Arial"/>
              </w:rPr>
            </w:pPr>
            <w:r>
              <w:rPr>
                <w:rFonts w:cs="Arial"/>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record data and information clearly and accurately</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Form/Interview/Test</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work as part of a team</w:t>
            </w:r>
          </w:p>
          <w:p>
            <w:pPr>
              <w:pStyle w:val="Normal"/>
              <w:spacing w:before="0" w:after="200"/>
              <w:ind w:left="0" w:right="175"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Ability to respect confidentiality of clients</w:t>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p>
            <w:pPr>
              <w:pStyle w:val="Normal"/>
              <w:spacing w:before="120" w:after="120"/>
              <w:rPr>
                <w:rFonts w:cs="Arial"/>
              </w:rPr>
            </w:pPr>
            <w:r>
              <w:rPr>
                <w:rFonts w:cs="Arial"/>
              </w:rPr>
            </w:r>
          </w:p>
          <w:p>
            <w:pPr>
              <w:pStyle w:val="Normal"/>
              <w:spacing w:before="120" w:after="120"/>
              <w:rPr>
                <w:rFonts w:cs="Arial"/>
              </w:rPr>
            </w:pPr>
            <w:r>
              <w:rPr>
                <w:rFonts w:cs="Arial"/>
              </w:rPr>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rFonts w:cs="Arial"/>
              </w:rPr>
            </w:pPr>
            <w:r>
              <w:rPr>
                <w:rFonts w:cs="Arial"/>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pPr>
            <w:r>
              <w:rPr>
                <w:rFonts w:cs="Arial"/>
                <w:b/>
              </w:rPr>
              <w:t xml:space="preserve">Promoting equality and diversity – </w:t>
            </w:r>
            <w:r>
              <w:rPr>
                <w:rFonts w:cs="Arial"/>
              </w:rPr>
              <w:t xml:space="preserve">Understand how knowledge of our diverse communities can help us to deliver effective services and reduce disadvantage in the borough. Listen to contributions made to service development without prejudice. Challenge behaviours and processes which do not support the council’s work to </w:t>
            </w:r>
            <w:r>
              <w:rPr/>
              <w:t>eliminate discrimination; advance equality of opportunity; and foster good relations,</w:t>
            </w:r>
            <w:r>
              <w:rPr>
                <w:rFonts w:cs="Arial"/>
              </w:rPr>
              <w:t xml:space="preserve"> while being prepared to accept feedback about own behaviour. </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Customer Care - Listen and respond to customer need, seek out innovative ways of consulting service users and engaging partners.  Network with others to develop services for the benefit of the service users</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Developing Self and Others - Coach and mentor others.  Be willing to share learning and encourage others to do the same.  Listen to others and respond to their needs.  Apply a range of development activities to develop and train staff.  Endorse the principles of Investor in People.  Strives for improvement and take responsibility for own development.  Be self-confident and lead by example.</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pPr>
            <w:r>
              <w:rPr/>
              <w:t>Qualification in health, social, housing or community fields (e.g. City &amp;Guilds NVQ 3 Health &amp; Social Care or equivalent experience)</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Form/Interview/Certificates</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Experience of working with older people in a supporting role within a health sector, social care or housing sector.</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Experience of working/volunteering within a community setting</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work flexibly i.e. evenings and weekends when required</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This post has been designated an essential car user post or the applicant  should have a full current driving license and access to transport</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10772" w:type="dxa"/>
            <w:gridSpan w:val="4"/>
            <w:tcBorders>
              <w:top w:val="single" w:sz="4" w:space="0" w:color="000000"/>
              <w:bottom w:val="single" w:sz="4" w:space="0" w:color="000000"/>
            </w:tcBorders>
            <w:shd w:fill="auto" w:val="clear"/>
          </w:tcPr>
          <w:p>
            <w:pPr>
              <w:pStyle w:val="Normal"/>
              <w:snapToGrid w:val="false"/>
              <w:jc w:val="center"/>
              <w:rPr/>
            </w:pPr>
            <w:r>
              <w:rPr/>
            </w:r>
          </w:p>
          <w:p>
            <w:pPr>
              <w:pStyle w:val="Normal"/>
              <w:rPr/>
            </w:pPr>
            <w:r>
              <w:rPr>
                <w:rFonts w:cs="Arial"/>
                <w:b/>
              </w:rPr>
              <w:t xml:space="preserve">Stage Two:   </w:t>
            </w:r>
            <w:r>
              <w:rPr>
                <w:rFonts w:cs="Arial"/>
              </w:rPr>
              <w:t>Will only be used in the event of a large number of applicants meeting the minimum essential requirements</w:t>
            </w:r>
          </w:p>
          <w:p>
            <w:pPr>
              <w:pStyle w:val="Normal"/>
              <w:widowControl/>
              <w:bidi w:val="0"/>
              <w:spacing w:lineRule="auto" w:line="276" w:before="0" w:after="200"/>
              <w:jc w:val="left"/>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Ability to communicate with people in one or more language in addition to English used by local people</w:t>
            </w:r>
          </w:p>
          <w:p>
            <w:pPr>
              <w:pStyle w:val="Normal"/>
              <w:spacing w:before="0" w:after="200"/>
              <w:ind w:left="720" w:right="0" w:hanging="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Demonstrate understanding of quantitative and qualitative  data collection.</w:t>
            </w:r>
          </w:p>
          <w:p>
            <w:pPr>
              <w:pStyle w:val="Normal"/>
              <w:spacing w:before="0" w:after="200"/>
              <w:rPr>
                <w:rFonts w:cs="Arial"/>
              </w:rPr>
            </w:pPr>
            <w:r>
              <w:rPr>
                <w:rFonts w:cs="Arial"/>
              </w:rPr>
            </w:r>
          </w:p>
        </w:tc>
        <w:tc>
          <w:tcPr>
            <w:tcW w:w="212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Level 2 Award in understanding behaviour change or equivalent </w:t>
            </w:r>
          </w:p>
        </w:tc>
        <w:tc>
          <w:tcPr>
            <w:tcW w:w="212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Application Form/Interview/Certificates</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r>
        <w:trPr>
          <w:trHeight w:val="674" w:hRule="atLeast"/>
        </w:trPr>
        <w:tc>
          <w:tcPr>
            <w:tcW w:w="4819" w:type="dxa"/>
            <w:tcBorders>
              <w:top w:val="single" w:sz="4" w:space="0" w:color="000000"/>
              <w:left w:val="single" w:sz="4" w:space="0" w:color="000000"/>
              <w:bottom w:val="single" w:sz="4" w:space="0" w:color="000000"/>
            </w:tcBorders>
            <w:shd w:fill="auto" w:val="clear"/>
          </w:tcPr>
          <w:p>
            <w:pPr>
              <w:pStyle w:val="Normal"/>
              <w:rPr/>
            </w:pPr>
            <w:r>
              <w:rPr/>
              <w:t>Experience of effectively and efficiently managing client caseloads in a health or social care setting</w:t>
            </w:r>
          </w:p>
          <w:p>
            <w:pPr>
              <w:pStyle w:val="Normal"/>
              <w:widowControl/>
              <w:bidi w:val="0"/>
              <w:spacing w:lineRule="auto" w:line="276" w:before="0" w:after="200"/>
              <w:jc w:val="left"/>
              <w:rPr/>
            </w:pPr>
            <w:r>
              <w:rPr/>
            </w:r>
          </w:p>
        </w:tc>
        <w:tc>
          <w:tcPr>
            <w:tcW w:w="2126"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Application Form/Interview</w:t>
            </w:r>
          </w:p>
        </w:tc>
        <w:tc>
          <w:tcPr>
            <w:tcW w:w="184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200"/>
              <w:jc w:val="center"/>
              <w:rPr/>
            </w:pPr>
            <w:r>
              <w:rPr/>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00"/>
              <w:jc w:val="center"/>
              <w:rPr/>
            </w:pPr>
            <w:r>
              <w:rPr/>
            </w:r>
          </w:p>
        </w:tc>
      </w:tr>
    </w:tbl>
    <w:p>
      <w:pPr>
        <w:pStyle w:val="Normal"/>
        <w:spacing w:lineRule="auto" w:line="240" w:before="0" w:after="0"/>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mbri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Tahoma">
    <w:charset w:val="00"/>
    <w:family w:val="roman"/>
    <w:pitch w:val="variable"/>
  </w:font>
  <w:font w:name="Consolas">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5"/>
      <w:numFmt w:val="bullet"/>
      <w:lvlText w:val="-"/>
      <w:lvlJc w:val="left"/>
      <w:pPr>
        <w:tabs>
          <w:tab w:val="num" w:pos="1080"/>
        </w:tabs>
        <w:ind w:left="1080" w:hanging="360"/>
      </w:pPr>
      <w:rPr>
        <w:rFonts w:ascii="Times New Roman" w:hAnsi="Times New Roman" w:cs="Times New Roman" w:hint="default"/>
        <w:rFonts w:cs="Times New Roman"/>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5">
    <w:lvl w:ilvl="0">
      <w:start w:val="1"/>
      <w:numFmt w:val="bullet"/>
      <w:lvlText w:val=""/>
      <w:lvlJc w:val="left"/>
      <w:pPr>
        <w:tabs>
          <w:tab w:val="num" w:pos="502"/>
        </w:tabs>
        <w:ind w:left="502" w:hanging="360"/>
      </w:pPr>
      <w:rPr>
        <w:rFonts w:ascii="Symbol" w:hAnsi="Symbol" w:cs="Symbol" w:hint="default"/>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color w:val="auto"/>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440" w:hanging="360"/>
      </w:pPr>
      <w:rPr>
        <w:rFonts w:ascii="Symbol" w:hAnsi="Symbol" w:cs="Symbol" w:hint="default"/>
        <w:rFonts w:cs="Symbol"/>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bullet"/>
      <w:lvlText w:val=""/>
      <w:lvlJc w:val="left"/>
      <w:pPr>
        <w:ind w:left="1440" w:hanging="360"/>
      </w:pPr>
      <w:rPr>
        <w:rFonts w:ascii="Symbol" w:hAnsi="Symbol" w:cs="Symbol" w:hint="default"/>
        <w:rFonts w:cs="Symbol"/>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Times New Roman" w:hAnsi="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color w:val="auto"/>
    </w:rPr>
  </w:style>
  <w:style w:type="character" w:styleId="WW8Num4z1">
    <w:name w:val="WW8Num4z1"/>
    <w:qFormat/>
    <w:rPr>
      <w:rFonts w:ascii="Courier New" w:hAnsi="Courier New" w:cs="Courier New"/>
      <w:color w:val="auto"/>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Heading3Char">
    <w:name w:val="Heading 3 Char"/>
    <w:basedOn w:val="DefaultParagraphFont"/>
    <w:qFormat/>
    <w:rPr>
      <w:rFonts w:ascii="Franklin Gothic Demi" w:hAnsi="Franklin Gothic Demi" w:eastAsia="Times New Roman" w:cs="Vrinda"/>
      <w:bCs/>
      <w:sz w:val="24"/>
      <w:szCs w:val="24"/>
    </w:rPr>
  </w:style>
  <w:style w:type="character" w:styleId="BalloonTextChar">
    <w:name w:val="Balloon Text Char"/>
    <w:basedOn w:val="DefaultParagraphFont"/>
    <w:qFormat/>
    <w:rPr>
      <w:rFonts w:ascii="Tahoma" w:hAnsi="Tahoma" w:eastAsia="Calibri" w:cs="Tahoma"/>
      <w:sz w:val="16"/>
      <w:szCs w:val="16"/>
    </w:rPr>
  </w:style>
  <w:style w:type="character" w:styleId="Heading1Char">
    <w:name w:val="Heading 1 Char"/>
    <w:basedOn w:val="DefaultParagraphFont"/>
    <w:qFormat/>
    <w:rPr>
      <w:rFonts w:ascii="Cambria" w:hAnsi="Cambria" w:eastAsia="" w:cs=""/>
      <w:b/>
      <w:bCs/>
      <w:color w:val="365F91"/>
      <w:sz w:val="28"/>
      <w:szCs w:val="28"/>
      <w:lang w:eastAsia="en-US"/>
    </w:rPr>
  </w:style>
  <w:style w:type="character" w:styleId="PlainTextChar">
    <w:name w:val="Plain Text Char"/>
    <w:basedOn w:val="DefaultParagraphFont"/>
    <w:qFormat/>
    <w:rPr>
      <w:rFonts w:ascii="Consolas" w:hAnsi="Consolas" w:cs="Consolas"/>
      <w:sz w:val="21"/>
      <w:szCs w:val="21"/>
      <w:lang w:eastAsia="en-US"/>
    </w:rPr>
  </w:style>
  <w:style w:type="character" w:styleId="TitleChar">
    <w:name w:val="Title Char"/>
    <w:basedOn w:val="DefaultParagraphFont"/>
    <w:qFormat/>
    <w:rPr>
      <w:rFonts w:ascii="Arial" w:hAnsi="Arial" w:eastAsia="Times New Roman" w:cs="Arial"/>
      <w:b/>
      <w:sz w:val="24"/>
      <w:lang w:eastAsia="en-US"/>
    </w:rPr>
  </w:style>
  <w:style w:type="character" w:styleId="BodyTextIndentChar">
    <w:name w:val="Body Text Indent Char"/>
    <w:basedOn w:val="DefaultParagraphFont"/>
    <w:qFormat/>
    <w:rPr>
      <w:rFonts w:ascii="Times New Roman" w:hAnsi="Times New Roman" w:eastAsia="Times New Roman" w:cs="Times New Roman"/>
      <w:sz w:val="2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spacing w:before="0" w:after="200"/>
      <w:ind w:left="720" w:right="0" w:hanging="0"/>
      <w:contextualSpacing/>
    </w:pPr>
    <w:rPr/>
  </w:style>
  <w:style w:type="paragraph" w:styleId="PlainText">
    <w:name w:val="Plain Text"/>
    <w:basedOn w:val="Normal"/>
    <w:qFormat/>
    <w:pPr>
      <w:spacing w:lineRule="auto" w:line="240" w:before="0" w:after="0"/>
    </w:pPr>
    <w:rPr>
      <w:rFonts w:ascii="Consolas" w:hAnsi="Consolas" w:cs="Times New Roman"/>
      <w:sz w:val="21"/>
      <w:szCs w:val="21"/>
    </w:rPr>
  </w:style>
  <w:style w:type="paragraph" w:styleId="Title">
    <w:name w:val="Title"/>
    <w:basedOn w:val="Normal"/>
    <w:next w:val="TextBody"/>
    <w:qFormat/>
    <w:pPr>
      <w:keepLines/>
      <w:spacing w:lineRule="exact" w:line="240" w:before="0" w:after="0"/>
      <w:jc w:val="center"/>
    </w:pPr>
    <w:rPr>
      <w:rFonts w:ascii="Arial" w:hAnsi="Arial" w:eastAsia="Times New Roman" w:cs="Times New Roman"/>
      <w:b/>
      <w:sz w:val="24"/>
      <w:szCs w:val="20"/>
    </w:rPr>
  </w:style>
  <w:style w:type="paragraph" w:styleId="TextBodyIndent">
    <w:name w:val="Body Text Indent"/>
    <w:basedOn w:val="Normal"/>
    <w:pPr>
      <w:spacing w:lineRule="auto" w:line="240" w:before="0" w:after="120"/>
      <w:ind w:left="283" w:right="0" w:hanging="0"/>
    </w:pPr>
    <w:rPr>
      <w:rFonts w:ascii="Times New Roman" w:hAnsi="Times New Roman" w:eastAsia="Times New Roman" w:cs="Times New Roman"/>
      <w:sz w:val="26"/>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TotalTime>
  <Application>LibreOffice/6.3.4.2$Windows_X86_64 LibreOffice_project/60da17e045e08f1793c57c00ba83cdfce946d0aa</Application>
  <Company>Bury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2017-08-21T13:13:00Z</dcterms:created>
  <dc:creator>a.c.bailey</dc:creator>
  <dc:description/>
  <dc:language>en-US</dc:language>
  <cp:lastModifiedBy>Caraher, Samantha</cp:lastModifiedBy>
  <cp:lastPrinted>1995-11-21T17:41:00Z</cp:lastPrinted>
  <dcterms:modified xsi:type="dcterms:W3CDTF">2026-07-01T12:54:00Z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