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7920" w:right="0" w:firstLine="18"/>
        <w:rPr>
          <w:b/>
          <w:b/>
        </w:rPr>
      </w:pPr>
      <w:r>
        <w:rPr/>
        <w:drawing>
          <wp:inline distT="0" distB="0" distL="0" distR="0">
            <wp:extent cx="1475740" cy="608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4" t="-59" r="-24" b="-59"/>
                    <a:stretch>
                      <a:fillRect/>
                    </a:stretch>
                  </pic:blipFill>
                  <pic:spPr bwMode="auto">
                    <a:xfrm>
                      <a:off x="0" y="0"/>
                      <a:ext cx="1475740" cy="608965"/>
                    </a:xfrm>
                    <a:prstGeom prst="rect">
                      <a:avLst/>
                    </a:prstGeom>
                  </pic:spPr>
                </pic:pic>
              </a:graphicData>
            </a:graphic>
          </wp:inline>
        </w:drawing>
      </w:r>
    </w:p>
    <w:p>
      <w:pPr>
        <w:pStyle w:val="Normal"/>
        <w:jc w:val="center"/>
        <w:rPr>
          <w:b/>
          <w:b/>
        </w:rPr>
      </w:pPr>
      <w:r>
        <w:rPr>
          <w:b/>
        </w:rPr>
        <w:t>JOB DESCRIPTION</w:t>
      </w:r>
    </w:p>
    <w:p>
      <w:pPr>
        <w:pStyle w:val="Normal"/>
        <w:jc w:val="center"/>
        <w:rPr>
          <w:b/>
          <w:b/>
        </w:rPr>
      </w:pPr>
      <w:r>
        <w:rPr>
          <w:b/>
        </w:rPr>
      </w:r>
    </w:p>
    <w:tbl>
      <w:tblPr>
        <w:tblW w:w="5000" w:type="pct"/>
        <w:jc w:val="left"/>
        <w:tblInd w:w="0" w:type="dxa"/>
        <w:tblCellMar>
          <w:top w:w="0" w:type="dxa"/>
          <w:left w:w="108" w:type="dxa"/>
          <w:bottom w:w="0" w:type="dxa"/>
          <w:right w:w="108" w:type="dxa"/>
        </w:tblCellMar>
      </w:tblPr>
      <w:tblGrid>
        <w:gridCol w:w="4428"/>
        <w:gridCol w:w="722"/>
        <w:gridCol w:w="2712"/>
        <w:gridCol w:w="2604"/>
      </w:tblGrid>
      <w:tr>
        <w:trPr>
          <w:trHeight w:val="720" w:hRule="atLeast"/>
          <w:cantSplit w:val="true"/>
        </w:trPr>
        <w:tc>
          <w:tcPr>
            <w:tcW w:w="10466" w:type="dxa"/>
            <w:gridSpan w:val="4"/>
            <w:tcBorders>
              <w:top w:val="sing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Post Title</w:t>
            </w:r>
            <w:r>
              <w:rPr>
                <w:rFonts w:cs="Arial"/>
              </w:rPr>
              <w:t xml:space="preserve">: Family Hub Community Outreach Worker </w:t>
            </w:r>
          </w:p>
        </w:tc>
      </w:tr>
      <w:tr>
        <w:trPr>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bCs/>
              </w:rPr>
              <w:t>Department</w:t>
            </w:r>
            <w:r>
              <w:rPr>
                <w:rFonts w:cs="Arial"/>
              </w:rPr>
              <w:t xml:space="preserve">: Childrens Services </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Post No</w:t>
            </w:r>
            <w:r>
              <w:rPr>
                <w:rFonts w:cs="Arial"/>
              </w:rPr>
              <w:t>: TBC</w:t>
            </w:r>
          </w:p>
        </w:tc>
      </w:tr>
      <w:tr>
        <w:trPr>
          <w:trHeight w:val="720" w:hRule="atLeast"/>
          <w:cantSplit w:val="true"/>
        </w:trPr>
        <w:tc>
          <w:tcPr>
            <w:tcW w:w="5150" w:type="dxa"/>
            <w:gridSpan w:val="2"/>
            <w:tcBorders>
              <w:top w:val="double" w:sz="6" w:space="0" w:color="000000"/>
              <w:left w:val="single" w:sz="6" w:space="0" w:color="000000"/>
            </w:tcBorders>
            <w:shd w:fill="auto" w:val="clear"/>
          </w:tcPr>
          <w:p>
            <w:pPr>
              <w:pStyle w:val="Normal"/>
              <w:spacing w:before="120" w:after="240"/>
              <w:rPr/>
            </w:pPr>
            <w:r>
              <w:rPr>
                <w:rFonts w:cs="Arial"/>
                <w:b/>
                <w:bCs/>
              </w:rPr>
              <w:t>Division/Section</w:t>
            </w:r>
            <w:r>
              <w:rPr>
                <w:rFonts w:cs="Arial"/>
              </w:rPr>
              <w:t>: Early Years and Family Hubs</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Grade</w:t>
            </w:r>
            <w:r>
              <w:rPr>
                <w:rFonts w:cs="Arial"/>
              </w:rPr>
              <w:t>: Grade 8</w:t>
            </w:r>
          </w:p>
        </w:tc>
      </w:tr>
      <w:tr>
        <w:trPr>
          <w:trHeight w:val="720" w:hRule="atLeast"/>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rPr>
              <w:t>Location</w:t>
            </w:r>
            <w:r>
              <w:rPr>
                <w:rFonts w:cs="Arial"/>
              </w:rPr>
              <w:t>: Any location within the Borough of Bury</w:t>
            </w:r>
          </w:p>
        </w:tc>
        <w:tc>
          <w:tcPr>
            <w:tcW w:w="5316" w:type="dxa"/>
            <w:gridSpan w:val="2"/>
            <w:tcBorders>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Hours</w:t>
            </w:r>
            <w:r>
              <w:rPr>
                <w:rFonts w:cs="Arial"/>
              </w:rPr>
              <w:t>: 37 (flexi scheme in operation)</w:t>
            </w:r>
          </w:p>
        </w:tc>
      </w:tr>
      <w:tr>
        <w:trPr>
          <w:trHeight w:val="96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Special Conditions of Service</w:t>
            </w:r>
            <w:r>
              <w:rPr>
                <w:rFonts w:cs="Arial"/>
              </w:rPr>
              <w:t>:</w:t>
            </w:r>
          </w:p>
          <w:p>
            <w:pPr>
              <w:pStyle w:val="Normal"/>
              <w:spacing w:before="120" w:after="240"/>
              <w:rPr>
                <w:rFonts w:cs="Arial"/>
              </w:rPr>
            </w:pPr>
            <w:r>
              <w:rPr>
                <w:rFonts w:cs="Arial"/>
              </w:rPr>
              <w:t>The nature of the post will require the post holder to work flexibly dependent on the needs of the job. This can mean working outside of standard working hours and working agilely from different offices or home as appropriate</w:t>
            </w:r>
          </w:p>
        </w:tc>
      </w:tr>
      <w:tr>
        <w:trPr>
          <w:trHeight w:val="1426"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120"/>
              <w:rPr/>
            </w:pPr>
            <w:r>
              <w:rPr>
                <w:rFonts w:cs="Arial"/>
                <w:b/>
              </w:rPr>
              <w:t>Purpose and Objectives of Post</w:t>
            </w:r>
            <w:r>
              <w:rPr>
                <w:rFonts w:cs="Arial"/>
              </w:rPr>
              <w:t xml:space="preserve">: </w:t>
            </w:r>
          </w:p>
          <w:p>
            <w:pPr>
              <w:pStyle w:val="ListParagraph"/>
              <w:numPr>
                <w:ilvl w:val="0"/>
                <w:numId w:val="5"/>
              </w:numPr>
              <w:spacing w:lineRule="atLeast" w:line="300" w:before="0" w:after="0"/>
              <w:rPr>
                <w:rFonts w:eastAsia="Times New Roman" w:cs="Segoe UI"/>
                <w:lang w:val="en-US"/>
              </w:rPr>
            </w:pPr>
            <w:r>
              <w:rPr>
                <w:rFonts w:eastAsia="Times New Roman" w:cs="Segoe UI"/>
                <w:lang w:val="en-US"/>
              </w:rPr>
              <w:t>To deliver stay-and-play sessions, courses, and home learning interventions across Family Hubs, homes, and outreach venues to support children’s development with a focus on children aged 0-5</w:t>
            </w:r>
          </w:p>
          <w:p>
            <w:pPr>
              <w:pStyle w:val="ListParagraph"/>
              <w:numPr>
                <w:ilvl w:val="0"/>
                <w:numId w:val="5"/>
              </w:numPr>
              <w:spacing w:lineRule="atLeast" w:line="300" w:before="0" w:after="0"/>
              <w:rPr>
                <w:rFonts w:eastAsia="Times New Roman" w:cs="Segoe UI"/>
                <w:lang w:val="en-US"/>
              </w:rPr>
            </w:pPr>
            <w:r>
              <w:rPr>
                <w:rFonts w:eastAsia="Times New Roman" w:cs="Segoe UI"/>
                <w:lang w:val="en-US"/>
              </w:rPr>
              <w:t xml:space="preserve">To engage with families in hard-to-reach communities, building trust and identifying needs early to provide timely support. </w:t>
            </w:r>
          </w:p>
          <w:p>
            <w:pPr>
              <w:pStyle w:val="ListParagraph"/>
              <w:numPr>
                <w:ilvl w:val="0"/>
                <w:numId w:val="5"/>
              </w:numPr>
              <w:spacing w:lineRule="atLeast" w:line="300" w:before="0" w:after="0"/>
              <w:rPr>
                <w:rFonts w:eastAsia="Times New Roman" w:cs="Segoe UI"/>
                <w:lang w:val="en-US"/>
              </w:rPr>
            </w:pPr>
            <w:r>
              <w:rPr>
                <w:rFonts w:eastAsia="Times New Roman" w:cs="Segoe UI"/>
                <w:lang w:val="en-US"/>
              </w:rPr>
              <w:t xml:space="preserve">To help families overcome barriers to accessing services by promoting local support and working with partner agencies. </w:t>
            </w:r>
          </w:p>
          <w:p>
            <w:pPr>
              <w:pStyle w:val="ListParagraph"/>
              <w:numPr>
                <w:ilvl w:val="0"/>
                <w:numId w:val="5"/>
              </w:numPr>
              <w:spacing w:lineRule="atLeast" w:line="300" w:before="0" w:after="0"/>
              <w:rPr>
                <w:rFonts w:eastAsia="Times New Roman" w:cs="Segoe UI"/>
                <w:lang w:val="en-US"/>
              </w:rPr>
            </w:pPr>
            <w:r>
              <w:rPr>
                <w:rFonts w:eastAsia="Times New Roman" w:cs="Segoe UI"/>
                <w:lang w:val="en-US"/>
              </w:rPr>
              <w:t>To empower parents with the skills and confidence to support their child’s learning and development.</w:t>
            </w:r>
          </w:p>
          <w:p>
            <w:pPr>
              <w:pStyle w:val="Normal"/>
              <w:widowControl/>
              <w:bidi w:val="0"/>
              <w:spacing w:lineRule="auto" w:line="276" w:before="0" w:after="200"/>
              <w:jc w:val="left"/>
              <w:rPr/>
            </w:pPr>
            <w:r>
              <w:rPr/>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Accountable to</w:t>
            </w:r>
            <w:r>
              <w:rPr>
                <w:rFonts w:cs="Arial"/>
              </w:rPr>
              <w:t xml:space="preserve">: Head of service for Early Years and Family Hubs </w:t>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bCs/>
              </w:rPr>
              <w:t>Immediately Responsible to</w:t>
            </w:r>
            <w:r>
              <w:rPr>
                <w:rFonts w:cs="Arial"/>
              </w:rPr>
              <w:t xml:space="preserve">: Lead Officer for Family Hubs and Parenting </w:t>
            </w:r>
          </w:p>
        </w:tc>
      </w:tr>
      <w:tr>
        <w:trPr>
          <w:trHeight w:val="68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Spacing"/>
              <w:rPr/>
            </w:pPr>
            <w:r>
              <w:rPr>
                <w:b/>
              </w:rPr>
              <w:t>Immediately Responsible for</w:t>
            </w:r>
            <w:r>
              <w:rPr/>
              <w:t>:</w:t>
            </w:r>
          </w:p>
          <w:p>
            <w:pPr>
              <w:pStyle w:val="NoSpacing"/>
              <w:ind w:left="720" w:right="0" w:hanging="0"/>
              <w:rPr/>
            </w:pPr>
            <w:r>
              <w:rPr/>
              <w:t>N/A</w:t>
            </w:r>
          </w:p>
        </w:tc>
      </w:tr>
      <w:tr>
        <w:trPr>
          <w:trHeight w:val="232" w:hRule="atLeast"/>
          <w:cantSplit w:val="true"/>
        </w:trPr>
        <w:tc>
          <w:tcPr>
            <w:tcW w:w="10466" w:type="dxa"/>
            <w:gridSpan w:val="4"/>
            <w:tcBorders>
              <w:top w:val="double" w:sz="6" w:space="0" w:color="000000"/>
              <w:left w:val="single" w:sz="6" w:space="0" w:color="000000"/>
              <w:right w:val="single" w:sz="6" w:space="0" w:color="000000"/>
            </w:tcBorders>
            <w:shd w:fill="auto" w:val="clear"/>
          </w:tcPr>
          <w:p>
            <w:pPr>
              <w:pStyle w:val="Normal"/>
              <w:tabs>
                <w:tab w:val="clear" w:pos="720"/>
                <w:tab w:val="left" w:pos="4320" w:leader="none"/>
              </w:tabs>
              <w:spacing w:before="120" w:after="120"/>
              <w:rPr>
                <w:rFonts w:cs="Arial"/>
                <w:b/>
                <w:b/>
              </w:rPr>
            </w:pPr>
            <w:r>
              <w:rPr>
                <w:rFonts w:cs="Arial"/>
                <w:b/>
              </w:rPr>
              <w:t>Relationships: (Internal and External)</w:t>
            </w:r>
          </w:p>
          <w:p>
            <w:pPr>
              <w:pStyle w:val="Normal"/>
              <w:tabs>
                <w:tab w:val="clear" w:pos="720"/>
                <w:tab w:val="left" w:pos="4320" w:leader="none"/>
              </w:tabs>
              <w:spacing w:before="120" w:after="120"/>
              <w:rPr/>
            </w:pPr>
            <w:r>
              <w:rPr>
                <w:rFonts w:cs="Arial"/>
                <w:b/>
                <w:bCs/>
                <w:lang w:eastAsia="en-GB"/>
              </w:rPr>
              <w:t>Internal –</w:t>
            </w:r>
            <w:r>
              <w:rPr>
                <w:rFonts w:cs="Arial"/>
                <w:lang w:eastAsia="en-GB"/>
              </w:rPr>
              <w:t>Other staff members,</w:t>
            </w:r>
            <w:r>
              <w:rPr>
                <w:rFonts w:cs="Arial"/>
                <w:b/>
                <w:bCs/>
                <w:lang w:eastAsia="en-GB"/>
              </w:rPr>
              <w:t xml:space="preserve"> </w:t>
            </w:r>
            <w:r>
              <w:rPr>
                <w:rFonts w:cs="Arial"/>
                <w:lang w:eastAsia="en-GB"/>
              </w:rPr>
              <w:t>Elected Members, Chief Executive, Director, Senior Managers, Departmental Staff, Trade Unions.</w:t>
            </w:r>
          </w:p>
          <w:p>
            <w:pPr>
              <w:pStyle w:val="Normal"/>
              <w:tabs>
                <w:tab w:val="clear" w:pos="720"/>
                <w:tab w:val="left" w:pos="4320" w:leader="none"/>
              </w:tabs>
              <w:spacing w:before="120" w:after="120"/>
              <w:rPr/>
            </w:pPr>
            <w:r>
              <w:rPr>
                <w:rFonts w:cs="Arial"/>
                <w:b/>
                <w:lang w:eastAsia="en-GB"/>
              </w:rPr>
              <w:t>External</w:t>
            </w:r>
            <w:r>
              <w:rPr>
                <w:rFonts w:cs="Arial"/>
                <w:lang w:eastAsia="en-GB"/>
              </w:rPr>
              <w:t xml:space="preserve"> – Members of the public, Employees of other Local Authorities, Partner Organisations, Regulatory Bodies, National and Regional Public Bodies.  </w:t>
            </w:r>
          </w:p>
        </w:tc>
      </w:tr>
      <w:tr>
        <w:trPr>
          <w:trHeight w:val="728" w:hRule="atLeast"/>
          <w:cantSplit w:val="true"/>
        </w:trPr>
        <w:tc>
          <w:tcPr>
            <w:tcW w:w="10466" w:type="dxa"/>
            <w:gridSpan w:val="4"/>
            <w:tcBorders>
              <w:top w:val="double" w:sz="6" w:space="0" w:color="000000"/>
              <w:left w:val="single" w:sz="6" w:space="0" w:color="000000"/>
              <w:bottom w:val="single" w:sz="6" w:space="0" w:color="000000"/>
              <w:right w:val="single" w:sz="6" w:space="0" w:color="000000"/>
            </w:tcBorders>
            <w:shd w:fill="auto" w:val="clear"/>
          </w:tcPr>
          <w:p>
            <w:pPr>
              <w:pStyle w:val="Normal"/>
              <w:spacing w:before="120" w:after="120"/>
              <w:rPr/>
            </w:pPr>
            <w:r>
              <w:rPr>
                <w:rFonts w:cs="Arial"/>
                <w:b/>
              </w:rPr>
              <w:t>Control of Resources</w:t>
            </w:r>
            <w:r>
              <w:rPr>
                <w:rFonts w:cs="Arial"/>
              </w:rPr>
              <w:t xml:space="preserve">: </w:t>
            </w:r>
          </w:p>
          <w:p>
            <w:pPr>
              <w:pStyle w:val="NoSpacing"/>
              <w:numPr>
                <w:ilvl w:val="0"/>
                <w:numId w:val="2"/>
              </w:numPr>
              <w:rPr/>
            </w:pPr>
            <w:r>
              <w:rPr/>
              <w:t>Effective use of ICT equipment and systems.</w:t>
            </w:r>
          </w:p>
          <w:p>
            <w:pPr>
              <w:pStyle w:val="Normal"/>
              <w:numPr>
                <w:ilvl w:val="0"/>
                <w:numId w:val="2"/>
              </w:numPr>
              <w:spacing w:before="120" w:after="120"/>
              <w:rPr/>
            </w:pPr>
            <w:r>
              <w:rPr/>
              <w:t>To work within controlled project budgets.</w:t>
            </w:r>
          </w:p>
          <w:p>
            <w:pPr>
              <w:pStyle w:val="Normal"/>
              <w:numPr>
                <w:ilvl w:val="0"/>
                <w:numId w:val="2"/>
              </w:numPr>
              <w:spacing w:before="120" w:after="120"/>
              <w:rPr/>
            </w:pPr>
            <w:r>
              <w:rPr/>
              <w:t>To adhere to all Policies including the Health and Safety and Safeguarding.</w:t>
            </w:r>
          </w:p>
        </w:tc>
      </w:tr>
      <w:tr>
        <w:trPr>
          <w:trHeight w:val="240" w:hRule="atLeast"/>
        </w:trPr>
        <w:tc>
          <w:tcPr>
            <w:tcW w:w="10466" w:type="dxa"/>
            <w:gridSpan w:val="4"/>
            <w:tcBorders>
              <w:top w:val="single" w:sz="6" w:space="0" w:color="000000"/>
              <w:left w:val="single" w:sz="6" w:space="0" w:color="000000"/>
              <w:right w:val="single" w:sz="6" w:space="0" w:color="000000"/>
            </w:tcBorders>
            <w:shd w:fill="auto" w:val="clear"/>
          </w:tcPr>
          <w:p>
            <w:pPr>
              <w:pStyle w:val="Normal"/>
              <w:spacing w:before="120" w:after="120"/>
              <w:rPr>
                <w:rFonts w:cs="Arial"/>
                <w:b/>
                <w:b/>
                <w:bCs/>
                <w:lang w:eastAsia="en-GB"/>
              </w:rPr>
            </w:pPr>
            <w:r>
              <w:rPr>
                <w:rFonts w:cs="Arial"/>
                <w:b/>
                <w:bCs/>
                <w:lang w:eastAsia="en-GB"/>
              </w:rPr>
              <w:t xml:space="preserve">Duties/Responsibilities: </w:t>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t>Supporting Children and Families:</w:t>
            </w:r>
          </w:p>
          <w:p>
            <w:pPr>
              <w:pStyle w:val="ListParagraph"/>
              <w:numPr>
                <w:ilvl w:val="0"/>
                <w:numId w:val="7"/>
              </w:numPr>
              <w:spacing w:lineRule="atLeast" w:line="300" w:before="0" w:after="0"/>
              <w:rPr>
                <w:rFonts w:eastAsia="Times New Roman" w:cs="Segoe UI"/>
                <w:lang w:val="en-US"/>
              </w:rPr>
            </w:pPr>
            <w:r>
              <w:rPr>
                <w:rFonts w:eastAsia="Times New Roman" w:cs="Segoe UI"/>
                <w:lang w:val="en-US"/>
              </w:rPr>
              <w:t>To develop strong working relationships with voluntary and community organisations, and their leaders, to help families access trusted support and local services.</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engage and build trusting relationships with families in hard-to-reach communities, particularly those facing barriers to accessing services.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identify the needs of children and families early and provide appropriate support or referrals.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deliver inclusive stay-and-play sessions, structured courses, and home learning interventions within Family Hubs, homes, and outreach venues.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support children’s development and school readiness by promoting effective home learning environments.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work in partnership with families to overcome barriers to accessing services and improve engagement.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promote awareness and uptake of local services, including Family Hub support and multi-agency provision.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collaborate with professionals and partner agencies to ensure coordinated and holistic support for families.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adapt delivery approaches to meet the diverse cultural, social, and individual needs of the community.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 xml:space="preserve">To monitor progress and outcomes, ensuring interventions are effective and responsive to need. </w:t>
            </w:r>
          </w:p>
          <w:p>
            <w:pPr>
              <w:pStyle w:val="ListParagraph"/>
              <w:numPr>
                <w:ilvl w:val="0"/>
                <w:numId w:val="6"/>
              </w:numPr>
              <w:spacing w:lineRule="atLeast" w:line="300" w:before="0" w:after="0"/>
              <w:rPr>
                <w:rFonts w:eastAsia="Times New Roman" w:cs="Segoe UI"/>
                <w:lang w:val="en-US"/>
              </w:rPr>
            </w:pPr>
            <w:r>
              <w:rPr>
                <w:rFonts w:eastAsia="Times New Roman" w:cs="Segoe UI"/>
                <w:lang w:val="en-US"/>
              </w:rPr>
              <w:t>To empower parents and carers with skills, knowledge, and confidence to support their children’s development.</w:t>
            </w:r>
          </w:p>
          <w:p>
            <w:pPr>
              <w:pStyle w:val="ListParagraph"/>
              <w:numPr>
                <w:ilvl w:val="0"/>
                <w:numId w:val="6"/>
              </w:numPr>
              <w:spacing w:before="0" w:after="200"/>
              <w:contextualSpacing/>
              <w:rPr/>
            </w:pPr>
            <w:r>
              <w:rPr/>
              <w:t>Promote early identification and early intervention to support children’s development and school readiness.</w:t>
            </w:r>
          </w:p>
          <w:p>
            <w:pPr>
              <w:pStyle w:val="ListParagraph"/>
              <w:numPr>
                <w:ilvl w:val="0"/>
                <w:numId w:val="4"/>
              </w:numPr>
              <w:spacing w:before="0" w:after="200"/>
              <w:contextualSpacing/>
              <w:rPr/>
            </w:pPr>
            <w:r>
              <w:rPr/>
              <w:t>Deliver or support evidence</w:t>
            </w:r>
            <w:r>
              <w:rPr>
                <w:rFonts w:cs="Cambria Math" w:ascii="Cambria Math" w:hAnsi="Cambria Math"/>
              </w:rPr>
              <w:noBreakHyphen/>
            </w:r>
            <w:r>
              <w:rPr/>
              <w:t>based interventions focused on communication, interaction and early learning.</w:t>
            </w:r>
          </w:p>
          <w:p>
            <w:pPr>
              <w:pStyle w:val="ListParagraph"/>
              <w:numPr>
                <w:ilvl w:val="0"/>
                <w:numId w:val="4"/>
              </w:numPr>
              <w:spacing w:before="0" w:after="200"/>
              <w:contextualSpacing/>
              <w:rPr/>
            </w:pPr>
            <w:r>
              <w:rPr/>
              <w:t>Empower parents and carers with strategies to support learning and development at home.</w:t>
            </w:r>
          </w:p>
          <w:p>
            <w:pPr>
              <w:pStyle w:val="ListParagraph"/>
              <w:numPr>
                <w:ilvl w:val="0"/>
                <w:numId w:val="4"/>
              </w:numPr>
              <w:spacing w:lineRule="atLeast" w:line="300" w:before="0" w:after="0"/>
              <w:rPr>
                <w:rFonts w:eastAsia="Times New Roman" w:cs="Segoe UI"/>
                <w:lang w:val="en-US"/>
              </w:rPr>
            </w:pPr>
            <w:r>
              <w:rPr>
                <w:rFonts w:eastAsia="Times New Roman" w:cs="Segoe UI"/>
                <w:lang w:val="en-US"/>
              </w:rPr>
              <w:t>To deliver a range of interventions, including stay-and-play sessions and courses, through Family Hubs and outreach venues to support children and parents.</w:t>
            </w:r>
          </w:p>
          <w:p>
            <w:pPr>
              <w:pStyle w:val="ListParagraph"/>
              <w:numPr>
                <w:ilvl w:val="0"/>
                <w:numId w:val="4"/>
              </w:numPr>
              <w:spacing w:before="0" w:after="200"/>
              <w:contextualSpacing/>
              <w:rPr/>
            </w:pPr>
            <w:r>
              <w:rPr/>
              <w:t>Work in partnership with early years settings, childminders and Family Hubs to embed inclusive practice.</w:t>
            </w:r>
          </w:p>
          <w:p>
            <w:pPr>
              <w:pStyle w:val="ListParagraph"/>
              <w:numPr>
                <w:ilvl w:val="0"/>
                <w:numId w:val="4"/>
              </w:numPr>
              <w:spacing w:before="0" w:after="200"/>
              <w:contextualSpacing/>
              <w:rPr/>
            </w:pPr>
            <w:r>
              <w:rPr/>
              <w:t>Work in partnership with the Early Years Funding and Sufficiency team to ensure children can access their Early Years Education and Funded Entitlements.</w:t>
            </w:r>
          </w:p>
          <w:p>
            <w:pPr>
              <w:pStyle w:val="Normal"/>
              <w:spacing w:before="0" w:after="200"/>
              <w:contextualSpacing/>
              <w:rPr/>
            </w:pPr>
            <w:r>
              <w:rPr/>
            </w:r>
          </w:p>
          <w:p>
            <w:pPr>
              <w:pStyle w:val="Normal"/>
              <w:numPr>
                <w:ilvl w:val="0"/>
                <w:numId w:val="4"/>
              </w:numPr>
              <w:spacing w:lineRule="auto" w:line="240" w:before="0" w:after="0"/>
              <w:jc w:val="both"/>
              <w:rPr>
                <w:rFonts w:cs=""/>
                <w:color w:val="000000"/>
              </w:rPr>
            </w:pPr>
            <w:r>
              <w:rPr>
                <w:rFonts w:cs=""/>
                <w:color w:val="000000"/>
              </w:rPr>
              <w:t>Contribute to Early Help assessments including the Story So Far, WellComm and other assessments as appropriate</w:t>
            </w:r>
          </w:p>
          <w:p>
            <w:pPr>
              <w:pStyle w:val="Normal"/>
              <w:spacing w:before="0" w:after="0"/>
              <w:contextualSpacing/>
              <w:rPr/>
            </w:pPr>
            <w:r>
              <w:rPr/>
            </w:r>
          </w:p>
          <w:p>
            <w:pPr>
              <w:pStyle w:val="Normal"/>
              <w:spacing w:before="0" w:after="200"/>
              <w:contextualSpacing/>
              <w:rPr>
                <w:b/>
                <w:b/>
                <w:bCs/>
              </w:rPr>
            </w:pPr>
            <w:r>
              <w:rPr>
                <w:b/>
                <w:bCs/>
              </w:rPr>
              <w:t>Safeguarding and professional practice:</w:t>
            </w:r>
          </w:p>
          <w:p>
            <w:pPr>
              <w:pStyle w:val="ListParagraph"/>
              <w:numPr>
                <w:ilvl w:val="0"/>
                <w:numId w:val="4"/>
              </w:numPr>
              <w:spacing w:before="0" w:after="200"/>
              <w:contextualSpacing/>
              <w:rPr/>
            </w:pPr>
            <w:r>
              <w:rPr/>
              <w:t>Maintain a clear focus on safeguarding and child protection, following local procedures.</w:t>
            </w:r>
          </w:p>
          <w:p>
            <w:pPr>
              <w:pStyle w:val="ListParagraph"/>
              <w:numPr>
                <w:ilvl w:val="0"/>
                <w:numId w:val="4"/>
              </w:numPr>
              <w:spacing w:before="0" w:after="200"/>
              <w:contextualSpacing/>
              <w:rPr/>
            </w:pPr>
            <w:r>
              <w:rPr/>
              <w:t>Keep accurate and timely records of work undertaken.</w:t>
            </w:r>
          </w:p>
          <w:p>
            <w:pPr>
              <w:pStyle w:val="ListParagraph"/>
              <w:numPr>
                <w:ilvl w:val="0"/>
                <w:numId w:val="4"/>
              </w:numPr>
              <w:spacing w:before="0" w:after="200"/>
              <w:contextualSpacing/>
              <w:rPr/>
            </w:pPr>
            <w:r>
              <w:rPr/>
              <w:t>Contribute to monitoring and evaluation linked to Best Start in Life outcomes.</w:t>
            </w:r>
          </w:p>
          <w:p>
            <w:pPr>
              <w:pStyle w:val="ListParagraph"/>
              <w:numPr>
                <w:ilvl w:val="0"/>
                <w:numId w:val="4"/>
              </w:numPr>
              <w:spacing w:before="0" w:after="200"/>
              <w:contextualSpacing/>
              <w:rPr/>
            </w:pPr>
            <w:r>
              <w:rPr/>
              <w:t xml:space="preserve">Maintain accurate confidential and compliant records </w:t>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r>
          </w:p>
          <w:p>
            <w:pPr>
              <w:pStyle w:val="ListParagraph"/>
              <w:tabs>
                <w:tab w:val="clear" w:pos="720"/>
                <w:tab w:val="left" w:pos="284" w:leader="none"/>
              </w:tabs>
              <w:spacing w:lineRule="auto" w:line="240" w:before="0" w:after="120"/>
              <w:ind w:left="0" w:right="0" w:hanging="0"/>
              <w:jc w:val="both"/>
              <w:rPr>
                <w:rFonts w:cs="Arial"/>
                <w:b/>
                <w:b/>
                <w:lang w:eastAsia="en-GB"/>
              </w:rPr>
            </w:pPr>
            <w:r>
              <w:rPr>
                <w:rFonts w:cs="Arial"/>
                <w:b/>
                <w:lang w:eastAsia="en-GB"/>
              </w:rPr>
              <w:t>General</w:t>
            </w:r>
          </w:p>
        </w:tc>
      </w:tr>
      <w:tr>
        <w:trPr>
          <w:trHeight w:val="240" w:hRule="atLeast"/>
        </w:trPr>
        <w:tc>
          <w:tcPr>
            <w:tcW w:w="10466" w:type="dxa"/>
            <w:gridSpan w:val="4"/>
            <w:tcBorders>
              <w:left w:val="single" w:sz="6" w:space="0" w:color="000000"/>
              <w:right w:val="single" w:sz="6" w:space="0" w:color="000000"/>
            </w:tcBorders>
            <w:shd w:fill="auto" w:val="clear"/>
          </w:tcPr>
          <w:p>
            <w:pPr>
              <w:pStyle w:val="NoSpacing"/>
              <w:numPr>
                <w:ilvl w:val="0"/>
                <w:numId w:val="3"/>
              </w:numPr>
              <w:rPr/>
            </w:pPr>
            <w:r>
              <w:rPr/>
              <w:t>As an employee of Bury Council you have a responsibility for, and must be committed to, safeguarding and promoting the welfare of children, young people and vulnerable adults and for ensuring that they are protected from harm.</w:t>
            </w:r>
          </w:p>
          <w:p>
            <w:pPr>
              <w:pStyle w:val="NoSpacing"/>
              <w:numPr>
                <w:ilvl w:val="0"/>
                <w:numId w:val="3"/>
              </w:numPr>
              <w:rPr/>
            </w:pPr>
            <w:r>
              <w:rPr/>
              <w:t>Bury Council is committed to equality, diversity and inclusion, and expects all staff to comply with its equality related policies/procedures, and to treat others with fairness and respect.</w:t>
            </w:r>
          </w:p>
          <w:p>
            <w:pPr>
              <w:pStyle w:val="NoSpacing"/>
              <w:numPr>
                <w:ilvl w:val="0"/>
                <w:numId w:val="3"/>
              </w:numPr>
              <w:rPr/>
            </w:pPr>
            <w:r>
              <w:rPr/>
              <w:t>The post holder is responsible for Employees Duties as specified with the Corporate and Departmental Health and Safety Policies.</w:t>
            </w:r>
          </w:p>
          <w:p>
            <w:pPr>
              <w:pStyle w:val="NoSpacing"/>
              <w:numPr>
                <w:ilvl w:val="0"/>
                <w:numId w:val="3"/>
              </w:numPr>
              <w:rPr/>
            </w:pPr>
            <w:r>
              <w:rPr/>
              <w:t>As an employee of Bury Council you should contribute to a culture that values and supports the physical and emotional wellbeing of your colleagues.</w:t>
            </w:r>
          </w:p>
          <w:p>
            <w:pPr>
              <w:pStyle w:val="NoSpacing"/>
              <w:ind w:left="720" w:right="0" w:hanging="0"/>
              <w:rPr/>
            </w:pPr>
            <w:r>
              <w:rPr/>
            </w:r>
          </w:p>
        </w:tc>
      </w:tr>
      <w:tr>
        <w:trPr>
          <w:trHeight w:val="240" w:hRule="atLeast"/>
          <w:cantSplit w:val="true"/>
        </w:trPr>
        <w:tc>
          <w:tcPr>
            <w:tcW w:w="10466" w:type="dxa"/>
            <w:gridSpan w:val="4"/>
            <w:tcBorders>
              <w:left w:val="single" w:sz="6" w:space="0" w:color="000000"/>
              <w:bottom w:val="double" w:sz="6" w:space="0" w:color="000000"/>
              <w:right w:val="single" w:sz="6" w:space="0" w:color="000000"/>
            </w:tcBorders>
            <w:shd w:fill="auto" w:val="clear"/>
          </w:tcPr>
          <w:p>
            <w:pPr>
              <w:pStyle w:val="Normal"/>
              <w:spacing w:before="120" w:after="240"/>
              <w:rPr>
                <w:rFonts w:cs="Arial"/>
              </w:rPr>
            </w:pPr>
            <w:r>
              <w:rPr>
                <w:rFonts w:cs="Arial"/>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tc>
      </w:tr>
      <w:tr>
        <w:trPr>
          <w:trHeight w:val="240" w:hRule="atLeast"/>
          <w:cantSplit w:val="true"/>
        </w:trPr>
        <w:tc>
          <w:tcPr>
            <w:tcW w:w="4428" w:type="dxa"/>
            <w:tcBorders>
              <w:top w:val="sing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Job Description prepared by:</w:t>
            </w:r>
          </w:p>
        </w:tc>
        <w:tc>
          <w:tcPr>
            <w:tcW w:w="3434" w:type="dxa"/>
            <w:gridSpan w:val="2"/>
            <w:tcBorders>
              <w:top w:val="sing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 xml:space="preserve">Sign: </w:t>
            </w:r>
          </w:p>
        </w:tc>
        <w:tc>
          <w:tcPr>
            <w:tcW w:w="2604" w:type="dxa"/>
            <w:tcBorders>
              <w:top w:val="sing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 xml:space="preserve">Agreed correct by Post holder: </w:t>
            </w:r>
          </w:p>
        </w:tc>
        <w:tc>
          <w:tcPr>
            <w:tcW w:w="3434" w:type="dxa"/>
            <w:gridSpan w:val="2"/>
            <w:tcBorders>
              <w:top w:val="doub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single" w:sz="6" w:space="0" w:color="000000"/>
            </w:tcBorders>
            <w:shd w:fill="auto" w:val="clear"/>
          </w:tcPr>
          <w:p>
            <w:pPr>
              <w:pStyle w:val="Normal"/>
              <w:spacing w:before="120" w:after="120"/>
              <w:rPr>
                <w:rFonts w:cs="Arial"/>
                <w:b/>
                <w:b/>
              </w:rPr>
            </w:pPr>
            <w:r>
              <w:rPr>
                <w:rFonts w:cs="Arial"/>
                <w:b/>
              </w:rPr>
              <w:t>Agreed correct by Supervisor/Manager:</w:t>
            </w:r>
          </w:p>
        </w:tc>
        <w:tc>
          <w:tcPr>
            <w:tcW w:w="3434" w:type="dxa"/>
            <w:gridSpan w:val="2"/>
            <w:tcBorders>
              <w:top w:val="double" w:sz="6" w:space="0" w:color="000000"/>
              <w:left w:val="double" w:sz="6" w:space="0" w:color="000000"/>
              <w:bottom w:val="sing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single" w:sz="6" w:space="0" w:color="000000"/>
              <w:right w:val="single" w:sz="6" w:space="0" w:color="000000"/>
            </w:tcBorders>
            <w:shd w:fill="auto" w:val="clear"/>
          </w:tcPr>
          <w:p>
            <w:pPr>
              <w:pStyle w:val="Normal"/>
              <w:spacing w:before="120" w:after="120"/>
              <w:rPr>
                <w:rFonts w:cs="Arial"/>
                <w:b/>
                <w:b/>
              </w:rPr>
            </w:pPr>
            <w:r>
              <w:rPr>
                <w:rFonts w:cs="Arial"/>
                <w:b/>
              </w:rPr>
              <w:t>Date:</w:t>
            </w:r>
          </w:p>
        </w:tc>
      </w:tr>
    </w:tbl>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rFonts w:cs="Arial"/>
          <w:b/>
          <w:b/>
        </w:rPr>
      </w:pPr>
      <w:r>
        <w:rPr>
          <w:rFonts w:cs="Arial"/>
          <w:b/>
        </w:rPr>
      </w:r>
    </w:p>
    <w:p>
      <w:pPr>
        <w:pStyle w:val="Normal"/>
        <w:jc w:val="center"/>
        <w:rPr>
          <w:b/>
          <w:b/>
          <w:bCs/>
        </w:rPr>
      </w:pPr>
      <w:r>
        <w:rPr>
          <w:b/>
          <w:bCs/>
        </w:rPr>
        <w:t xml:space="preserve">Department for Childrens Service </w:t>
      </w:r>
    </w:p>
    <w:p>
      <w:pPr>
        <w:pStyle w:val="Normal"/>
        <w:jc w:val="center"/>
        <w:rPr>
          <w:b/>
          <w:b/>
        </w:rPr>
      </w:pPr>
      <w:r>
        <w:rPr>
          <w:b/>
        </w:rPr>
        <w:t>Family Hub community Outreach Worker</w:t>
      </w:r>
    </w:p>
    <w:tbl>
      <w:tblPr>
        <w:tblW w:w="5000" w:type="pct"/>
        <w:jc w:val="left"/>
        <w:tblInd w:w="0" w:type="dxa"/>
        <w:tblCellMar>
          <w:top w:w="0" w:type="dxa"/>
          <w:left w:w="108" w:type="dxa"/>
          <w:bottom w:w="0" w:type="dxa"/>
          <w:right w:w="108" w:type="dxa"/>
        </w:tblCellMar>
      </w:tblPr>
      <w:tblGrid>
        <w:gridCol w:w="6812"/>
        <w:gridCol w:w="1897"/>
        <w:gridCol w:w="1757"/>
      </w:tblGrid>
      <w:tr>
        <w:trPr/>
        <w:tc>
          <w:tcPr>
            <w:tcW w:w="6812" w:type="dxa"/>
            <w:tcBorders>
              <w:top w:val="single" w:sz="4" w:space="0" w:color="000000"/>
              <w:left w:val="single" w:sz="4" w:space="0" w:color="000000"/>
            </w:tcBorders>
            <w:shd w:fill="auto" w:val="clear"/>
          </w:tcPr>
          <w:p>
            <w:pPr>
              <w:pStyle w:val="Normal"/>
              <w:spacing w:before="120" w:after="120"/>
              <w:rPr>
                <w:b/>
                <w:b/>
              </w:rPr>
            </w:pPr>
            <w:r>
              <w:rPr>
                <w:b/>
              </w:rPr>
              <w:t>SHORT LISTING CRITERIA</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ESSENTIAL</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DESIRABLE</w:t>
            </w:r>
          </w:p>
        </w:tc>
      </w:tr>
      <w:tr>
        <w:trPr>
          <w:trHeight w:val="611" w:hRule="atLeast"/>
          <w:cantSplit w:val="true"/>
        </w:trPr>
        <w:tc>
          <w:tcPr>
            <w:tcW w:w="10466"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b/>
                <w:b/>
                <w:i/>
                <w:i/>
                <w:iCs/>
                <w:sz w:val="20"/>
                <w:szCs w:val="20"/>
              </w:rPr>
            </w:pPr>
            <w:r>
              <w:rPr>
                <w:b/>
                <w:i/>
                <w:iCs/>
                <w:sz w:val="20"/>
                <w:szCs w:val="20"/>
              </w:rPr>
              <w:t>Qualifications</w:t>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rFonts w:eastAsia="Times New Roman" w:cs="Times New Roman"/>
                <w:sz w:val="20"/>
                <w:szCs w:val="20"/>
              </w:rPr>
            </w:pPr>
            <w:r>
              <w:rPr>
                <w:rFonts w:eastAsia="Times New Roman" w:cs="Times New Roman"/>
                <w:sz w:val="20"/>
                <w:szCs w:val="20"/>
              </w:rPr>
              <w:t>Level 3 or above qualification in Early Years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rFonts w:eastAsia="Times New Roman" w:cs="Times New Roman"/>
                <w:sz w:val="20"/>
                <w:szCs w:val="20"/>
              </w:rPr>
            </w:pPr>
            <w:r>
              <w:rPr>
                <w:rFonts w:eastAsia="Times New Roman" w:cs="Times New Roman"/>
                <w:sz w:val="20"/>
                <w:szCs w:val="20"/>
              </w:rPr>
              <w:t xml:space="preserve">Qualified to degree level or above in a relevant field </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10466"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b/>
                <w:b/>
                <w:i/>
                <w:i/>
                <w:iCs/>
                <w:sz w:val="20"/>
                <w:szCs w:val="20"/>
              </w:rPr>
            </w:pPr>
            <w:r>
              <w:rPr>
                <w:b/>
                <w:i/>
                <w:iCs/>
                <w:sz w:val="20"/>
                <w:szCs w:val="20"/>
              </w:rPr>
              <w:t>Experience</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Significant experience in working with vulnerable children aged 0-5 years and their families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Experience of working with voluntary, community and faith based groups and organisations.</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Experience of assessing, planning and working with children and families in a multi-disciplinary context</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keepNext w:val="true"/>
              <w:keepLines/>
              <w:numPr>
                <w:ilvl w:val="0"/>
                <w:numId w:val="0"/>
              </w:numPr>
              <w:spacing w:before="200" w:after="0"/>
              <w:ind w:left="0" w:hanging="0"/>
              <w:rPr>
                <w:rFonts w:eastAsia="Times New Roman"/>
                <w:sz w:val="20"/>
                <w:szCs w:val="20"/>
              </w:rPr>
            </w:pPr>
            <w:r>
              <w:rPr>
                <w:rFonts w:eastAsia="Times New Roman"/>
                <w:sz w:val="20"/>
                <w:szCs w:val="20"/>
              </w:rPr>
              <w:t>Experience of lone working and adhering to safe working practices</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Experience of working with families around parenting strategies and approaches</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cs="Times New Roman"/>
                <w:sz w:val="20"/>
                <w:szCs w:val="20"/>
              </w:rPr>
            </w:pPr>
            <w:r>
              <w:rPr>
                <w:rFonts w:eastAsia="Times New Roman" w:cs="Times New Roman"/>
                <w:sz w:val="20"/>
                <w:szCs w:val="20"/>
              </w:rPr>
              <w:t>Experience delivering Early Years interventions, modelling strategies and supporting families with emerging or identified developmental needs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Experience of facilitating evidence based programmes with parents, children and young people to achieve positive behaviour change</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eastAsia="Times New Roman"/>
                <w:sz w:val="20"/>
                <w:szCs w:val="20"/>
              </w:rPr>
            </w:pPr>
            <w:r>
              <w:rPr>
                <w:rFonts w:eastAsia="Times New Roman"/>
                <w:sz w:val="20"/>
                <w:szCs w:val="20"/>
              </w:rPr>
              <w:t xml:space="preserve">Experience of working collaboratively across multi agency systems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r>
      <w:tr>
        <w:trPr/>
        <w:tc>
          <w:tcPr>
            <w:tcW w:w="10466"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b/>
                <w:b/>
                <w:i/>
                <w:i/>
                <w:iCs/>
                <w:sz w:val="20"/>
                <w:szCs w:val="20"/>
              </w:rPr>
            </w:pPr>
            <w:r>
              <w:rPr>
                <w:b/>
                <w:i/>
                <w:iCs/>
                <w:sz w:val="20"/>
                <w:szCs w:val="20"/>
              </w:rPr>
              <w:t>Knowledge &amp; Understanding</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Understanding of child development and issues that may require a child to be in need of protection or statutory intervention</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Understanding of risk taking behaviours and how this impacts on children, young people and their families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 xml:space="preserve">Understanding of the importance of equality, diversity and anti-oppressive practice in the provision of care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 xml:space="preserve">Excellent understanding of safeguarding practice and application of continuum of need thresholds.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 xml:space="preserve">Knowledge of how community based services can be used to bring change to families lives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Thorough knowledge of child development and attachment theory</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 xml:space="preserve">Understanding of Adverse Childhood Experiences and how this can impact on families  </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Understanding of inclusive Early Years practice, SEND legislation and local SEND systems from birth to 25 (SEND)</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r>
      <w:tr>
        <w:trPr/>
        <w:tc>
          <w:tcPr>
            <w:tcW w:w="10466"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120" w:after="120"/>
              <w:rPr>
                <w:b/>
                <w:b/>
                <w:i/>
                <w:i/>
                <w:iCs/>
                <w:sz w:val="20"/>
                <w:szCs w:val="20"/>
              </w:rPr>
            </w:pPr>
            <w:r>
              <w:rPr>
                <w:b/>
                <w:i/>
                <w:iCs/>
                <w:sz w:val="20"/>
                <w:szCs w:val="20"/>
              </w:rPr>
              <w:t>Other</w:t>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Willing to work in a flexible manner outside of normal office hours where required</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eastAsia="Times New Roman"/>
                <w:sz w:val="20"/>
                <w:szCs w:val="20"/>
              </w:rPr>
            </w:pPr>
            <w:r>
              <w:rPr>
                <w:rFonts w:eastAsia="Times New Roman"/>
                <w:sz w:val="20"/>
                <w:szCs w:val="20"/>
              </w:rPr>
              <w:t>Willing to undertake training / professional development as required</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ascii="Wingdings 2" w:hAnsi="Wingdings 2" w:eastAsia="Wingdings 2" w:cs="Wingdings 2"/>
                <w:sz w:val="26"/>
                <w:lang w:eastAsia="en-GB"/>
              </w:rPr>
            </w:pPr>
            <w:r>
              <w:rPr>
                <w:rFonts w:eastAsia="Wingdings 2" w:cs="Wingdings 2" w:ascii="Wingdings 2" w:hAnsi="Wingdings 2"/>
                <w:sz w:val="26"/>
                <w:lang w:eastAsia="en-GB"/>
              </w:rPr>
              <w:t></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bl>
    <w:p>
      <w:pPr>
        <w:pStyle w:val="Normal"/>
        <w:rPr>
          <w:sz w:val="6"/>
        </w:rPr>
      </w:pPr>
      <w:r>
        <w:rPr>
          <w:sz w:val="6"/>
        </w:rPr>
      </w:r>
    </w:p>
    <w:p>
      <w:pPr>
        <w:pStyle w:val="Normal"/>
        <w:rPr>
          <w:sz w:val="20"/>
        </w:rPr>
      </w:pPr>
      <w:r>
        <w:rPr>
          <w:sz w:val="20"/>
        </w:rPr>
      </w:r>
    </w:p>
    <w:p>
      <w:pPr>
        <w:pStyle w:val="Normal"/>
        <w:jc w:val="center"/>
        <w:rPr>
          <w:rFonts w:cs="Arial"/>
          <w:b/>
          <w:b/>
          <w:sz w:val="20"/>
        </w:rPr>
      </w:pPr>
      <w:r>
        <w:rPr>
          <w:rFonts w:cs="Arial"/>
          <w:b/>
          <w:sz w:val="20"/>
        </w:rPr>
      </w:r>
    </w:p>
    <w:p>
      <w:pPr>
        <w:pStyle w:val="Normal"/>
        <w:jc w:val="center"/>
        <w:rPr>
          <w:rFonts w:cs="Arial"/>
          <w:b/>
          <w:b/>
        </w:rPr>
      </w:pPr>
      <w:r>
        <w:rPr>
          <w:rFonts w:cs="Arial"/>
          <w:b/>
        </w:rPr>
        <w:t>CRITERIA FOR INTERVIEW AND OTHER ASSESSMENT METHODS</w:t>
      </w:r>
    </w:p>
    <w:p>
      <w:pPr>
        <w:pStyle w:val="Normal"/>
        <w:jc w:val="center"/>
        <w:rPr>
          <w:rFonts w:cs="Arial"/>
          <w:b/>
          <w:b/>
        </w:rPr>
      </w:pPr>
      <w:r>
        <w:rPr>
          <w:rFonts w:cs="Arial"/>
          <w:b/>
        </w:rPr>
        <w:t>The short-listing criteria listed plus the following:</w:t>
      </w:r>
    </w:p>
    <w:tbl>
      <w:tblPr>
        <w:tblW w:w="5000" w:type="pct"/>
        <w:jc w:val="left"/>
        <w:tblInd w:w="0" w:type="dxa"/>
        <w:tblCellMar>
          <w:top w:w="0" w:type="dxa"/>
          <w:left w:w="108" w:type="dxa"/>
          <w:bottom w:w="0" w:type="dxa"/>
          <w:right w:w="108" w:type="dxa"/>
        </w:tblCellMar>
      </w:tblPr>
      <w:tblGrid>
        <w:gridCol w:w="2283"/>
        <w:gridCol w:w="8183"/>
      </w:tblGrid>
      <w:tr>
        <w:trPr>
          <w:trHeight w:val="345"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ASSESSMENT</w:t>
            </w:r>
          </w:p>
          <w:p>
            <w:pPr>
              <w:pStyle w:val="Normal"/>
              <w:spacing w:lineRule="auto" w:line="240" w:before="0" w:after="0"/>
              <w:jc w:val="center"/>
              <w:rPr>
                <w:b/>
                <w:b/>
              </w:rPr>
            </w:pPr>
            <w:r>
              <w:rPr>
                <w:b/>
              </w:rPr>
              <w:t>METHOD</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b/>
                <w:b/>
              </w:rPr>
            </w:pPr>
            <w:r>
              <w:rPr>
                <w:b/>
              </w:rPr>
              <w:t>CRITERIA</w:t>
            </w:r>
          </w:p>
        </w:tc>
      </w:tr>
      <w:tr>
        <w:trPr>
          <w:trHeight w:val="567" w:hRule="atLeast"/>
          <w:cantSplit w:val="true"/>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Ability to plan and organise a range of complex activities and prioritise changing circumstances and demands effectively.</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Self-motivated and able to work independently, whilst also able to work effectively within a team (internally and with partners) to collectively achieve results.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Excellent written and verbal communication skills combined with attention to details to produce good quality materials such as reports and letters.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00"/>
              <w:contextualSpacing/>
              <w:rPr/>
            </w:pPr>
            <w:r>
              <w:rPr/>
              <w:t>Highly developed interpersonal skills including a high level of integrity, discretion, tact and diplomacy.</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pPr>
            <w:r>
              <w:rPr/>
              <w:t>Ability to manage and monitor budgets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pPr>
            <w:r>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120"/>
              <w:rPr/>
            </w:pPr>
            <w:r>
              <w:rPr/>
              <w:t>Ability to Lead and manage highly Complex / confidential Long-Term Projects</w:t>
            </w:r>
          </w:p>
        </w:tc>
      </w:tr>
    </w:tbl>
    <w:p>
      <w:pPr>
        <w:pStyle w:val="Normal"/>
        <w:widowControl/>
        <w:bidi w:val="0"/>
        <w:spacing w:lineRule="auto" w:line="276" w:before="0" w:after="200"/>
        <w:jc w:val="left"/>
        <w:rPr/>
      </w:pPr>
      <w:r>
        <w:rPr/>
      </w:r>
    </w:p>
    <w:sectPr>
      <w:type w:val="nextPage"/>
      <w:pgSz w:w="11906" w:h="16838"/>
      <w:pgMar w:left="720" w:right="720" w:header="0" w:top="720"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Franklin Gothic Dem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Cambria Math">
    <w:charset w:val="00"/>
    <w:family w:val="roman"/>
    <w:pitch w:val="variable"/>
  </w:font>
  <w:font w:name="Wingdings 2">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360" w:hanging="360"/>
      </w:pPr>
      <w:rPr>
        <w:rFonts w:ascii="Symbol" w:hAnsi="Symbol" w:cs="Symbol" w:hint="default"/>
        <w:rFonts w:cs="Symbol"/>
      </w:rPr>
    </w:lvl>
    <w:lvl w:ilvl="1">
      <w:start w:val="1"/>
      <w:numFmt w:val="bullet"/>
      <w:lvlText w:val=""/>
      <w:lvlJc w:val="left"/>
      <w:pPr>
        <w:ind w:left="1080" w:hanging="360"/>
      </w:pPr>
      <w:rPr>
        <w:rFonts w:ascii="Symbol" w:hAnsi="Symbol" w:cs="Symbol" w:hint="default"/>
        <w:rFonts w:cs="Symbol"/>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5">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6">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7">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Verdana" w:hAnsi="Verdana" w:eastAsia="Calibri" w:cs="Verdana"/>
      <w:color w:val="auto"/>
      <w:kern w:val="0"/>
      <w:sz w:val="22"/>
      <w:szCs w:val="22"/>
      <w:lang w:val="en-GB" w:eastAsia="en-US" w:bidi="ar-SA"/>
    </w:rPr>
  </w:style>
  <w:style w:type="paragraph" w:styleId="Heading3">
    <w:name w:val="Heading 3"/>
    <w:basedOn w:val="Normal"/>
    <w:next w:val="Normal"/>
    <w:qFormat/>
    <w:pPr>
      <w:keepNext w:val="true"/>
      <w:keepLines/>
      <w:numPr>
        <w:ilvl w:val="2"/>
        <w:numId w:val="1"/>
      </w:numPr>
      <w:spacing w:before="200" w:after="0"/>
      <w:outlineLvl w:val="2"/>
    </w:pPr>
    <w:rPr>
      <w:rFonts w:ascii="Franklin Gothic Demi" w:hAnsi="Franklin Gothic Demi" w:eastAsia="Times New Roman" w:cs="Franklin Gothic Demi"/>
      <w:bCs/>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2">
    <w:name w:val="WW8Num3z2"/>
    <w:qFormat/>
    <w:rPr>
      <w:rFonts w:ascii="Wingdings" w:hAnsi="Wingdings" w:cs="Wingdings"/>
    </w:rPr>
  </w:style>
  <w:style w:type="character" w:styleId="WW8Num3z4">
    <w:name w:val="WW8Num3z4"/>
    <w:qFormat/>
    <w:rPr>
      <w:rFonts w:ascii="Courier New" w:hAnsi="Courier New" w:cs="Courier New"/>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Heading3Char">
    <w:name w:val="Heading 3 Char"/>
    <w:qFormat/>
    <w:rPr>
      <w:rFonts w:ascii="Franklin Gothic Demi" w:hAnsi="Franklin Gothic Demi" w:eastAsia="Times New Roman" w:cs="Vrinda"/>
      <w:bCs/>
      <w:sz w:val="24"/>
      <w:szCs w:val="24"/>
    </w:rPr>
  </w:style>
  <w:style w:type="character" w:styleId="BalloonTextChar">
    <w:name w:val="Balloon Text Char"/>
    <w:qFormat/>
    <w:rPr>
      <w:rFonts w:ascii="Tahoma" w:hAnsi="Tahoma" w:eastAsia="Calibri" w:cs="Tahoma"/>
      <w:sz w:val="16"/>
      <w:szCs w:val="16"/>
    </w:rPr>
  </w:style>
  <w:style w:type="character" w:styleId="Annotationreference">
    <w:name w:val="annotation reference"/>
    <w:qFormat/>
    <w:rPr>
      <w:sz w:val="16"/>
      <w:szCs w:val="16"/>
    </w:rPr>
  </w:style>
  <w:style w:type="character" w:styleId="CommentTextChar">
    <w:name w:val="Comment Text Char"/>
    <w:qFormat/>
    <w:rPr>
      <w:rFonts w:cs="Vrinda"/>
      <w:lang w:eastAsia="en-US"/>
    </w:rPr>
  </w:style>
  <w:style w:type="character" w:styleId="CommentSubjectChar">
    <w:name w:val="Comment Subject Char"/>
    <w:qFormat/>
    <w:rPr>
      <w:rFonts w:cs="Vrinda"/>
      <w:b/>
      <w:bCs/>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sonospacing">
    <w:name w:val="msonospacing"/>
    <w:basedOn w:val="Normal"/>
    <w:qFormat/>
    <w:pPr>
      <w:spacing w:lineRule="auto" w:line="240" w:before="0" w:after="0"/>
    </w:pPr>
    <w:rPr>
      <w:rFonts w:ascii="Calibri" w:hAnsi="Calibri" w:cs="Calibri"/>
      <w:lang w:eastAsia="en-GB"/>
    </w:rPr>
  </w:style>
  <w:style w:type="paragraph" w:styleId="ListParagraph">
    <w:name w:val="List Paragraph"/>
    <w:basedOn w:val="Normal"/>
    <w:qFormat/>
    <w:pPr>
      <w:ind w:left="720" w:right="0" w:hanging="0"/>
    </w:pPr>
    <w:rPr/>
  </w:style>
  <w:style w:type="paragraph" w:styleId="Default">
    <w:name w:val="Default"/>
    <w:qFormat/>
    <w:pPr>
      <w:widowControl/>
      <w:suppressAutoHyphens w:val="true"/>
      <w:bidi w:val="0"/>
      <w:spacing w:before="0" w:after="0"/>
      <w:jc w:val="left"/>
    </w:pPr>
    <w:rPr>
      <w:rFonts w:ascii="Verdana" w:hAnsi="Verdana" w:eastAsia="Calibri" w:cs="Verdana"/>
      <w:color w:val="000000"/>
      <w:kern w:val="0"/>
      <w:sz w:val="24"/>
      <w:szCs w:val="24"/>
      <w:lang w:val="en-GB" w:eastAsia="en-GB" w:bidi="ar-SA"/>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NoSpacing">
    <w:name w:val="No Spacing"/>
    <w:qFormat/>
    <w:pPr>
      <w:widowControl/>
      <w:suppressAutoHyphens w:val="true"/>
      <w:bidi w:val="0"/>
      <w:spacing w:before="0" w:after="0"/>
      <w:jc w:val="left"/>
    </w:pPr>
    <w:rPr>
      <w:rFonts w:ascii="Verdana" w:hAnsi="Verdana" w:eastAsia="Calibri" w:cs="Verdana"/>
      <w:color w:val="auto"/>
      <w:kern w:val="0"/>
      <w:sz w:val="22"/>
      <w:szCs w:val="22"/>
      <w:lang w:val="en-GB" w:eastAsia="en-US" w:bidi="ar-SA"/>
    </w:rPr>
  </w:style>
  <w:style w:type="paragraph" w:styleId="Revision">
    <w:name w:val="Revision"/>
    <w:qFormat/>
    <w:pPr>
      <w:widowControl/>
      <w:suppressAutoHyphens w:val="true"/>
      <w:bidi w:val="0"/>
      <w:spacing w:before="0" w:after="0"/>
      <w:jc w:val="left"/>
    </w:pPr>
    <w:rPr>
      <w:rFonts w:ascii="Verdana" w:hAnsi="Verdana" w:eastAsia="Calibri" w:cs="Verdana"/>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340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