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drawing>
          <wp:anchor behindDoc="0" distT="0" distB="0" distL="0" distR="0" simplePos="0" locked="0" layoutInCell="1" allowOverlap="1" relativeHeight="31">
            <wp:simplePos x="0" y="0"/>
            <wp:positionH relativeFrom="column">
              <wp:posOffset>4457700</wp:posOffset>
            </wp:positionH>
            <wp:positionV relativeFrom="paragraph">
              <wp:posOffset>-85725</wp:posOffset>
            </wp:positionV>
            <wp:extent cx="1700530" cy="69723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52" r="-21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ab/>
      </w:r>
    </w:p>
    <w:p>
      <w:pPr>
        <w:pStyle w:val="Head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sectPr>
          <w:footerReference w:type="default" r:id="rId3"/>
          <w:type w:val="nextPage"/>
          <w:pgSz w:w="11906" w:h="16838"/>
          <w:pgMar w:left="1134" w:right="1134" w:header="0" w:top="1134" w:footer="709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JOB DESCRIPTION</w:t>
      </w:r>
    </w:p>
    <w:p>
      <w:pPr>
        <w:sectPr>
          <w:type w:val="continuous"/>
          <w:pgSz w:w="11906" w:h="16838"/>
          <w:pgMar w:left="1134" w:right="1134" w:header="0" w:top="1134" w:footer="709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tbl>
      <w:tblPr>
        <w:tblW w:w="1002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781"/>
        <w:gridCol w:w="1780"/>
        <w:gridCol w:w="2902"/>
      </w:tblGrid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Title: Senior Building Surveyor - Disrepair</w:t>
            </w:r>
            <w:r>
              <w:rPr>
                <w:rFonts w:cs="Verdana" w:ascii="Verdana" w:hAnsi="Verdana"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5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Department:</w:t>
              <w:tab/>
              <w:tab/>
            </w:r>
          </w:p>
          <w:p>
            <w:pPr>
              <w:pStyle w:val="Normal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 xml:space="preserve">Housing Repairs &amp; Assets (Responsive Repairs / Planned Works) 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Establishment/Post No:</w:t>
              <w:tab/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5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Division/Section:</w:t>
              <w:tab/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Repairs &amp; Maintenance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Grade:</w:t>
              <w:tab/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Grade 14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5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Location:</w:t>
              <w:tab/>
              <w:tab/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3 Knowsley Place, Duke Street, Bury, BL9 0EJ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In line with Bury Council’s Agile Working Policy, you will be expected to adopt a flexible approach to work, which includes a combination of office-based duties, site visits across various localities, and homeworking as required.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ind w:left="1440" w:right="0" w:hanging="1440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Hours:</w:t>
              <w:tab/>
            </w:r>
          </w:p>
          <w:p>
            <w:pPr>
              <w:pStyle w:val="Normal"/>
              <w:ind w:left="1440" w:right="0" w:hanging="1440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ind w:left="1440" w:right="0" w:hanging="14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37 hours per week Monday to Friday</w:t>
            </w:r>
          </w:p>
          <w:p>
            <w:pPr>
              <w:pStyle w:val="Normal"/>
              <w:ind w:left="1440" w:right="0" w:hanging="14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(Flexible working hours)</w:t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Purpose and Objectives of Post: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sz w:val="22"/>
                <w:szCs w:val="22"/>
                <w:lang w:val="en-GB"/>
              </w:rPr>
            </w:pPr>
            <w:r>
              <w:rPr>
                <w:rFonts w:cs="Verdana" w:ascii="Verdana" w:hAnsi="Verdana"/>
                <w:sz w:val="22"/>
                <w:szCs w:val="22"/>
                <w:lang w:val="en-GB"/>
              </w:rPr>
              <w:t xml:space="preserve">Provide a specialist surveying service to investigate, diagnose and resolve disrepair across the housing stock and communal areas, ensuring homes are safe, decent and fit for human habitation throughout the tenancy. 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sz w:val="22"/>
                <w:szCs w:val="22"/>
                <w:lang w:val="en-GB"/>
              </w:rPr>
            </w:pPr>
            <w:r>
              <w:rPr>
                <w:rFonts w:cs="Verdana" w:ascii="Verdana" w:hAnsi="Verdana"/>
                <w:sz w:val="22"/>
                <w:szCs w:val="22"/>
                <w:lang w:val="en-GB"/>
              </w:rPr>
              <w:t>Lead technical inspections and specify cost</w:t>
              <w:noBreakHyphen/>
              <w:t xml:space="preserve">effective remedial works for structural defects, damp, mould, leaks and related hazards, ensuring compliance with HHSRS and the Homes (Fitness for Human Habitation) Act 2018. 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sz w:val="22"/>
                <w:szCs w:val="22"/>
                <w:lang w:val="en-GB"/>
              </w:rPr>
            </w:pPr>
            <w:r>
              <w:rPr>
                <w:rFonts w:cs="Verdana" w:ascii="Verdana" w:hAnsi="Verdana"/>
                <w:sz w:val="22"/>
                <w:szCs w:val="22"/>
                <w:lang w:val="en-GB"/>
              </w:rPr>
              <w:t xml:space="preserve">Work proactively with Repairs, Legal, Complaints and Contractors to deliver timely outcomes, minimise legal exposure, and support continuous improvement in resident experience and service quality. 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Verdana"/>
                <w:sz w:val="22"/>
                <w:szCs w:val="22"/>
                <w:lang w:val="en-GB"/>
              </w:rPr>
            </w:pPr>
            <w:r>
              <w:rPr>
                <w:rFonts w:cs="Verdana" w:ascii="Verdana" w:hAnsi="Verdana"/>
                <w:sz w:val="22"/>
                <w:szCs w:val="22"/>
                <w:lang w:val="en-GB"/>
              </w:rPr>
              <w:t>Ensure approaches align with the Regulator of Social Housing’s Safety &amp; Quality Standard (consumer standards from April 2024) including clear repair timescales, accurate stock condition data and strong communication with tenants.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Accountable to: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Heading1"/>
              <w:rPr>
                <w:b w:val="false"/>
                <w:b w:val="false"/>
              </w:rPr>
            </w:pPr>
            <w:r>
              <w:rPr>
                <w:b w:val="false"/>
              </w:rPr>
              <w:t>Head of Repairs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  <w:lang w:val="en-GB"/>
              </w:rPr>
            </w:pPr>
            <w:r>
              <w:rPr>
                <w:rFonts w:cs="Verdana" w:ascii="Verdana" w:hAnsi="Verdana"/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to: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Disrepair Manager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for: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Supervision (as required) of Graduate/Assistant Surveyors and casework support personnel.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Person Specification: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Degree or diploma in Building Surveying, Construction, or a related field (or equivalent experience).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Membership of a professional body such as RICS (Royal Institution of Chartered Surveyors, MCIOB, CIH).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Extensive years of experience in property surveying, preferably with a focus on disrepair.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Strong understanding of building pathology and common causes of disrepair.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Knowledge of relevant housing legislation and landlord responsibilities.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Familiarity with the Housing Health and Safety Rating System (HHSRS).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Awareness of legal procedures related to housing disrepair claims.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Understanding of construction methods, materials, and maintenance practices.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Proficiency in report writing and use of surveying software.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sz w:val="22"/>
                <w:szCs w:val="22"/>
              </w:rPr>
              <w:t>Valid UK driving licence and access to a vehicle.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Be available to attend meetings and on site in emergencies as necessary outside normal office hours.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Relationships: (Internal &amp; External)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ind w:left="1440" w:right="0" w:hanging="14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Internal:</w:t>
              <w:tab/>
            </w:r>
            <w:r>
              <w:rPr>
                <w:rFonts w:cs="Verdana" w:ascii="Verdana" w:hAnsi="Verdana"/>
                <w:bCs/>
                <w:sz w:val="22"/>
                <w:szCs w:val="22"/>
              </w:rPr>
              <w:t>Repairs &amp; Maintenance, Planned Works, Asset Management, Neighbourhoods/Housing, Legal Services, Complaints/Customer Experience, Finance, Building Safety Compliance, and Elected Members.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ind w:left="1418" w:right="0" w:hanging="1418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External:</w:t>
              <w:tab/>
            </w:r>
            <w:r>
              <w:rPr>
                <w:rFonts w:cs="Verdana" w:ascii="Verdana" w:hAnsi="Verdana"/>
                <w:bCs/>
                <w:sz w:val="22"/>
                <w:szCs w:val="22"/>
              </w:rPr>
              <w:t>Tenants and leaseholders, contractors/subcontractors, expert witnesses/surveyors, solicitors/claims firms, Housing Ombudsman Service, courts/tribunals, local authority Environmental Health Officers (EHOs), and statutory/professional bodies.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Control of Resources: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TextBody"/>
              <w:ind w:left="1418" w:right="0" w:hanging="1418"/>
              <w:rPr>
                <w:b/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  <w:p>
            <w:pPr>
              <w:pStyle w:val="TextBody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Monitor disrepair</w:t>
              <w:noBreakHyphen/>
              <w:t>related budgets; authorise and reconcile expenditure on works, expert fees and compensation, drive value for money while minimising financial exposure arising from legal claims.</w:t>
            </w:r>
          </w:p>
          <w:p>
            <w:pPr>
              <w:pStyle w:val="TextBody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Contribute to capital/planned programs by surfacing archetype defects and feeding stock intelligence to Asset teams.</w:t>
            </w:r>
          </w:p>
          <w:p>
            <w:pPr>
              <w:pStyle w:val="TextBody"/>
              <w:ind w:left="720" w:right="0" w:hanging="0"/>
              <w:rPr/>
            </w:pPr>
            <w:r>
              <w:rPr/>
            </w:r>
          </w:p>
          <w:p>
            <w:pPr>
              <w:pStyle w:val="TextBody"/>
              <w:rPr/>
            </w:pPr>
            <w:r>
              <w:rPr/>
              <w:t>Compliance with Health and Safety regulations in the office and out on site</w:t>
            </w:r>
          </w:p>
          <w:p>
            <w:pPr>
              <w:pStyle w:val="TextBody"/>
              <w:ind w:left="1418" w:right="0" w:hanging="0"/>
              <w:rPr/>
            </w:pPr>
            <w:r>
              <w:rPr/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ind w:left="720" w:right="0" w:hanging="720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Duties &amp; Responsibilities:</w:t>
            </w:r>
          </w:p>
          <w:p>
            <w:pPr>
              <w:pStyle w:val="Normal"/>
              <w:ind w:left="720" w:right="0" w:hanging="720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ind w:left="720" w:right="0" w:hanging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Technical inspections, diagnosis &amp; specifications: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Conduct pre</w:t>
              <w:noBreakHyphen/>
              <w:t>works surveys, intrusive investigations (where required) and post</w:t>
              <w:noBreakHyphen/>
              <w:t xml:space="preserve">inspections across tenanted, communal and void properties, provide photographic evidence, detailed schedules/specifications and measured quantities using SOR codes. 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Diagnose root causes of damp and mould (condensation, penetration, rising damp, thermal bridging/insulation defects, ventilation/heating performance) and specify sustainable remedies in line with Bury MBC damp and Mould health-risk guidance for landlords. (Damp and Mould understand and address the health risks for rented housing providers).</w:t>
            </w:r>
          </w:p>
          <w:p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Assess hazards using HHSRS and categorise risk; ensure Category 1 hazards are escalated and eliminated within appropriate timescales.</w:t>
            </w:r>
          </w:p>
          <w:p>
            <w:pPr>
              <w:pStyle w:val="Normal"/>
              <w:ind w:left="720" w:right="0" w:hanging="72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Legal &amp; regulatory compliance:</w:t>
            </w:r>
          </w:p>
          <w:p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Ensure all work and recommendations meet the Homes (Fitness for Human Habitation) Act 2018 and related obligations under the Landlord &amp; Tenant Act 1985 (s11).</w:t>
            </w:r>
          </w:p>
          <w:p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Lead adherence to the Pre</w:t>
              <w:noBreakHyphen/>
              <w:t>Action Protocol for Housing Conditions (England), coordinated responses to Letters of Claim, expert instructions, disclosure, and early dispute resolution.</w:t>
            </w:r>
          </w:p>
          <w:p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Implement the RSH (Regulator of Social Housing) Safety &amp; Quality Standard expectations: enable easy reporting, set &amp; communicate timescales, maintain accurate property</w:t>
              <w:noBreakHyphen/>
              <w:t>level condition records, and deliver effective, efficient, timely repairs.</w:t>
            </w:r>
          </w:p>
          <w:p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Apply Awaab’s Law (Hazards in Social Housing Prescribed Requirements Regulations), triage and resolve emergency hazards and significant damp/mould hazards to fixed timeframes; arrange decants where homes cannot be made safe, maintain robust records.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Disrepair case management &amp; litigation support:</w:t>
            </w:r>
          </w:p>
          <w:p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Review claimant expert reports and schedules, prepare defendant technical reports, Scott Schedules and witness statements, attend court/tribunal as technical witness where required.</w:t>
            </w:r>
          </w:p>
          <w:p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Liaise with Legal to challenge Single Joint Experts where appropriate and protect the landlord’s interests through sound building pathology and evidence handling.</w:t>
            </w:r>
          </w:p>
          <w:p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Work closely with Disrepair Case Officers to progress claims to completion, preventing unnecessary financial loss and ensuring timely remedy of underlying defects.</w:t>
            </w:r>
          </w:p>
          <w:p>
            <w:pPr>
              <w:pStyle w:val="Normal"/>
              <w:ind w:left="360" w:right="0" w:hanging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Contractor, project &amp; cost management: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Procure, brief and oversee contractors/specialists; agree programs, method statements and safe systems of work; manage variations and sign</w:t>
              <w:noBreakHyphen/>
              <w:t>off quality.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Monitor commercial performance, interrogate contractor invoices against schedules/specifications and ensure value for money.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Feed recurring/structural issues to Asset &amp; Planned teams to inform investment and Decent Homes delivery.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Resident engagement, safeguarding &amp; complaints learning:</w:t>
            </w:r>
          </w:p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Provide clear, empathetic communication to residents throughout inspections and works, tailor approaches to vulnerabilities and keep tenants informed at each stage, consistent with Ombudsman expectations (“zero</w:t>
              <w:noBreakHyphen/>
              <w:t>tolerance” approach to damp/mould).</w:t>
            </w:r>
          </w:p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Apply safeguarding principles on visits, escalate concerns about vulnerable adults/children to appropriate services.</w:t>
            </w:r>
          </w:p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Capture learning from complaints and disrepair cases to drive improvements in service culture, data and responsiveness.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ind w:left="720" w:right="0" w:hanging="720"/>
              <w:jc w:val="both"/>
              <w:rPr>
                <w:rFonts w:ascii="Verdana" w:hAnsi="Verdana" w:cs="Verdana"/>
                <w:b/>
                <w:b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ind w:left="720" w:right="0" w:hanging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Data, quality assurance &amp; reporting:</w:t>
            </w:r>
          </w:p>
          <w:p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Maintain accurate case files, stock condition data and asset records; produce management information on defects, work in progress, timeframes and outcomes in line with consumer standards.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Undertake audit checks of partnering contractors, particularly for disrepair and damp/mould remedies, report compliance issues and corrective actions.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Health &amp; Safety, CDM &amp; compliance:</w:t>
            </w:r>
          </w:p>
          <w:p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Ensure risk assessments, RAMS and CDM Regulations considerations are embedded in specifications and delivery; uphold site safety and corporate H&amp;S policies.</w:t>
            </w:r>
          </w:p>
          <w:p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Follow Bury MBC damp/mould guidance: respond sensitively and with urgency, tackle underlying causes promptly, and prioritise tenant health outcomes.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Continuous improvement &amp; professional leadership:</w:t>
            </w:r>
          </w:p>
          <w:p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Provide technical coaching to Repairs/Voids operatives and assistant surveyors; promote consistent diagnostic standards and robust record</w:t>
              <w:noBreakHyphen/>
              <w:t>keeping.</w:t>
            </w:r>
          </w:p>
          <w:p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Contribute to service redesign aligned to Better Social Housing Review principles on repairs and maintenance (resident</w:t>
              <w:noBreakHyphen/>
              <w:t>centered, transparent processes and clear timescales).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ind w:left="720" w:right="0" w:hanging="72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Genera</w:t>
            </w:r>
            <w:r>
              <w:rPr>
                <w:rFonts w:cs="Verdana" w:ascii="Verdana" w:hAnsi="Verdana"/>
                <w:sz w:val="22"/>
                <w:szCs w:val="22"/>
              </w:rPr>
              <w:t>l: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Contribute to policy formation, establish procedures and practices especially in respect to identification of cost savings and continuous improvement of the services offered</w:t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Be conversant with the Council’s property related computerised database systems and update records as necessary.</w:t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Attend interview panels for the appointment of staff.</w:t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Oversee the setting of key tasks in respect to the identified areas of responsibility and allocation of staff and resources. </w:t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Be available for advice over the telephone or in person on site in respect of Council premises in the event of an emergency occurring outside office hours.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/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Job Description prepared by: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Sign: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Date: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Agreed correct by Postholder: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Sign: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Date: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Agreed correct by Supervisor/Manager:</w:t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Sign: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Date: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  <w:r>
        <w:br w:type="page"/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ind w:left="7200" w:right="0" w:firstLine="720"/>
        <w:rPr>
          <w:rFonts w:ascii="Verdana" w:hAnsi="Verdana" w:cs="Verdana"/>
          <w:sz w:val="22"/>
          <w:szCs w:val="22"/>
        </w:rPr>
      </w:pPr>
      <w:r>
        <w:rPr/>
        <w:drawing>
          <wp:inline distT="0" distB="0" distL="0" distR="0">
            <wp:extent cx="1485900" cy="609600"/>
            <wp:effectExtent l="0" t="0" r="0" b="0"/>
            <wp:docPr id="6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3"/>
        <w:gridCol w:w="1746"/>
        <w:gridCol w:w="1619"/>
      </w:tblGrid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SHORT LISTING CRITERIA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ESSENTIAL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DESIRABLE</w:t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RICS accredited degree or equivalent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Satisfaction of RICS Assessment of Professional Competence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Extensive experience of Surveying domestic properties and diagnosing faults.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  <w:bCs/>
              </w:rPr>
            </w:pPr>
            <w:r>
              <w:rPr>
                <w:rFonts w:eastAsia="Wingdings 2" w:cs="Wingdings 2" w:ascii="Wingdings 2" w:hAnsi="Wingdings 2"/>
                <w:b/>
                <w:bCs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Extensive experience of surveying domestic properties for a social housing provider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  <w:bCs/>
              </w:rPr>
            </w:pPr>
            <w:r>
              <w:rPr>
                <w:rFonts w:eastAsia="Wingdings 2" w:cs="Wingdings 2" w:ascii="Wingdings 2" w:hAnsi="Wingdings 2"/>
                <w:b/>
                <w:bCs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Able to demonstrate a significant level of experience and expertise in surveying public buildings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Able to demonstrate a significant level of knowledge and experience and expertise in contractor management.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the management of property related project budgets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planned property maintenance and investment.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managing and participating in projects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  <w:bookmarkStart w:id="0" w:name="_Hlk168575678"/>
            <w:bookmarkStart w:id="1" w:name="_Hlk168575678"/>
            <w:bookmarkEnd w:id="1"/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work accurately under pressure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Ability to effectively communicate complex information to all levels of staff, adapting the style of communication as necessary and ensuring this information is understood.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An understanding of building construction, and repair and maintenance processes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working within the environment of a large organisation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in the prioritisation of property expenditure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in the supervision of external contractors or consultants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keepNext w:val="true"/>
              <w:keepLines/>
              <w:spacing w:lineRule="auto" w:line="256" w:before="160" w:after="8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Computer literate and the ability to use common Microsoft software (Word, Excel, etc)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Wingdings 2" w:hAnsi="Wingdings 2" w:eastAsia="Wingdings 2" w:cs="Wingdings 2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</w:rPr>
              <w:t>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ind w:left="0" w:right="0" w:firstLine="720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CRITERIA FOR INTERVIEW AND OTHER ASSESSMENT METHODS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The short-listing criteria listed plus the following: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tbl>
      <w:tblPr>
        <w:tblW w:w="3950" w:type="pct"/>
        <w:jc w:val="left"/>
        <w:tblInd w:w="81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5128"/>
      </w:tblGrid>
      <w:tr>
        <w:trPr>
          <w:trHeight w:val="1007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ASSESSMENT</w:t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METHOD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CRITERIA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 (I) /</w:t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Assessment (A) /</w:t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Personality Questionnaire (PQ)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>
          <w:trHeight w:val="656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BEHAVIOURS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I/PQ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Has the ability and desire to ‘self start’, using personal initiative  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I/PQ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Focuses on outcomes rather than processes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I/PQ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Challenges methods and processes in delivering required outcomes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Takes a flexible and creative approach to tasks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Has a positive attitude to change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Constantly seeks improvements in quality and efficiency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I/PQ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Puts the customer first and strives to exceed customer expectations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Proactively seeks and acts upon customer feedback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Constantly identifies and anticipates the needs of the customer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Understands the impact of the role on the finances of the Council and its corporate aims and objectives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Builds and maintains strong network of support both internally and externally to forge effective partnerships with a range of stakeholders.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Identifies and organizes resources and manages time effectively monitoring performance against milestones and deadlines,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Upholds the values of the Council in everything they do</w:t>
            </w:r>
          </w:p>
          <w:p>
            <w:pPr>
              <w:pStyle w:val="ListParagraph"/>
              <w:ind w:left="0" w:right="0" w:hanging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1447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QUALIFICATION AND EXPERIENCE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Experience of establishing and managing property budgets 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Familiarity with, and experience of working within, a Performance Management environment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SKILLS &amp; KNOWLEDGE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to negotiate agreements with minimum supervision.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Sets clearly defined objectives, plans activities and projects well in advance and takes account of changing circumstances.  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Demonstrates sound business acumen and able to secure Value for money in service delivery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to obtain and analyse a wide range of data and other sources of information from both internal and external sources,  to inform strategic property management decisions</w:t>
            </w:r>
          </w:p>
        </w:tc>
      </w:tr>
      <w:tr>
        <w:trPr>
          <w:trHeight w:val="345" w:hRule="atLeast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Excellent communication skills, both written and verbal </w:t>
            </w:r>
          </w:p>
        </w:tc>
      </w:tr>
    </w:tbl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sectPr>
      <w:type w:val="continuous"/>
      <w:pgSz w:w="11906" w:h="16838"/>
      <w:pgMar w:left="1134" w:right="1134" w:header="0" w:top="1134" w:footer="709" w:bottom="1440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Demi">
    <w:charset w:val="00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Verdana" w:hAnsi="Verdana" w:cs="Verdana"/>
      </w:rPr>
    </w:pPr>
    <w:r>
      <w:rPr/>
      <w:t>P</w:t>
      <mc:AlternateContent>
        <mc:Choice Requires="wps">
          <w:drawing>
            <wp:anchor behindDoc="1" distT="0" distB="0" distL="114935" distR="114935" simplePos="0" locked="0" layoutInCell="1" allowOverlap="1" relativeHeight="9">
              <wp:simplePos x="0" y="0"/>
              <wp:positionH relativeFrom="column">
                <wp:posOffset>5897880</wp:posOffset>
              </wp:positionH>
              <wp:positionV relativeFrom="paragraph">
                <wp:posOffset>26670</wp:posOffset>
              </wp:positionV>
              <wp:extent cx="216535" cy="216535"/>
              <wp:effectExtent l="0" t="0" r="0" b="0"/>
              <wp:wrapNone/>
              <wp:docPr id="2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216000"/>
                      </a:xfrm>
                      <a:prstGeom prst="rect">
                        <a:avLst/>
                      </a:prstGeom>
                      <a:solidFill>
                        <a:srgbClr val="ffd80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fillcolor="#ffd800" stroked="f" style="position:absolute;margin-left:464.4pt;margin-top:2.1pt;width:16.95pt;height:16.95pt">
              <w10:wrap type="none"/>
              <v:fill o:detectmouseclick="t" type="solid" color2="#0027ff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16">
              <wp:simplePos x="0" y="0"/>
              <wp:positionH relativeFrom="column">
                <wp:posOffset>5835015</wp:posOffset>
              </wp:positionH>
              <wp:positionV relativeFrom="paragraph">
                <wp:posOffset>26670</wp:posOffset>
              </wp:positionV>
              <wp:extent cx="341630" cy="22923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5F_x0000_t202" coordsize="21600,21600" o:spt="202" path="m,l,21600l21600,21600l21600,xe">
              <v:stroke joinstyle="miter"/>
              <v:path gradientshapeok="t" o:connecttype="rect"/>
            </v:shapetype>
            <v:shape id="shape_0" stroked="f" style="position:absolute;margin-left:459.45pt;margin-top:2.1pt;width:26.8pt;height:17.95pt" type="shapetype_202">
              <v:textbox>
                <w:txbxContent>
                  <w:p>
                    <w:pPr>
                      <w:overflowPunct w:val="false"/>
                      <w:rPr/>
                    </w:pPr>
                    <w:r>
                      <w:rPr>
                        <w:kern w:val="2"/>
                        <w:rFonts w:ascii="Liberation Serif" w:hAnsi="Liberation Serif" w:eastAsia="NSimSun" w:cs="Lucida Sans"/>
                        <w:lang w:eastAsia="zh-CN" w:bidi="hi-IN"/>
                      </w:rPr>
                    </w:r>
                  </w:p>
                </w:txbxContent>
              </v:textbox>
              <w10:wrap type="none"/>
              <v:fill o:detectmouseclick="t" on="false"/>
              <v:stroke color="#3465a4" joinstyle="round" endcap="flat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23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5829935" cy="216535"/>
              <wp:effectExtent l="0" t="0" r="0" b="0"/>
              <wp:wrapNone/>
              <wp:docPr id="4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480" cy="2160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fillcolor="#969696" stroked="f" style="position:absolute;margin-left:0pt;margin-top:2.2pt;width:458.95pt;height:16.95pt">
              <w10:wrap type="none"/>
              <v:fill o:detectmouseclick="t" type="solid" color2="#696969"/>
              <v:stroke color="#3465a4" joinstyle="round" endcap="flat"/>
            </v:rect>
          </w:pict>
        </mc:Fallback>
      </mc:AlternateContent>
    </w:r>
    <w:r>
      <w:rPr/>
      <w:t xml:space="preserve">age </w:t>
    </w:r>
    <w:r>
      <w:rPr>
        <w:rFonts w:cs="Verdana" w:ascii="Verdana" w:hAnsi="Verdana"/>
      </w:rPr>
      <w:fldChar w:fldCharType="begin"/>
    </w:r>
    <w:r>
      <w:rPr>
        <w:rFonts w:cs="Verdana" w:ascii="Verdana" w:hAnsi="Verdana"/>
      </w:rPr>
      <w:instrText> PAGE </w:instrText>
    </w:r>
    <w:r>
      <w:rPr>
        <w:rFonts w:cs="Verdana" w:ascii="Verdana" w:hAnsi="Verdana"/>
      </w:rPr>
      <w:fldChar w:fldCharType="separate"/>
    </w:r>
    <w:r>
      <w:rPr>
        <w:rFonts w:cs="Verdana" w:ascii="Verdana" w:hAnsi="Verdana"/>
      </w:rPr>
      <w:t>7</w:t>
    </w:r>
    <w:r>
      <w:rPr>
        <w:rFonts w:cs="Verdana" w:ascii="Verdana" w:hAnsi="Verdana"/>
      </w:rPr>
      <w:fldChar w:fldCharType="end"/>
    </w:r>
    <w:r>
      <w:rPr>
        <w:rFonts w:cs="Verdana" w:ascii="Verdana" w:hAnsi="Verdana"/>
      </w:rPr>
      <w:t xml:space="preserve"> of </w:t>
    </w:r>
    <w:r>
      <w:rPr>
        <w:rFonts w:cs="Verdana" w:ascii="Verdana" w:hAnsi="Verdana"/>
      </w:rPr>
      <w:fldChar w:fldCharType="begin"/>
    </w:r>
    <w:r>
      <w:rPr>
        <w:rFonts w:cs="Verdana" w:ascii="Verdana" w:hAnsi="Verdana"/>
      </w:rPr>
      <w:instrText> NUMPAGES \* ARABIC </w:instrText>
    </w:r>
    <w:r>
      <w:rPr>
        <w:rFonts w:cs="Verdana" w:ascii="Verdana" w:hAnsi="Verdana"/>
      </w:rPr>
      <w:fldChar w:fldCharType="separate"/>
    </w:r>
    <w:r>
      <w:rPr>
        <w:rFonts w:cs="Verdana" w:ascii="Verdana" w:hAnsi="Verdana"/>
      </w:rPr>
      <w:t>7</w:t>
    </w:r>
    <w:r>
      <w:rPr>
        <w:rFonts w:cs="Verdana" w:ascii="Verdana" w:hAnsi="Verdana"/>
      </w:rPr>
      <w:fldChar w:fldCharType="end"/>
    </w:r>
    <w:r>
      <mc:AlternateContent>
        <mc:Choice Requires="wps">
          <w:drawing>
            <wp:anchor behindDoc="1" distT="72390" distB="72390" distL="0" distR="0" simplePos="0" locked="0" layoutInCell="1" allowOverlap="1" relativeHeight="30">
              <wp:simplePos x="0" y="0"/>
              <wp:positionH relativeFrom="column">
                <wp:posOffset>5835015</wp:posOffset>
              </wp:positionH>
              <wp:positionV relativeFrom="paragraph">
                <wp:posOffset>26670</wp:posOffset>
              </wp:positionV>
              <wp:extent cx="340995" cy="228600"/>
              <wp:effectExtent l="0" t="0" r="0" b="0"/>
              <wp:wrapNone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" cy="2286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>
                              <w:rStyle w:val="Pagenumber"/>
                              <w:rFonts w:ascii="Franklin Gothic Demi" w:hAnsi="Franklin Gothic Demi" w:cs="Franklin Gothic Demi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cs="Franklin Gothic Demi" w:ascii="Franklin Gothic Demi" w:hAnsi="Franklin Gothic Dem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Franklin Gothic Demi" w:ascii="Franklin Gothic Demi" w:hAnsi="Franklin Gothic Demi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Franklin Gothic Demi" w:ascii="Franklin Gothic Demi" w:hAnsi="Franklin Gothic Dem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Franklin Gothic Demi" w:ascii="Franklin Gothic Demi" w:hAnsi="Franklin Gothic Demi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Franklin Gothic Demi" w:ascii="Franklin Gothic Demi" w:hAnsi="Franklin Gothic Demi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.85pt;height:18pt;mso-wrap-distance-left:0pt;mso-wrap-distance-right:0pt;mso-wrap-distance-top:5.7pt;mso-wrap-distance-bottom:5.7pt;margin-top:2.1pt;mso-position-vertical-relative:text;margin-left:459.45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FrameContents"/>
                      <w:jc w:val="center"/>
                      <w:rPr>
                        <w:rStyle w:val="Pagenumber"/>
                        <w:rFonts w:ascii="Franklin Gothic Demi" w:hAnsi="Franklin Gothic Demi" w:cs="Franklin Gothic Demi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cs="Franklin Gothic Demi" w:ascii="Franklin Gothic Demi" w:hAnsi="Franklin Gothic Dem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szCs w:val="20"/>
                        <w:rFonts w:cs="Franklin Gothic Demi" w:ascii="Franklin Gothic Demi" w:hAnsi="Franklin Gothic Demi"/>
                      </w:rPr>
                      <w:instrText> PAGE </w:instrText>
                    </w:r>
                    <w:r>
                      <w:rPr>
                        <w:rStyle w:val="Pagenumber"/>
                        <w:sz w:val="20"/>
                        <w:szCs w:val="20"/>
                        <w:rFonts w:cs="Franklin Gothic Demi" w:ascii="Franklin Gothic Demi" w:hAnsi="Franklin Gothic Demi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szCs w:val="20"/>
                        <w:rFonts w:cs="Franklin Gothic Demi" w:ascii="Franklin Gothic Demi" w:hAnsi="Franklin Gothic Demi"/>
                      </w:rPr>
                      <w:t>7</w:t>
                    </w:r>
                    <w:r>
                      <w:rPr>
                        <w:rStyle w:val="Pagenumber"/>
                        <w:sz w:val="20"/>
                        <w:szCs w:val="20"/>
                        <w:rFonts w:cs="Franklin Gothic Demi" w:ascii="Franklin Gothic Demi" w:hAnsi="Franklin Gothic Dem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Verdana" w:hAnsi="Verdana" w:cs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56" w:before="160" w:after="80"/>
      <w:outlineLvl w:val="2"/>
    </w:pPr>
    <w:rPr>
      <w:rFonts w:ascii="Calibri" w:hAnsi="Calibri" w:eastAsia="" w:cs=""/>
      <w:color w:val="365F91"/>
      <w:kern w:val="2"/>
      <w:sz w:val="28"/>
      <w:szCs w:val="28"/>
      <w:lang w:val="en-GB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val="en-US"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lang w:val="en-US" w:eastAsia="en-US"/>
    </w:rPr>
  </w:style>
  <w:style w:type="character" w:styleId="CommentSubjectChar">
    <w:name w:val="Comment Subject Char"/>
    <w:basedOn w:val="CommentTextChar"/>
    <w:qFormat/>
    <w:rPr>
      <w:b/>
      <w:bCs/>
      <w:lang w:val="en-US" w:eastAsia="en-US"/>
    </w:rPr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eading3Char">
    <w:name w:val="Heading 3 Char"/>
    <w:basedOn w:val="DefaultParagraphFont"/>
    <w:qFormat/>
    <w:rPr>
      <w:rFonts w:ascii="Calibri" w:hAnsi="Calibri" w:eastAsia="" w:cs=""/>
      <w:color w:val="365F91"/>
      <w:kern w:val="2"/>
      <w:sz w:val="28"/>
      <w:szCs w:val="2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Verdana" w:hAnsi="Verdana" w:cs="Verdana"/>
      <w:sz w:val="22"/>
      <w:szCs w:val="2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2025-11-29T14:08:00Z</dcterms:created>
  <dc:creator>j.sayers</dc:creator>
  <dc:description/>
  <dc:language>en-US</dc:language>
  <cp:lastModifiedBy>Khanporia, Mubarak</cp:lastModifiedBy>
  <cp:lastPrinted>1995-11-21T17:41:00Z</cp:lastPrinted>
  <dcterms:modified xsi:type="dcterms:W3CDTF">2026-02-19T10:34:00Z</dcterms:modified>
  <cp:revision>11</cp:revision>
  <dc:subject/>
  <dc:title>Heading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ContentTypeId">
    <vt:lpwstr>0x0101001AFDB9333E6C75448CF49301F6169472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