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Style w:val="Normaltextrun"/>
          <w:rFonts w:cs="Arial" w:ascii="Arial" w:hAnsi="Arial"/>
          <w:b/>
          <w:bCs/>
          <w:color w:val="808080"/>
          <w:sz w:val="40"/>
          <w:szCs w:val="40"/>
          <w:shd w:fill="FFFFFF" w:val="clear"/>
        </w:rPr>
        <w:t>Job Description</w:t>
      </w:r>
    </w:p>
    <w:tbl>
      <w:tblPr>
        <w:tblW w:w="9791" w:type="dxa"/>
        <w:jc w:val="left"/>
        <w:tblInd w:w="-436" w:type="dxa"/>
        <w:tblCellMar>
          <w:top w:w="0" w:type="dxa"/>
          <w:left w:w="5" w:type="dxa"/>
          <w:bottom w:w="0" w:type="dxa"/>
          <w:right w:w="5" w:type="dxa"/>
        </w:tblCellMar>
      </w:tblPr>
      <w:tblGrid>
        <w:gridCol w:w="3119"/>
        <w:gridCol w:w="6672"/>
      </w:tblGrid>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pPr>
            <w:r>
              <w:rPr>
                <w:rFonts w:eastAsia="Times New Roman" w:cs="Arial" w:ascii="Arial" w:hAnsi="Arial"/>
                <w:b/>
                <w:bCs/>
                <w:color w:val="000000"/>
                <w:kern w:val="0"/>
                <w:lang w:eastAsia="en-GB"/>
              </w:rPr>
              <w:t>Post Title</w:t>
            </w:r>
            <w:r>
              <w:rPr>
                <w:rFonts w:eastAsia="Times New Roman" w:cs="Arial" w:ascii="Arial" w:hAnsi="Arial"/>
                <w:color w:val="000000"/>
                <w:kern w:val="0"/>
                <w:lang w:eastAsia="en-GB"/>
              </w:rPr>
              <w:t> </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Team Manager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Department</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 xml:space="preserve">Children &amp; Young People </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Service</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Social Care &amp; Early Help</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Grade</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16</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Special Conditions of Service</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4"/>
              </w:numPr>
              <w:spacing w:before="120" w:after="120"/>
              <w:contextualSpacing/>
              <w:jc w:val="both"/>
              <w:rPr>
                <w:rFonts w:ascii="Arial" w:hAnsi="Arial" w:cs="Arial"/>
              </w:rPr>
            </w:pPr>
            <w:r>
              <w:rPr>
                <w:rFonts w:cs="Arial" w:ascii="Arial" w:hAnsi="Arial"/>
              </w:rPr>
              <w:t>Car Allowance may be payable - subject to annual review</w:t>
            </w:r>
          </w:p>
          <w:p>
            <w:pPr>
              <w:pStyle w:val="ListParagraph"/>
              <w:numPr>
                <w:ilvl w:val="0"/>
                <w:numId w:val="4"/>
              </w:numPr>
              <w:spacing w:before="120" w:after="120"/>
              <w:contextualSpacing/>
              <w:jc w:val="both"/>
              <w:rPr>
                <w:rFonts w:ascii="Arial" w:hAnsi="Arial" w:cs="Arial"/>
                <w:color w:val="000000"/>
              </w:rPr>
            </w:pPr>
            <w:r>
              <w:rPr>
                <w:rFonts w:cs="Arial" w:ascii="Arial" w:hAnsi="Arial"/>
                <w:color w:val="000000"/>
              </w:rPr>
              <w:t>Work outside normal office hours will be required from time to time</w:t>
            </w:r>
          </w:p>
          <w:p>
            <w:pPr>
              <w:pStyle w:val="ListParagraph"/>
              <w:numPr>
                <w:ilvl w:val="0"/>
                <w:numId w:val="4"/>
              </w:numPr>
              <w:spacing w:before="120" w:after="120"/>
              <w:contextualSpacing/>
              <w:jc w:val="both"/>
              <w:rPr>
                <w:rFonts w:ascii="Arial" w:hAnsi="Arial" w:cs="Arial"/>
                <w:color w:val="000000"/>
              </w:rPr>
            </w:pPr>
            <w:r>
              <w:rPr>
                <w:rFonts w:cs="Arial" w:ascii="Arial" w:hAnsi="Arial"/>
                <w:color w:val="000000"/>
              </w:rPr>
              <w:t>Subject to Enhanced DBS Clearance</w:t>
            </w:r>
          </w:p>
          <w:p>
            <w:pPr>
              <w:pStyle w:val="ListParagraph"/>
              <w:numPr>
                <w:ilvl w:val="0"/>
                <w:numId w:val="4"/>
              </w:numPr>
              <w:spacing w:lineRule="auto" w:line="300" w:before="120" w:after="160"/>
              <w:contextualSpacing/>
              <w:rPr>
                <w:rFonts w:ascii="Arial" w:hAnsi="Arial" w:cs="Arial"/>
                <w:color w:val="000000"/>
              </w:rPr>
            </w:pPr>
            <w:r>
              <w:rPr>
                <w:rFonts w:cs="Arial" w:ascii="Arial" w:hAnsi="Arial"/>
                <w:color w:val="000000"/>
              </w:rPr>
              <w:t>Willing to work in an agile / remote manner as required</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Purpose &amp; Objectives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spacing w:lineRule="auto" w:line="300" w:before="120" w:after="120"/>
              <w:ind w:left="279" w:right="0" w:hanging="0"/>
              <w:contextualSpacing/>
              <w:rPr>
                <w:rFonts w:ascii="Arial" w:hAnsi="Arial" w:cs="Arial"/>
              </w:rPr>
            </w:pPr>
            <w:r>
              <w:rPr>
                <w:rFonts w:cs="Arial" w:ascii="Arial" w:hAnsi="Arial"/>
              </w:rPr>
              <w:t>To manage the provision of social work services as is specific to the area (front door, Safeguarding, Permanence, Fostering) to the local community by a team of social workers and other relevant practitioners, ensuring that statutory requirements and departmental policies are complied with and that all children and young people who are eligible for a social work service are appropriately safeguarded in Bury.</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Accountable to</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cs="Arial"/>
              </w:rPr>
            </w:pPr>
            <w:r>
              <w:rPr>
                <w:rFonts w:cs="Arial" w:ascii="Arial" w:hAnsi="Arial"/>
              </w:rPr>
              <w:t>Director of Social Care &amp; Early Help</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Immediately Responsible to</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cs="Arial"/>
              </w:rPr>
            </w:pPr>
            <w:r>
              <w:rPr>
                <w:rFonts w:cs="Arial" w:ascii="Arial" w:hAnsi="Arial"/>
              </w:rPr>
              <w:t>Service Manager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Immediately Responsible for</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140" w:right="0" w:firstLine="3"/>
              <w:textAlignment w:val="baseline"/>
              <w:rPr>
                <w:rFonts w:ascii="Arial" w:hAnsi="Arial" w:cs="Arial"/>
                <w:color w:val="000000"/>
              </w:rPr>
            </w:pPr>
            <w:r>
              <w:rPr>
                <w:rFonts w:cs="Arial" w:ascii="Arial" w:hAnsi="Arial"/>
                <w:color w:val="000000"/>
              </w:rPr>
              <w:t>Social Work Team usually including Assistant Team Manager, Social Workers &amp; Family Support Workers, but may also include Advanced Practitioners, CAMHS Practitioners, Personal Advisors, ASYE Social Workers and students or other specialist staff depending on individual team configurations.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140" w:right="0" w:firstLine="3"/>
              <w:textAlignment w:val="baseline"/>
              <w:rPr>
                <w:rFonts w:ascii="Arial" w:hAnsi="Arial" w:cs="Arial"/>
                <w:b/>
                <w:b/>
                <w:bCs/>
                <w:color w:val="000000"/>
              </w:rPr>
            </w:pPr>
            <w:r>
              <w:rPr>
                <w:rFonts w:cs="Arial" w:ascii="Arial" w:hAnsi="Arial"/>
                <w:b/>
                <w:bCs/>
                <w:color w:val="000000"/>
              </w:rPr>
              <w:t>Control of Resources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5"/>
              </w:numPr>
              <w:spacing w:before="120" w:after="120"/>
              <w:ind w:left="563" w:right="0" w:hanging="360"/>
              <w:contextualSpacing/>
              <w:jc w:val="both"/>
              <w:rPr>
                <w:rFonts w:ascii="Arial" w:hAnsi="Arial" w:cs="Arial"/>
                <w:color w:val="000000"/>
              </w:rPr>
            </w:pPr>
            <w:r>
              <w:rPr>
                <w:rFonts w:cs="Arial" w:ascii="Arial" w:hAnsi="Arial"/>
                <w:color w:val="000000"/>
              </w:rPr>
              <w:t>Office &amp; ICT equipment including mobile telephone and laptop</w:t>
            </w:r>
          </w:p>
          <w:p>
            <w:pPr>
              <w:pStyle w:val="ListParagraph"/>
              <w:numPr>
                <w:ilvl w:val="0"/>
                <w:numId w:val="5"/>
              </w:numPr>
              <w:spacing w:before="120" w:after="120"/>
              <w:ind w:left="563" w:right="0" w:hanging="360"/>
              <w:contextualSpacing/>
              <w:jc w:val="both"/>
              <w:rPr>
                <w:rFonts w:ascii="Arial" w:hAnsi="Arial" w:cs="Arial"/>
                <w:color w:val="000000"/>
              </w:rPr>
            </w:pPr>
            <w:r>
              <w:rPr>
                <w:rFonts w:cs="Arial" w:ascii="Arial" w:hAnsi="Arial"/>
                <w:color w:val="000000"/>
              </w:rPr>
              <w:t>Budget oversight and financial authorisation within Policy.</w:t>
            </w:r>
          </w:p>
          <w:p>
            <w:pPr>
              <w:pStyle w:val="ListParagraph"/>
              <w:numPr>
                <w:ilvl w:val="0"/>
                <w:numId w:val="5"/>
              </w:numPr>
              <w:spacing w:before="120" w:after="120"/>
              <w:ind w:left="563" w:right="0" w:hanging="360"/>
              <w:contextualSpacing/>
              <w:jc w:val="both"/>
              <w:rPr>
                <w:rFonts w:ascii="Arial" w:hAnsi="Arial" w:cs="Arial"/>
                <w:color w:val="000000"/>
              </w:rPr>
            </w:pPr>
            <w:r>
              <w:rPr>
                <w:rFonts w:cs="Arial" w:ascii="Arial" w:hAnsi="Arial"/>
                <w:color w:val="000000"/>
              </w:rPr>
              <w:t>Management of staff life cycle processes- recruitment, retention, Human Resource Processes including attendance monitoring and performance management of individual workers.</w:t>
            </w:r>
          </w:p>
          <w:p>
            <w:pPr>
              <w:pStyle w:val="ListParagraph"/>
              <w:numPr>
                <w:ilvl w:val="0"/>
                <w:numId w:val="5"/>
              </w:numPr>
              <w:spacing w:before="120" w:after="120"/>
              <w:ind w:left="563" w:right="0" w:hanging="360"/>
              <w:contextualSpacing/>
              <w:jc w:val="both"/>
              <w:rPr>
                <w:rFonts w:ascii="Arial" w:hAnsi="Arial" w:cs="Arial"/>
                <w:color w:val="000000"/>
              </w:rPr>
            </w:pPr>
            <w:r>
              <w:rPr>
                <w:rFonts w:cs="Arial" w:ascii="Arial" w:hAnsi="Arial"/>
                <w:color w:val="000000"/>
              </w:rPr>
              <w:t>Management and oversite of information and data handled by the team, ensuring team compliance with GDPR and undertaking regular auditing of files.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Duties &amp; Responsibilities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ind w:left="137" w:right="0" w:hanging="0"/>
              <w:jc w:val="both"/>
              <w:rPr>
                <w:rFonts w:ascii="Arial" w:hAnsi="Arial" w:cs="Arial"/>
                <w:b/>
                <w:b/>
              </w:rPr>
            </w:pPr>
            <w:r>
              <w:rPr>
                <w:rFonts w:cs="Arial" w:ascii="Arial" w:hAnsi="Arial"/>
                <w:b/>
              </w:rPr>
              <w:t xml:space="preserve">Leadership &amp; Management </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Leadership, direction and supervision of reporting lines including Assistant Team Managers.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Management of the duty service within your responsible area</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Development and implementation the Team Business Plan.</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Support of social workers through the process of supervision and by attending conferences, reviews, joint interviews, initial core groups and other meetings where appropriate.</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Lead the recruitment and selection of staff including acting as Chair of the recruitment panel.</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Lead formal processes in relation to matters such as disciplinary, grievance and change management.</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Contribute as an effective part of the Management Team within your service area in addition to attending management team meetings.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Attend and participate in regular team meetings, individual appraisals and supervision sessions in line with Departmental Policy.</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Manage, allocate and monitor team workload in accordance with priorities agreed with Senior Managers, ensuring fair distribution of work within the team.</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Work flexibly as a part of the management team to ensure that staff are appropriately supported at all times and provide management cover in alternative parts of the service as required.</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Be available to provide management support to team members outside of core hours where required.</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 xml:space="preserve">Maintain oversight of lone working and other staff safety arrangement in the team, ensuring that risk assessments are undertaken and implemented. </w:t>
            </w:r>
          </w:p>
          <w:p>
            <w:pPr>
              <w:pStyle w:val="Normal"/>
              <w:spacing w:before="120" w:after="120"/>
              <w:ind w:left="137" w:right="0" w:hanging="0"/>
              <w:jc w:val="both"/>
              <w:rPr>
                <w:rFonts w:ascii="Arial" w:hAnsi="Arial" w:cs="Arial"/>
                <w:b/>
                <w:b/>
                <w:color w:val="000000"/>
              </w:rPr>
            </w:pPr>
            <w:r>
              <w:rPr>
                <w:rFonts w:cs="Arial" w:ascii="Arial" w:hAnsi="Arial"/>
                <w:b/>
                <w:color w:val="000000"/>
              </w:rPr>
              <w:t>Professional</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 xml:space="preserve">Represent the Local Authority in formal settings including Family Court and Criminal Court. </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Represent the Local Authority at external meetings to represent the needs of Bury children and young people as agreed with line management.</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Chair complex case professionals meetings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Take responsibility for key decisions in respect of individual children and young people, in accordance with departmental and statutory guidelines.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Manage safeguarding processes, ensuring that statutory responsibilities are met.</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Ensure agreed childcare plans are implemented in order to promote and safeguard the interests of individual children and young people.</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Ensure children’s individual plans are reviewed in line with statutory responsibilities and relevant to that child’s needs.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Represent the Local Authority when cases are being transferred between authorities.</w:t>
            </w:r>
          </w:p>
          <w:p>
            <w:pPr>
              <w:pStyle w:val="Normal"/>
              <w:spacing w:before="120" w:after="120"/>
              <w:ind w:left="137" w:right="0" w:hanging="0"/>
              <w:jc w:val="both"/>
              <w:rPr>
                <w:rFonts w:ascii="Arial" w:hAnsi="Arial" w:cs="Arial"/>
                <w:b/>
                <w:b/>
                <w:color w:val="000000"/>
              </w:rPr>
            </w:pPr>
            <w:r>
              <w:rPr>
                <w:rFonts w:cs="Arial" w:ascii="Arial" w:hAnsi="Arial"/>
                <w:b/>
                <w:color w:val="000000"/>
              </w:rPr>
              <w:t>Service Development &amp; Quality Assurance</w:t>
            </w:r>
          </w:p>
          <w:p>
            <w:pPr>
              <w:pStyle w:val="ListParagraph"/>
              <w:numPr>
                <w:ilvl w:val="0"/>
                <w:numId w:val="3"/>
              </w:numPr>
              <w:spacing w:lineRule="auto" w:line="240" w:before="120" w:after="120"/>
              <w:ind w:left="710" w:right="0" w:hanging="360"/>
              <w:contextualSpacing/>
              <w:rPr/>
            </w:pPr>
            <w:r>
              <w:rPr>
                <w:rFonts w:cs="Arial" w:ascii="Arial" w:hAnsi="Arial"/>
                <w:color w:val="000000"/>
              </w:rPr>
              <w:t>P</w:t>
            </w:r>
            <w:r>
              <w:rPr>
                <w:rFonts w:cs="Arial" w:ascii="Arial" w:hAnsi="Arial"/>
              </w:rPr>
              <w:t>articipate in the development and management of integrated local services to children in need and their families through joint working and partnerships with significant agencies, organisations and groups in the area.</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Monitor the level and quality of social work practice, including reporting to senior managers and elected members, so that high standards of service to the public are promoted and that Bury Standards are maintained.</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Monitor and review working practices with the team, promoting a positive supportive and high performance culture.</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Quality assure and authorise team reports, statements or plans to promote high quality standards.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Undertake quality assurance processes such as case file audits and provide feedback.</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Deal with complaints from either service users or partner agencies, investigating, resolving, and developing required action plans and disseminating learning within the team.</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Facilitate the professional development of supervision lines, including the identification of training needs and developing an appropriate resource in response to these needs.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Keep up-dated of developments in statutory requirements, regulations and other contemporary issues in the field of child care social work practice. Disseminating within the team.</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Devise and deliver briefings, workshops and training sessions across the service.</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Compile and analyse relevant management information to identify any team performance issues to aid appropriate planning of services.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Providing information to assist in the planning, implementation or monitoring of services as required for departmental, Department of Health or other official purpose.</w:t>
            </w:r>
          </w:p>
          <w:p>
            <w:pPr>
              <w:pStyle w:val="Normal"/>
              <w:spacing w:before="120" w:after="120"/>
              <w:ind w:left="137" w:right="0" w:hanging="0"/>
              <w:jc w:val="both"/>
              <w:rPr>
                <w:rFonts w:ascii="Arial" w:hAnsi="Arial" w:cs="Arial"/>
                <w:b/>
                <w:b/>
                <w:color w:val="000000"/>
              </w:rPr>
            </w:pPr>
            <w:r>
              <w:rPr>
                <w:rFonts w:cs="Arial" w:ascii="Arial" w:hAnsi="Arial"/>
                <w:b/>
                <w:color w:val="000000"/>
              </w:rPr>
              <w:t>Resource Management</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Financial management of budgets relating to the team’s work.</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Authorisation of expenditure in accordance with policy and relevant frameworks.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 xml:space="preserve">Alert Senior Managers as to the impact of deficits in resource provision. </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 xml:space="preserve">Access different Panels to maximise resources from multi-agency funding streams and ensuring regular review of needs. </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Promote value for money and responsible stewardship of public funds.</w:t>
            </w:r>
          </w:p>
          <w:p>
            <w:pPr>
              <w:pStyle w:val="ListParagraph"/>
              <w:numPr>
                <w:ilvl w:val="0"/>
                <w:numId w:val="3"/>
              </w:numPr>
              <w:spacing w:lineRule="auto" w:line="240" w:before="120" w:after="120"/>
              <w:ind w:left="710" w:right="0" w:hanging="360"/>
              <w:contextualSpacing/>
              <w:rPr>
                <w:rFonts w:ascii="Arial" w:hAnsi="Arial" w:cs="Arial"/>
              </w:rPr>
            </w:pPr>
            <w:r>
              <w:rPr>
                <w:rFonts w:cs="Arial" w:ascii="Arial" w:hAnsi="Arial"/>
              </w:rPr>
              <w:t>Maintain oversight of information held and processed by the team, ensuring compliance with GDPR and best practice.</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120" w:after="160"/>
              <w:ind w:left="142" w:right="0" w:hanging="0"/>
              <w:jc w:val="both"/>
              <w:rPr>
                <w:rFonts w:ascii="Arial" w:hAnsi="Arial" w:cs="Arial"/>
                <w:b/>
                <w:b/>
              </w:rPr>
            </w:pPr>
            <w:r>
              <w:rPr>
                <w:rFonts w:cs="Arial" w:ascii="Arial" w:hAnsi="Arial"/>
                <w:b/>
              </w:rPr>
              <w:t>Responsibilities for all employees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 xml:space="preserve">To act in accordance with the Council’s Code of Conduct and associated policies and procedures. </w:t>
            </w:r>
          </w:p>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Responsible for Employees Duties as specified with the Health and Safety Policies</w:t>
            </w:r>
            <w:r>
              <w:rPr>
                <w:rStyle w:val="Eop"/>
                <w:rFonts w:cs="Arial" w:ascii="Arial" w:hAnsi="Arial"/>
                <w:sz w:val="22"/>
                <w:szCs w:val="22"/>
              </w:rPr>
              <w:t>.</w:t>
            </w:r>
          </w:p>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Lead by example, upholding the Council’s LET’S DO IT behaviours and values at all times.</w:t>
            </w:r>
            <w:r>
              <w:rPr>
                <w:rStyle w:val="Eop"/>
                <w:rFonts w:cs="Arial" w:ascii="Arial" w:hAnsi="Arial"/>
                <w:sz w:val="22"/>
                <w:szCs w:val="22"/>
              </w:rPr>
              <w:t> </w:t>
            </w:r>
          </w:p>
          <w:p>
            <w:pPr>
              <w:pStyle w:val="Paragraph"/>
              <w:numPr>
                <w:ilvl w:val="0"/>
                <w:numId w:val="2"/>
              </w:numPr>
              <w:spacing w:lineRule="auto" w:line="300" w:before="0" w:after="0"/>
              <w:ind w:left="572" w:right="0" w:hanging="360"/>
              <w:textAlignment w:val="baseline"/>
              <w:rPr/>
            </w:pPr>
            <w:r>
              <w:rPr>
                <w:rFonts w:cs="Arial" w:ascii="Arial" w:hAnsi="Arial"/>
                <w:sz w:val="22"/>
                <w:szCs w:val="22"/>
              </w:rPr>
              <w:t>As</w:t>
            </w:r>
            <w:r>
              <w:rPr>
                <w:rStyle w:val="Normaltextrun"/>
                <w:rFonts w:cs="Arial" w:ascii="Arial" w:hAnsi="Arial"/>
                <w:sz w:val="22"/>
                <w:szCs w:val="22"/>
              </w:rPr>
              <w:t xml:space="preserve"> an employee of Bury Council you have a responsibility for, and must be committed to, safeguarding and promoting the welfare of children, young people and vulnerable adults and for ensuring that they are protected from harm.</w:t>
            </w:r>
            <w:r>
              <w:rPr>
                <w:rStyle w:val="Eop"/>
                <w:rFonts w:cs="Arial" w:ascii="Arial" w:hAnsi="Arial"/>
                <w:sz w:val="22"/>
                <w:szCs w:val="22"/>
              </w:rPr>
              <w:t> </w:t>
            </w:r>
          </w:p>
          <w:p>
            <w:pPr>
              <w:pStyle w:val="Paragraph"/>
              <w:numPr>
                <w:ilvl w:val="0"/>
                <w:numId w:val="2"/>
              </w:numPr>
              <w:spacing w:lineRule="auto" w:line="300" w:before="0" w:after="120"/>
              <w:ind w:left="572" w:right="0" w:hanging="360"/>
              <w:textAlignment w:val="baseline"/>
              <w:rPr/>
            </w:pPr>
            <w:r>
              <w:rPr>
                <w:rStyle w:val="Normaltextrun"/>
                <w:rFonts w:cs="Arial" w:ascii="Arial" w:hAnsi="Arial"/>
                <w:sz w:val="22"/>
                <w:szCs w:val="22"/>
              </w:rPr>
              <w:t>Bury Council is committed to equality, diversity and inclusion, and expects all staff to comply with its equality related policies/procedures, and to treat others with fairness and respect.</w:t>
            </w:r>
            <w:r>
              <w:rPr>
                <w:rStyle w:val="Eop"/>
                <w:rFonts w:cs="Arial" w:ascii="Arial" w:hAnsi="Arial"/>
                <w:sz w:val="22"/>
                <w:szCs w:val="22"/>
              </w:rPr>
              <w:t> </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Our Vision &amp; Strategy – LET’s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60"/>
              <w:ind w:left="142" w:right="0" w:hanging="0"/>
              <w:rPr/>
            </w:pPr>
            <w:r>
              <w:rPr>
                <w:rFonts w:cs="Arial" w:ascii="Arial" w:hAnsi="Arial"/>
                <w:lang w:eastAsia="en-GB"/>
              </w:rPr>
              <w:t xml:space="preserve">The Let’s Do It! Strategy sets outs our values and behaviours </w:t>
            </w:r>
            <w:r>
              <w:rPr>
                <w:rStyle w:val="InternetLink"/>
                <w:rFonts w:cs="Arial" w:ascii="Arial" w:hAnsi="Arial"/>
                <w:lang w:eastAsia="en-GB"/>
              </w:rPr>
              <w:t>Let's Do It! strategy - Bury Council</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 xml:space="preserve">Local </w:t>
            </w:r>
          </w:p>
          <w:p>
            <w:pPr>
              <w:pStyle w:val="Normal"/>
              <w:spacing w:lineRule="auto" w:line="300" w:before="120" w:after="160"/>
              <w:ind w:left="142" w:right="0" w:hanging="0"/>
              <w:rPr>
                <w:rFonts w:ascii="Arial" w:hAnsi="Arial" w:cs="Arial"/>
                <w:lang w:eastAsia="en-GB"/>
              </w:rPr>
            </w:pPr>
            <w:r>
              <w:rPr>
                <w:rFonts w:cs="Arial" w:ascii="Arial" w:hAnsi="Arial"/>
                <w:lang w:eastAsia="en-GB"/>
              </w:rPr>
              <w:t>I’m proud to make a difference to people and communities in the neighbourhoods where they live.</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Enterprise</w:t>
            </w:r>
          </w:p>
          <w:p>
            <w:pPr>
              <w:pStyle w:val="Normal"/>
              <w:spacing w:lineRule="auto" w:line="300" w:before="120" w:after="160"/>
              <w:ind w:left="142" w:right="0" w:hanging="0"/>
              <w:rPr>
                <w:rFonts w:ascii="Arial" w:hAnsi="Arial" w:cs="Arial"/>
                <w:lang w:eastAsia="en-GB"/>
              </w:rPr>
            </w:pPr>
            <w:r>
              <w:rPr>
                <w:rFonts w:cs="Arial" w:ascii="Arial" w:hAnsi="Arial"/>
                <w:lang w:eastAsia="en-GB"/>
              </w:rPr>
              <w:t>I strive to develop and improve; to play my part in delivering great solutions with the people of Bury.</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Together</w:t>
            </w:r>
          </w:p>
          <w:p>
            <w:pPr>
              <w:pStyle w:val="Normal"/>
              <w:spacing w:lineRule="auto" w:line="300" w:before="120" w:after="160"/>
              <w:ind w:left="142" w:right="0" w:hanging="0"/>
              <w:rPr>
                <w:rFonts w:ascii="Arial" w:hAnsi="Arial" w:cs="Arial"/>
                <w:lang w:eastAsia="en-GB"/>
              </w:rPr>
            </w:pPr>
            <w:r>
              <w:rPr>
                <w:rFonts w:cs="Arial" w:ascii="Arial" w:hAnsi="Arial"/>
                <w:lang w:eastAsia="en-GB"/>
              </w:rPr>
              <w:t xml:space="preserve">My work is shaped in an inclusive way, with dignity, kindness and respect; developed together by those with lived experience. </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Strengths</w:t>
            </w:r>
          </w:p>
          <w:p>
            <w:pPr>
              <w:pStyle w:val="Normal"/>
              <w:spacing w:lineRule="auto" w:line="300" w:before="120" w:after="160"/>
              <w:ind w:left="142" w:right="0" w:hanging="0"/>
              <w:rPr>
                <w:rFonts w:ascii="Arial" w:hAnsi="Arial" w:cs="Arial"/>
                <w:lang w:eastAsia="en-GB"/>
              </w:rPr>
            </w:pPr>
            <w:r>
              <w:rPr>
                <w:rFonts w:cs="Arial" w:ascii="Arial" w:hAnsi="Arial"/>
                <w:lang w:eastAsia="en-GB"/>
              </w:rPr>
              <w:t>I’m proud to build on the strengths of Bury people, my colleagues and myself to deliver.</w:t>
            </w:r>
          </w:p>
        </w:tc>
      </w:tr>
    </w:tbl>
    <w:p>
      <w:pPr>
        <w:pStyle w:val="Normal"/>
        <w:spacing w:lineRule="auto" w:line="300"/>
        <w:rPr/>
      </w:pPr>
      <w:r>
        <w:rPr/>
      </w:r>
    </w:p>
    <w:p>
      <w:pPr>
        <w:pStyle w:val="Normal"/>
        <w:spacing w:lineRule="auto" w:line="300"/>
        <w:rPr/>
      </w:pPr>
      <w:r>
        <w:rPr/>
      </w:r>
    </w:p>
    <w:p>
      <w:pPr>
        <w:pStyle w:val="Normal"/>
        <w:spacing w:lineRule="auto" w:line="300"/>
        <w:rPr/>
      </w:pPr>
      <w:r>
        <w:rPr/>
      </w:r>
      <w:r>
        <w:br w:type="page"/>
      </w:r>
    </w:p>
    <w:p>
      <w:pPr>
        <w:pStyle w:val="Normal"/>
        <w:spacing w:lineRule="auto" w:line="300"/>
        <w:jc w:val="center"/>
        <w:rPr/>
      </w:pPr>
      <w:r>
        <w:rPr>
          <w:rStyle w:val="Normaltextrun"/>
          <w:rFonts w:cs="Arial" w:ascii="Arial" w:hAnsi="Arial"/>
          <w:b/>
          <w:bCs/>
          <w:color w:val="808080"/>
          <w:sz w:val="40"/>
          <w:szCs w:val="40"/>
          <w:shd w:fill="FFFFFF" w:val="clear"/>
        </w:rPr>
        <w:t>Person Specification</w:t>
      </w:r>
    </w:p>
    <w:tbl>
      <w:tblPr>
        <w:tblW w:w="9792" w:type="dxa"/>
        <w:jc w:val="left"/>
        <w:tblInd w:w="-436" w:type="dxa"/>
        <w:tblCellMar>
          <w:top w:w="0" w:type="dxa"/>
          <w:left w:w="108" w:type="dxa"/>
          <w:bottom w:w="0" w:type="dxa"/>
          <w:right w:w="108" w:type="dxa"/>
        </w:tblCellMar>
      </w:tblPr>
      <w:tblGrid>
        <w:gridCol w:w="6380"/>
        <w:gridCol w:w="1700"/>
        <w:gridCol w:w="1712"/>
      </w:tblGrid>
      <w:tr>
        <w:trPr/>
        <w:tc>
          <w:tcPr>
            <w:tcW w:w="6380" w:type="dxa"/>
            <w:tcBorders>
              <w:top w:val="single" w:sz="4" w:space="0" w:color="000000"/>
              <w:left w:val="single" w:sz="4" w:space="0" w:color="000000"/>
              <w:bottom w:val="single" w:sz="4" w:space="0" w:color="000000"/>
            </w:tcBorders>
            <w:shd w:fill="FFC72C" w:val="clear"/>
            <w:vAlign w:val="center"/>
          </w:tcPr>
          <w:p>
            <w:pPr>
              <w:pStyle w:val="Normal"/>
              <w:snapToGrid w:val="false"/>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r>
          </w:p>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Assessment Criteria</w:t>
            </w:r>
          </w:p>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r>
          </w:p>
        </w:tc>
        <w:tc>
          <w:tcPr>
            <w:tcW w:w="1700"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jc w:val="center"/>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Essential</w:t>
            </w:r>
          </w:p>
        </w:tc>
        <w:tc>
          <w:tcPr>
            <w:tcW w:w="1712" w:type="dxa"/>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142" w:right="0" w:hanging="0"/>
              <w:jc w:val="center"/>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Desirable</w:t>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Qualified to CQSW, DIPSW, BA Hons Social Work or equivalent</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 xml:space="preserve">Current registration with Social Work England </w:t>
            </w:r>
          </w:p>
        </w:tc>
        <w:tc>
          <w:tcPr>
            <w:tcW w:w="1700" w:type="dxa"/>
            <w:tcBorders>
              <w:top w:val="single" w:sz="4" w:space="0" w:color="000000"/>
              <w:left w:val="single" w:sz="4" w:space="0" w:color="000000"/>
              <w:bottom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Significant post qualification experience in a social work setting, including substantial safeguarding experience</w:t>
            </w:r>
          </w:p>
        </w:tc>
        <w:tc>
          <w:tcPr>
            <w:tcW w:w="1700" w:type="dxa"/>
            <w:tcBorders>
              <w:top w:val="single" w:sz="4" w:space="0" w:color="000000"/>
              <w:left w:val="single" w:sz="4" w:space="0" w:color="000000"/>
              <w:bottom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Significant understanding of, and experience of “Working Together to Safeguard Children”</w:t>
            </w:r>
          </w:p>
        </w:tc>
        <w:tc>
          <w:tcPr>
            <w:tcW w:w="1700" w:type="dxa"/>
            <w:tcBorders>
              <w:top w:val="single" w:sz="4" w:space="0" w:color="000000"/>
              <w:left w:val="single" w:sz="4" w:space="0" w:color="000000"/>
              <w:bottom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 xml:space="preserve">Thorough knowledge of and experience in working in accordance with legislation and government initiatives that are relevant to safeguarding children           </w:t>
            </w:r>
          </w:p>
        </w:tc>
        <w:tc>
          <w:tcPr>
            <w:tcW w:w="1700" w:type="dxa"/>
            <w:tcBorders>
              <w:top w:val="single" w:sz="4" w:space="0" w:color="000000"/>
              <w:left w:val="single" w:sz="4" w:space="0" w:color="000000"/>
              <w:bottom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Experience of working in partnership with others (service users, colleagues and external agencies) to develop services for children or young people.</w:t>
            </w:r>
          </w:p>
        </w:tc>
        <w:tc>
          <w:tcPr>
            <w:tcW w:w="1700" w:type="dxa"/>
            <w:tcBorders>
              <w:top w:val="single" w:sz="4" w:space="0" w:color="000000"/>
              <w:left w:val="single" w:sz="4" w:space="0" w:color="000000"/>
              <w:bottom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Understanding of the principles of GDPR and good practice in the management of confidential and sensitive information.</w:t>
            </w:r>
          </w:p>
        </w:tc>
        <w:tc>
          <w:tcPr>
            <w:tcW w:w="1700" w:type="dxa"/>
            <w:tcBorders>
              <w:top w:val="single" w:sz="4" w:space="0" w:color="000000"/>
              <w:left w:val="single" w:sz="4" w:space="0" w:color="000000"/>
              <w:bottom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A commitment to and experience of implementing Equal Opportunities as a provider of services to the public</w:t>
            </w:r>
          </w:p>
        </w:tc>
        <w:tc>
          <w:tcPr>
            <w:tcW w:w="1700" w:type="dxa"/>
            <w:tcBorders>
              <w:top w:val="single" w:sz="4" w:space="0" w:color="000000"/>
              <w:left w:val="single" w:sz="4" w:space="0" w:color="000000"/>
              <w:bottom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Demonstrable commitment to reflection and Continued Professional Development</w:t>
            </w:r>
          </w:p>
        </w:tc>
        <w:tc>
          <w:tcPr>
            <w:tcW w:w="1700" w:type="dxa"/>
            <w:tcBorders>
              <w:top w:val="single" w:sz="4" w:space="0" w:color="000000"/>
              <w:left w:val="single" w:sz="4" w:space="0" w:color="000000"/>
              <w:bottom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Experience of managing budgets</w:t>
            </w:r>
          </w:p>
        </w:tc>
        <w:tc>
          <w:tcPr>
            <w:tcW w:w="170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c>
          <w:tcPr>
            <w:tcW w:w="17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rPr>
            </w:pPr>
            <w:r>
              <w:rPr>
                <w:rFonts w:cs="Arial" w:ascii="Arial" w:hAnsi="Arial"/>
              </w:rPr>
              <w:t>Experience of motivating staff and providing effective supervision</w:t>
            </w:r>
          </w:p>
        </w:tc>
        <w:tc>
          <w:tcPr>
            <w:tcW w:w="170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c>
          <w:tcPr>
            <w:tcW w:w="17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00" w:before="0" w:after="0"/>
              <w:jc w:val="center"/>
              <w:rPr>
                <w:rFonts w:ascii="Arial" w:hAnsi="Arial" w:cs="Arial"/>
              </w:rPr>
            </w:pPr>
            <w:r>
              <w:rPr>
                <w:rFonts w:cs="Arial" w:ascii="Arial" w:hAnsi="Arial"/>
              </w:rPr>
              <w:t>X</w:t>
            </w:r>
          </w:p>
        </w:tc>
      </w:tr>
    </w:tbl>
    <w:p>
      <w:pPr>
        <w:pStyle w:val="Normal"/>
        <w:spacing w:lineRule="auto" w:line="300" w:before="0" w:after="160"/>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5733415" cy="29908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rcRect l="-5" t="-92" r="-5" b="-92"/>
                  <a:stretch>
                    <a:fillRect/>
                  </a:stretch>
                </pic:blipFill>
                <pic:spPr bwMode="auto">
                  <a:xfrm>
                    <a:off x="0" y="0"/>
                    <a:ext cx="5733415" cy="299085"/>
                  </a:xfrm>
                  <a:prstGeom prst="rect">
                    <a:avLst/>
                  </a:prstGeom>
                </pic:spPr>
              </pic:pic>
            </a:graphicData>
          </a:graphic>
        </wp:inline>
      </w:drawing>
      <w:drawing>
        <wp:anchor behindDoc="1" distT="0" distB="0" distL="114300" distR="114300" simplePos="0" locked="0" layoutInCell="1" allowOverlap="1" relativeHeight="16">
          <wp:simplePos x="0" y="0"/>
          <wp:positionH relativeFrom="page">
            <wp:posOffset>7620</wp:posOffset>
          </wp:positionH>
          <wp:positionV relativeFrom="page">
            <wp:posOffset>10069195</wp:posOffset>
          </wp:positionV>
          <wp:extent cx="7559675" cy="53149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3" t="-38" r="-3" b="-38"/>
                  <a:stretch>
                    <a:fillRect/>
                  </a:stretch>
                </pic:blipFill>
                <pic:spPr bwMode="auto">
                  <a:xfrm>
                    <a:off x="0" y="0"/>
                    <a:ext cx="7559675" cy="5314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906780" cy="453390"/>
          <wp:effectExtent l="0" t="0" r="0" b="0"/>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1"/>
                  <a:srcRect l="-17" t="-35" r="-17" b="-35"/>
                  <a:stretch>
                    <a:fillRect/>
                  </a:stretch>
                </pic:blipFill>
                <pic:spPr bwMode="auto">
                  <a:xfrm>
                    <a:off x="0" y="0"/>
                    <a:ext cx="906780" cy="4533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862" w:hanging="360"/>
      </w:pPr>
      <w:rPr>
        <w:rFonts w:ascii="Symbol" w:hAnsi="Symbol" w:cs="Symbol" w:hint="default"/>
        <w:sz w:val="22"/>
        <w:szCs w:val="22"/>
        <w:rFonts w:cs="Symbol"/>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sz w:val="22"/>
        <w:szCs w:val="22"/>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sz w:val="22"/>
        <w:szCs w:val="22"/>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abstractNum w:abstractNumId="3">
    <w:lvl w:ilvl="0">
      <w:start w:val="1"/>
      <w:numFmt w:val="decimal"/>
      <w:lvlText w:val="%1."/>
      <w:lvlJc w:val="left"/>
      <w:pPr>
        <w:ind w:left="1148" w:hanging="360"/>
      </w:pPr>
      <w:rPr>
        <w:rFonts w:ascii="Arial" w:hAnsi="Arial" w:cs="Arial"/>
      </w:rPr>
    </w:lvl>
    <w:lvl w:ilvl="1">
      <w:start w:val="1"/>
      <w:numFmt w:val="lowerLetter"/>
      <w:lvlText w:val="%2."/>
      <w:lvlJc w:val="left"/>
      <w:pPr>
        <w:ind w:left="1868" w:hanging="360"/>
      </w:pPr>
      <w:rPr/>
    </w:lvl>
    <w:lvl w:ilvl="2">
      <w:start w:val="1"/>
      <w:numFmt w:val="lowerRoman"/>
      <w:lvlText w:val="%3."/>
      <w:lvlJc w:val="right"/>
      <w:pPr>
        <w:ind w:left="2588" w:hanging="180"/>
      </w:pPr>
      <w:rPr/>
    </w:lvl>
    <w:lvl w:ilvl="3">
      <w:start w:val="1"/>
      <w:numFmt w:val="decimal"/>
      <w:lvlText w:val="%4."/>
      <w:lvlJc w:val="left"/>
      <w:pPr>
        <w:ind w:left="3308" w:hanging="360"/>
      </w:pPr>
      <w:rPr/>
    </w:lvl>
    <w:lvl w:ilvl="4">
      <w:start w:val="1"/>
      <w:numFmt w:val="lowerLetter"/>
      <w:lvlText w:val="%5."/>
      <w:lvlJc w:val="left"/>
      <w:pPr>
        <w:ind w:left="4028" w:hanging="360"/>
      </w:pPr>
      <w:rPr/>
    </w:lvl>
    <w:lvl w:ilvl="5">
      <w:start w:val="1"/>
      <w:numFmt w:val="lowerRoman"/>
      <w:lvlText w:val="%6."/>
      <w:lvlJc w:val="right"/>
      <w:pPr>
        <w:ind w:left="4748" w:hanging="180"/>
      </w:pPr>
      <w:rPr/>
    </w:lvl>
    <w:lvl w:ilvl="6">
      <w:start w:val="1"/>
      <w:numFmt w:val="decimal"/>
      <w:lvlText w:val="%7."/>
      <w:lvlJc w:val="left"/>
      <w:pPr>
        <w:ind w:left="5468" w:hanging="360"/>
      </w:pPr>
      <w:rPr/>
    </w:lvl>
    <w:lvl w:ilvl="7">
      <w:start w:val="1"/>
      <w:numFmt w:val="lowerLetter"/>
      <w:lvlText w:val="%8."/>
      <w:lvlJc w:val="left"/>
      <w:pPr>
        <w:ind w:left="6188" w:hanging="360"/>
      </w:pPr>
      <w:rPr/>
    </w:lvl>
    <w:lvl w:ilvl="8">
      <w:start w:val="1"/>
      <w:numFmt w:val="lowerRoman"/>
      <w:lvlText w:val="%9."/>
      <w:lvlJc w:val="right"/>
      <w:pPr>
        <w:ind w:left="6908"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857" w:hanging="360"/>
      </w:pPr>
      <w:rPr>
        <w:rFonts w:ascii="Symbol" w:hAnsi="Symbol" w:cs="Symbol" w:hint="default"/>
        <w:rFonts w:cs="Symbol"/>
      </w:rPr>
    </w:lvl>
    <w:lvl w:ilvl="1">
      <w:start w:val="1"/>
      <w:numFmt w:val="bullet"/>
      <w:lvlText w:val="o"/>
      <w:lvlJc w:val="left"/>
      <w:pPr>
        <w:ind w:left="1577" w:hanging="360"/>
      </w:pPr>
      <w:rPr>
        <w:rFonts w:ascii="Courier New" w:hAnsi="Courier New" w:cs="Courier New" w:hint="default"/>
        <w:rFonts w:cs="Courier New"/>
      </w:rPr>
    </w:lvl>
    <w:lvl w:ilvl="2">
      <w:start w:val="1"/>
      <w:numFmt w:val="bullet"/>
      <w:lvlText w:val=""/>
      <w:lvlJc w:val="left"/>
      <w:pPr>
        <w:ind w:left="2297" w:hanging="360"/>
      </w:pPr>
      <w:rPr>
        <w:rFonts w:ascii="Wingdings" w:hAnsi="Wingdings" w:cs="Wingdings" w:hint="default"/>
        <w:rFonts w:cs="Wingdings"/>
      </w:rPr>
    </w:lvl>
    <w:lvl w:ilvl="3">
      <w:start w:val="1"/>
      <w:numFmt w:val="bullet"/>
      <w:lvlText w:val=""/>
      <w:lvlJc w:val="left"/>
      <w:pPr>
        <w:ind w:left="3017" w:hanging="360"/>
      </w:pPr>
      <w:rPr>
        <w:rFonts w:ascii="Symbol" w:hAnsi="Symbol" w:cs="Symbol" w:hint="default"/>
        <w:rFonts w:cs="Symbol"/>
      </w:rPr>
    </w:lvl>
    <w:lvl w:ilvl="4">
      <w:start w:val="1"/>
      <w:numFmt w:val="bullet"/>
      <w:lvlText w:val="o"/>
      <w:lvlJc w:val="left"/>
      <w:pPr>
        <w:ind w:left="3737" w:hanging="360"/>
      </w:pPr>
      <w:rPr>
        <w:rFonts w:ascii="Courier New" w:hAnsi="Courier New" w:cs="Courier New" w:hint="default"/>
        <w:rFonts w:cs="Courier New"/>
      </w:rPr>
    </w:lvl>
    <w:lvl w:ilvl="5">
      <w:start w:val="1"/>
      <w:numFmt w:val="bullet"/>
      <w:lvlText w:val=""/>
      <w:lvlJc w:val="left"/>
      <w:pPr>
        <w:ind w:left="4457" w:hanging="360"/>
      </w:pPr>
      <w:rPr>
        <w:rFonts w:ascii="Wingdings" w:hAnsi="Wingdings" w:cs="Wingdings" w:hint="default"/>
        <w:rFonts w:cs="Wingdings"/>
      </w:rPr>
    </w:lvl>
    <w:lvl w:ilvl="6">
      <w:start w:val="1"/>
      <w:numFmt w:val="bullet"/>
      <w:lvlText w:val=""/>
      <w:lvlJc w:val="left"/>
      <w:pPr>
        <w:ind w:left="5177" w:hanging="360"/>
      </w:pPr>
      <w:rPr>
        <w:rFonts w:ascii="Symbol" w:hAnsi="Symbol" w:cs="Symbol" w:hint="default"/>
        <w:rFonts w:cs="Symbol"/>
      </w:rPr>
    </w:lvl>
    <w:lvl w:ilvl="7">
      <w:start w:val="1"/>
      <w:numFmt w:val="bullet"/>
      <w:lvlText w:val="o"/>
      <w:lvlJc w:val="left"/>
      <w:pPr>
        <w:ind w:left="5897" w:hanging="360"/>
      </w:pPr>
      <w:rPr>
        <w:rFonts w:ascii="Courier New" w:hAnsi="Courier New" w:cs="Courier New" w:hint="default"/>
        <w:rFonts w:cs="Courier New"/>
      </w:rPr>
    </w:lvl>
    <w:lvl w:ilvl="8">
      <w:start w:val="1"/>
      <w:numFmt w:val="bullet"/>
      <w:lvlText w:val=""/>
      <w:lvlJc w:val="left"/>
      <w:pPr>
        <w:ind w:left="6617"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Paragraph">
    <w:name w:val="paragraph"/>
    <w:basedOn w:val="Normal"/>
    <w:qFormat/>
    <w:pPr>
      <w:spacing w:lineRule="auto" w:line="240" w:before="280" w:after="280"/>
    </w:pPr>
    <w:rPr>
      <w:rFonts w:ascii="Times New Roman" w:hAnsi="Times New Roman" w:eastAsia="Times New Roman" w:cs="Times New Roman"/>
      <w:kern w:val="0"/>
      <w:sz w:val="24"/>
      <w:szCs w:val="24"/>
      <w:lang w:eastAsia="en-GB"/>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odyText21">
    <w:name w:val="Body Text 21"/>
    <w:basedOn w:val="Normal"/>
    <w:qFormat/>
    <w:pPr>
      <w:suppressAutoHyphens w:val="true"/>
      <w:spacing w:lineRule="auto" w:line="240" w:before="0" w:after="0"/>
    </w:pPr>
    <w:rPr>
      <w:rFonts w:ascii="Times New Roman" w:hAnsi="Times New Roman" w:eastAsia="Times New Roman" w:cs="Times New Roman"/>
      <w:kern w:val="0"/>
      <w:sz w:val="24"/>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2026-06-19T10:27:00Z</dcterms:created>
  <dc:creator>Hall, Jessica</dc:creator>
  <dc:description/>
  <dc:language>en-US</dc:language>
  <cp:lastModifiedBy>Hughes, Katherine</cp:lastModifiedBy>
  <cp:lastPrinted>1995-11-21T17:41:00Z</cp:lastPrinted>
  <dcterms:modified xsi:type="dcterms:W3CDTF">2026-06-19T10:27:00Z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0x010100FE4FB0ECD888D0488447477C30F34643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