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media/image2.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ind w:left="7920" w:right="0" w:firstLine="18"/>
        <w:rPr>
          <w:b/>
          <w:b/>
        </w:rPr>
      </w:pPr>
      <w:r>
        <w:rPr/>
        <w:drawing>
          <wp:inline distT="0" distB="0" distL="0" distR="0">
            <wp:extent cx="1475740" cy="60896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24" t="-59" r="-24" b="-59"/>
                    <a:stretch>
                      <a:fillRect/>
                    </a:stretch>
                  </pic:blipFill>
                  <pic:spPr bwMode="auto">
                    <a:xfrm>
                      <a:off x="0" y="0"/>
                      <a:ext cx="1475740" cy="608965"/>
                    </a:xfrm>
                    <a:prstGeom prst="rect">
                      <a:avLst/>
                    </a:prstGeom>
                  </pic:spPr>
                </pic:pic>
              </a:graphicData>
            </a:graphic>
          </wp:inline>
        </w:drawing>
      </w:r>
    </w:p>
    <w:p>
      <w:pPr>
        <w:pStyle w:val="Normal"/>
        <w:jc w:val="center"/>
        <w:rPr>
          <w:b/>
          <w:b/>
        </w:rPr>
      </w:pPr>
      <w:r>
        <w:rPr>
          <w:b/>
        </w:rPr>
        <w:t>JOB DESCRIPTION</w:t>
      </w:r>
    </w:p>
    <w:tbl>
      <w:tblPr>
        <w:tblW w:w="5000" w:type="pct"/>
        <w:jc w:val="left"/>
        <w:tblInd w:w="0" w:type="dxa"/>
        <w:tblCellMar>
          <w:top w:w="0" w:type="dxa"/>
          <w:left w:w="108" w:type="dxa"/>
          <w:bottom w:w="0" w:type="dxa"/>
          <w:right w:w="108" w:type="dxa"/>
        </w:tblCellMar>
      </w:tblPr>
      <w:tblGrid>
        <w:gridCol w:w="4428"/>
        <w:gridCol w:w="722"/>
        <w:gridCol w:w="2712"/>
        <w:gridCol w:w="2604"/>
      </w:tblGrid>
      <w:tr>
        <w:trPr>
          <w:trHeight w:val="720" w:hRule="atLeast"/>
          <w:cantSplit w:val="true"/>
        </w:trPr>
        <w:tc>
          <w:tcPr>
            <w:tcW w:w="10466" w:type="dxa"/>
            <w:gridSpan w:val="4"/>
            <w:tcBorders>
              <w:top w:val="single" w:sz="6" w:space="0" w:color="000000"/>
              <w:left w:val="single" w:sz="6" w:space="0" w:color="000000"/>
              <w:bottom w:val="double" w:sz="6" w:space="0" w:color="000000"/>
              <w:right w:val="single" w:sz="6" w:space="0" w:color="000000"/>
            </w:tcBorders>
            <w:shd w:fill="auto" w:val="clear"/>
          </w:tcPr>
          <w:p>
            <w:pPr>
              <w:pStyle w:val="Normal"/>
              <w:spacing w:before="120" w:after="240"/>
              <w:rPr/>
            </w:pPr>
            <w:r>
              <w:rPr>
                <w:rFonts w:cs="Arial"/>
                <w:b/>
              </w:rPr>
              <w:t>Post Title</w:t>
            </w:r>
            <w:r>
              <w:rPr>
                <w:rFonts w:cs="Arial"/>
              </w:rPr>
              <w:t xml:space="preserve">: Rough Sleepers Integrated Support Navigator </w:t>
            </w:r>
          </w:p>
        </w:tc>
      </w:tr>
      <w:tr>
        <w:trPr>
          <w:cantSplit w:val="true"/>
        </w:trPr>
        <w:tc>
          <w:tcPr>
            <w:tcW w:w="5150" w:type="dxa"/>
            <w:gridSpan w:val="2"/>
            <w:tcBorders>
              <w:top w:val="double" w:sz="6" w:space="0" w:color="000000"/>
              <w:left w:val="single" w:sz="6" w:space="0" w:color="000000"/>
              <w:bottom w:val="double" w:sz="6" w:space="0" w:color="000000"/>
            </w:tcBorders>
            <w:shd w:fill="auto" w:val="clear"/>
          </w:tcPr>
          <w:p>
            <w:pPr>
              <w:pStyle w:val="Normal"/>
              <w:spacing w:before="120" w:after="240"/>
              <w:rPr/>
            </w:pPr>
            <w:r>
              <w:rPr>
                <w:rFonts w:cs="Arial"/>
                <w:b/>
              </w:rPr>
              <w:t>Department</w:t>
            </w:r>
            <w:r>
              <w:rPr>
                <w:rFonts w:cs="Arial"/>
              </w:rPr>
              <w:t>: Corporate Core</w:t>
            </w:r>
          </w:p>
        </w:tc>
        <w:tc>
          <w:tcPr>
            <w:tcW w:w="5316" w:type="dxa"/>
            <w:gridSpan w:val="2"/>
            <w:tcBorders>
              <w:top w:val="double" w:sz="6" w:space="0" w:color="000000"/>
              <w:left w:val="single" w:sz="6" w:space="0" w:color="000000"/>
              <w:bottom w:val="double" w:sz="6" w:space="0" w:color="000000"/>
              <w:right w:val="single" w:sz="6" w:space="0" w:color="000000"/>
            </w:tcBorders>
            <w:shd w:fill="auto" w:val="clear"/>
          </w:tcPr>
          <w:p>
            <w:pPr>
              <w:pStyle w:val="Normal"/>
              <w:spacing w:before="120" w:after="240"/>
              <w:rPr/>
            </w:pPr>
            <w:r>
              <w:rPr>
                <w:rFonts w:cs="Arial"/>
                <w:b/>
              </w:rPr>
              <w:t>Post No</w:t>
            </w:r>
            <w:r>
              <w:rPr>
                <w:rFonts w:cs="Arial"/>
              </w:rPr>
              <w:t xml:space="preserve">: </w:t>
            </w:r>
          </w:p>
        </w:tc>
      </w:tr>
      <w:tr>
        <w:trPr>
          <w:trHeight w:val="720" w:hRule="atLeast"/>
          <w:cantSplit w:val="true"/>
        </w:trPr>
        <w:tc>
          <w:tcPr>
            <w:tcW w:w="5150" w:type="dxa"/>
            <w:gridSpan w:val="2"/>
            <w:tcBorders>
              <w:top w:val="double" w:sz="6" w:space="0" w:color="000000"/>
              <w:left w:val="single" w:sz="6" w:space="0" w:color="000000"/>
            </w:tcBorders>
            <w:shd w:fill="auto" w:val="clear"/>
          </w:tcPr>
          <w:p>
            <w:pPr>
              <w:pStyle w:val="Normal"/>
              <w:spacing w:before="120" w:after="240"/>
              <w:rPr/>
            </w:pPr>
            <w:r>
              <w:rPr>
                <w:rFonts w:cs="Arial"/>
                <w:b/>
              </w:rPr>
              <w:t>Division/Section</w:t>
            </w:r>
            <w:r>
              <w:rPr>
                <w:rFonts w:cs="Arial"/>
              </w:rPr>
              <w:t>: Homelessness and Housing Options</w:t>
            </w:r>
          </w:p>
        </w:tc>
        <w:tc>
          <w:tcPr>
            <w:tcW w:w="5316" w:type="dxa"/>
            <w:gridSpan w:val="2"/>
            <w:tcBorders>
              <w:top w:val="double" w:sz="6" w:space="0" w:color="000000"/>
              <w:left w:val="single" w:sz="6" w:space="0" w:color="000000"/>
              <w:bottom w:val="double" w:sz="6" w:space="0" w:color="000000"/>
              <w:right w:val="single" w:sz="6" w:space="0" w:color="000000"/>
            </w:tcBorders>
            <w:shd w:fill="auto" w:val="clear"/>
          </w:tcPr>
          <w:p>
            <w:pPr>
              <w:pStyle w:val="Normal"/>
              <w:spacing w:before="120" w:after="240"/>
              <w:rPr/>
            </w:pPr>
            <w:r>
              <w:rPr>
                <w:rFonts w:cs="Arial"/>
                <w:b/>
              </w:rPr>
              <w:t>Post Grade</w:t>
            </w:r>
            <w:r>
              <w:rPr>
                <w:rFonts w:cs="Arial"/>
              </w:rPr>
              <w:t>: 9</w:t>
            </w:r>
          </w:p>
        </w:tc>
      </w:tr>
      <w:tr>
        <w:trPr>
          <w:trHeight w:val="720" w:hRule="atLeast"/>
          <w:cantSplit w:val="true"/>
        </w:trPr>
        <w:tc>
          <w:tcPr>
            <w:tcW w:w="5150" w:type="dxa"/>
            <w:gridSpan w:val="2"/>
            <w:tcBorders>
              <w:top w:val="double" w:sz="6" w:space="0" w:color="000000"/>
              <w:left w:val="single" w:sz="6" w:space="0" w:color="000000"/>
              <w:bottom w:val="double" w:sz="6" w:space="0" w:color="000000"/>
            </w:tcBorders>
            <w:shd w:fill="auto" w:val="clear"/>
          </w:tcPr>
          <w:p>
            <w:pPr>
              <w:pStyle w:val="Normal"/>
              <w:spacing w:before="120" w:after="240"/>
              <w:rPr/>
            </w:pPr>
            <w:r>
              <w:rPr>
                <w:rFonts w:cs="Arial"/>
                <w:b/>
              </w:rPr>
              <w:t>Location</w:t>
            </w:r>
            <w:r>
              <w:rPr>
                <w:rFonts w:cs="Arial"/>
              </w:rPr>
              <w:t>: Agile/Town Hall</w:t>
            </w:r>
          </w:p>
        </w:tc>
        <w:tc>
          <w:tcPr>
            <w:tcW w:w="5316" w:type="dxa"/>
            <w:gridSpan w:val="2"/>
            <w:tcBorders>
              <w:left w:val="single" w:sz="6" w:space="0" w:color="000000"/>
              <w:bottom w:val="double" w:sz="6" w:space="0" w:color="000000"/>
              <w:right w:val="single" w:sz="6" w:space="0" w:color="000000"/>
            </w:tcBorders>
            <w:shd w:fill="auto" w:val="clear"/>
          </w:tcPr>
          <w:p>
            <w:pPr>
              <w:pStyle w:val="Normal"/>
              <w:spacing w:before="120" w:after="240"/>
              <w:rPr/>
            </w:pPr>
            <w:r>
              <w:rPr>
                <w:rFonts w:cs="Arial"/>
                <w:b/>
              </w:rPr>
              <w:t>Post Hours</w:t>
            </w:r>
            <w:r>
              <w:rPr>
                <w:rFonts w:cs="Arial"/>
              </w:rPr>
              <w:t>: 37</w:t>
            </w:r>
          </w:p>
        </w:tc>
      </w:tr>
      <w:tr>
        <w:trPr>
          <w:trHeight w:val="960" w:hRule="atLeast"/>
          <w:cantSplit w:val="true"/>
        </w:trPr>
        <w:tc>
          <w:tcPr>
            <w:tcW w:w="10466" w:type="dxa"/>
            <w:gridSpan w:val="4"/>
            <w:tcBorders>
              <w:top w:val="double" w:sz="6" w:space="0" w:color="000000"/>
              <w:left w:val="single" w:sz="6" w:space="0" w:color="000000"/>
              <w:bottom w:val="double" w:sz="6" w:space="0" w:color="000000"/>
              <w:right w:val="single" w:sz="6" w:space="0" w:color="000000"/>
            </w:tcBorders>
            <w:shd w:fill="auto" w:val="clear"/>
          </w:tcPr>
          <w:p>
            <w:pPr>
              <w:pStyle w:val="Normal"/>
              <w:spacing w:before="120" w:after="240"/>
              <w:rPr/>
            </w:pPr>
            <w:r>
              <w:rPr>
                <w:rFonts w:cs="Arial"/>
                <w:b/>
              </w:rPr>
              <w:t>Special Conditions of Service</w:t>
            </w:r>
            <w:r>
              <w:rPr>
                <w:rFonts w:cs="Arial"/>
              </w:rPr>
              <w:t xml:space="preserve">: </w:t>
            </w:r>
          </w:p>
          <w:p>
            <w:pPr>
              <w:pStyle w:val="Normal"/>
              <w:keepLines/>
              <w:numPr>
                <w:ilvl w:val="0"/>
                <w:numId w:val="3"/>
              </w:numPr>
              <w:tabs>
                <w:tab w:val="clear" w:pos="720"/>
                <w:tab w:val="left" w:pos="356" w:leader="none"/>
              </w:tabs>
              <w:spacing w:lineRule="auto" w:line="240" w:before="0" w:after="0"/>
              <w:ind w:left="360" w:right="0" w:hanging="360"/>
              <w:rPr/>
            </w:pPr>
            <w:r>
              <w:rPr/>
              <w:t>Flexi time scheme in operation.</w:t>
            </w:r>
          </w:p>
          <w:p>
            <w:pPr>
              <w:pStyle w:val="Normal"/>
              <w:keepLines/>
              <w:numPr>
                <w:ilvl w:val="0"/>
                <w:numId w:val="3"/>
              </w:numPr>
              <w:tabs>
                <w:tab w:val="clear" w:pos="720"/>
                <w:tab w:val="left" w:pos="356" w:leader="none"/>
              </w:tabs>
              <w:spacing w:lineRule="auto" w:line="240" w:before="0" w:after="0"/>
              <w:ind w:left="360" w:right="0" w:hanging="360"/>
              <w:rPr/>
            </w:pPr>
            <w:r>
              <w:rPr/>
              <w:t xml:space="preserve">Work highly flexibly according to the needs of the service, including early morning and late-night outreach or weekends. </w:t>
            </w:r>
          </w:p>
          <w:p>
            <w:pPr>
              <w:pStyle w:val="Normal"/>
              <w:keepLines/>
              <w:numPr>
                <w:ilvl w:val="0"/>
                <w:numId w:val="3"/>
              </w:numPr>
              <w:tabs>
                <w:tab w:val="clear" w:pos="720"/>
                <w:tab w:val="left" w:pos="356" w:leader="none"/>
              </w:tabs>
              <w:spacing w:lineRule="auto" w:line="240" w:before="0" w:after="0"/>
              <w:ind w:left="360" w:right="0" w:hanging="360"/>
              <w:rPr/>
            </w:pPr>
            <w:r>
              <w:rPr/>
              <w:t>Ability to travel inside and outside the Borough for which expenses will be payable in accordance with the council’s conditions of service.</w:t>
            </w:r>
          </w:p>
          <w:p>
            <w:pPr>
              <w:pStyle w:val="Normal"/>
              <w:keepLines/>
              <w:spacing w:lineRule="auto" w:line="240" w:before="0" w:after="0"/>
              <w:ind w:left="360" w:right="0" w:hanging="0"/>
              <w:rPr/>
            </w:pPr>
            <w:r>
              <w:rPr/>
            </w:r>
          </w:p>
        </w:tc>
      </w:tr>
      <w:tr>
        <w:trPr>
          <w:trHeight w:val="1426" w:hRule="atLeast"/>
          <w:cantSplit w:val="true"/>
        </w:trPr>
        <w:tc>
          <w:tcPr>
            <w:tcW w:w="10466" w:type="dxa"/>
            <w:gridSpan w:val="4"/>
            <w:tcBorders>
              <w:top w:val="double" w:sz="6" w:space="0" w:color="000000"/>
              <w:left w:val="single" w:sz="6" w:space="0" w:color="000000"/>
              <w:bottom w:val="double" w:sz="6" w:space="0" w:color="000000"/>
              <w:right w:val="single" w:sz="6" w:space="0" w:color="000000"/>
            </w:tcBorders>
            <w:shd w:fill="auto" w:val="clear"/>
          </w:tcPr>
          <w:p>
            <w:pPr>
              <w:pStyle w:val="Normal"/>
              <w:spacing w:before="120" w:after="120"/>
              <w:rPr/>
            </w:pPr>
            <w:r>
              <w:rPr>
                <w:rFonts w:cs="Arial"/>
                <w:b/>
              </w:rPr>
              <w:t>Purpose and Objectives of Post</w:t>
            </w:r>
            <w:r>
              <w:rPr>
                <w:rFonts w:cs="Arial"/>
              </w:rPr>
              <w:t xml:space="preserve">: </w:t>
            </w:r>
          </w:p>
          <w:p>
            <w:pPr>
              <w:pStyle w:val="Normal"/>
              <w:spacing w:before="120" w:after="120"/>
              <w:rPr/>
            </w:pPr>
            <w:r>
              <w:rPr>
                <w:rFonts w:cs="Arial"/>
                <w:b/>
                <w:bCs/>
                <w:color w:val="000000"/>
              </w:rPr>
              <w:t xml:space="preserve">Customer Support and Advocacy: </w:t>
            </w:r>
            <w:r>
              <w:rPr>
                <w:rFonts w:cs="Arial"/>
                <w:color w:val="000000"/>
              </w:rPr>
              <w:t>The</w:t>
            </w:r>
            <w:r>
              <w:rPr>
                <w:rFonts w:cs="Arial"/>
                <w:b/>
                <w:bCs/>
                <w:color w:val="000000"/>
              </w:rPr>
              <w:t xml:space="preserve"> </w:t>
            </w:r>
            <w:r>
              <w:rPr>
                <w:rFonts w:cs="Arial"/>
                <w:color w:val="000000"/>
              </w:rPr>
              <w:t>navigator will work with entrenched rough sleepers across the borough creating targeted support to relieve their homelessness and entrenched behaviours. They will work closely with those at risk of rough sleeping to prevent them presenting to front door services. Support will be person-centred and will support customers to access other services e.g. healthcare and substance misuse services.</w:t>
            </w:r>
          </w:p>
          <w:p>
            <w:pPr>
              <w:pStyle w:val="Normal"/>
              <w:spacing w:before="120" w:after="120"/>
              <w:rPr/>
            </w:pPr>
            <w:r>
              <w:rPr>
                <w:rFonts w:cs="Arial"/>
                <w:b/>
                <w:bCs/>
                <w:color w:val="000000"/>
              </w:rPr>
              <w:t>Housing Assistance:</w:t>
            </w:r>
            <w:r>
              <w:rPr>
                <w:rFonts w:cs="Arial"/>
                <w:color w:val="000000"/>
              </w:rPr>
              <w:t xml:space="preserve"> A primary goal is to assist customers in securing and sustaining a stable housing tenancy. This involves working with housing providers, negotiating tenancy agreements, and ensuring customers have the necessary skills and resources to sustain their accommodation.</w:t>
            </w:r>
          </w:p>
          <w:p>
            <w:pPr>
              <w:pStyle w:val="Normal"/>
              <w:spacing w:before="120" w:after="120"/>
              <w:rPr/>
            </w:pPr>
            <w:r>
              <w:rPr>
                <w:rFonts w:cs="Arial"/>
                <w:b/>
                <w:bCs/>
                <w:color w:val="000000"/>
              </w:rPr>
              <w:t>Collaboration with Services:</w:t>
            </w:r>
            <w:r>
              <w:rPr>
                <w:rFonts w:cs="Arial"/>
                <w:color w:val="000000"/>
              </w:rPr>
              <w:t xml:space="preserve"> The navigator collaborates with various agencies, including outreach teams, healthcare providers, and social services, to create a comprehensive support network for customers. This multi-disciplinary approach ensures that all aspects of a customer's needs are addressed.</w:t>
            </w:r>
          </w:p>
          <w:p>
            <w:pPr>
              <w:pStyle w:val="Normal"/>
              <w:spacing w:before="120" w:after="120"/>
              <w:rPr/>
            </w:pPr>
            <w:r>
              <w:rPr>
                <w:rFonts w:cs="Arial"/>
                <w:b/>
                <w:bCs/>
                <w:color w:val="000000"/>
              </w:rPr>
              <w:t>Strength-Based Approach:</w:t>
            </w:r>
            <w:r>
              <w:rPr>
                <w:rFonts w:cs="Arial"/>
                <w:color w:val="000000"/>
              </w:rPr>
              <w:t xml:space="preserve"> The role involves using a strength-based approach, focusing on the customer's strengths and aspirations to empower them towards independence and self-sufficiency.</w:t>
            </w:r>
          </w:p>
          <w:p>
            <w:pPr>
              <w:pStyle w:val="Normal"/>
              <w:spacing w:before="120" w:after="120"/>
              <w:rPr/>
            </w:pPr>
            <w:r>
              <w:rPr>
                <w:rFonts w:cs="Arial"/>
                <w:b/>
                <w:bCs/>
                <w:color w:val="000000"/>
              </w:rPr>
              <w:t>Crisis Intervention</w:t>
            </w:r>
            <w:r>
              <w:rPr>
                <w:rFonts w:cs="Arial"/>
                <w:color w:val="000000"/>
              </w:rPr>
              <w:t>: Navigators often deal with customers in crisis situations, providing immediate support and interventions to ensure their safety and well-being.</w:t>
            </w:r>
          </w:p>
          <w:p>
            <w:pPr>
              <w:pStyle w:val="Normal"/>
              <w:spacing w:before="120" w:after="120"/>
              <w:rPr/>
            </w:pPr>
            <w:r>
              <w:rPr>
                <w:rFonts w:cs="Arial"/>
                <w:b/>
                <w:bCs/>
                <w:color w:val="000000"/>
              </w:rPr>
              <w:t>Ongoing Monitoring and Support:</w:t>
            </w:r>
            <w:r>
              <w:rPr>
                <w:rFonts w:cs="Arial"/>
                <w:color w:val="000000"/>
              </w:rPr>
              <w:t xml:space="preserve"> The navigator maintains regular contact with customers, monitoring their progress and adjusting support plans as needed to ensure long-term success. The navigator will support customers through their journey from the streets through to permanent tenancies. </w:t>
            </w:r>
          </w:p>
        </w:tc>
      </w:tr>
      <w:tr>
        <w:trPr>
          <w:cantSplit w:val="true"/>
        </w:trPr>
        <w:tc>
          <w:tcPr>
            <w:tcW w:w="10466" w:type="dxa"/>
            <w:gridSpan w:val="4"/>
            <w:tcBorders>
              <w:top w:val="double" w:sz="6" w:space="0" w:color="000000"/>
              <w:left w:val="single" w:sz="6" w:space="0" w:color="000000"/>
              <w:bottom w:val="double" w:sz="6" w:space="0" w:color="000000"/>
              <w:right w:val="single" w:sz="6" w:space="0" w:color="000000"/>
            </w:tcBorders>
            <w:shd w:fill="auto" w:val="clear"/>
          </w:tcPr>
          <w:p>
            <w:pPr>
              <w:pStyle w:val="Normal"/>
              <w:spacing w:before="120" w:after="240"/>
              <w:rPr/>
            </w:pPr>
            <w:r>
              <w:rPr>
                <w:rFonts w:cs="Arial"/>
                <w:b/>
              </w:rPr>
              <w:t>Accountable to</w:t>
            </w:r>
            <w:r>
              <w:rPr>
                <w:rFonts w:cs="Arial"/>
              </w:rPr>
              <w:t xml:space="preserve">: Rough Sleepers Co-ordinator </w:t>
            </w:r>
          </w:p>
        </w:tc>
      </w:tr>
      <w:tr>
        <w:trPr>
          <w:cantSplit w:val="true"/>
        </w:trPr>
        <w:tc>
          <w:tcPr>
            <w:tcW w:w="10466" w:type="dxa"/>
            <w:gridSpan w:val="4"/>
            <w:tcBorders>
              <w:top w:val="double" w:sz="6" w:space="0" w:color="000000"/>
              <w:left w:val="single" w:sz="6" w:space="0" w:color="000000"/>
              <w:bottom w:val="double" w:sz="6" w:space="0" w:color="000000"/>
              <w:right w:val="single" w:sz="6" w:space="0" w:color="000000"/>
            </w:tcBorders>
            <w:shd w:fill="auto" w:val="clear"/>
          </w:tcPr>
          <w:p>
            <w:pPr>
              <w:pStyle w:val="Normal"/>
              <w:spacing w:before="120" w:after="240"/>
              <w:rPr/>
            </w:pPr>
            <w:r>
              <w:rPr>
                <w:rFonts w:cs="Arial"/>
                <w:b/>
              </w:rPr>
              <w:t>Immediately Responsible to</w:t>
            </w:r>
            <w:r>
              <w:rPr>
                <w:rFonts w:cs="Arial"/>
              </w:rPr>
              <w:t>: Rough Sleepers Co-ordinator</w:t>
            </w:r>
          </w:p>
        </w:tc>
      </w:tr>
      <w:tr>
        <w:trPr>
          <w:trHeight w:val="680" w:hRule="atLeast"/>
          <w:cantSplit w:val="true"/>
        </w:trPr>
        <w:tc>
          <w:tcPr>
            <w:tcW w:w="10466" w:type="dxa"/>
            <w:gridSpan w:val="4"/>
            <w:tcBorders>
              <w:top w:val="double" w:sz="6" w:space="0" w:color="000000"/>
              <w:left w:val="single" w:sz="6" w:space="0" w:color="000000"/>
              <w:bottom w:val="double" w:sz="6" w:space="0" w:color="000000"/>
              <w:right w:val="single" w:sz="6" w:space="0" w:color="000000"/>
            </w:tcBorders>
            <w:shd w:fill="auto" w:val="clear"/>
          </w:tcPr>
          <w:p>
            <w:pPr>
              <w:pStyle w:val="Normal"/>
              <w:spacing w:before="120" w:after="240"/>
              <w:rPr/>
            </w:pPr>
            <w:r>
              <w:rPr>
                <w:rFonts w:cs="Arial"/>
                <w:b/>
              </w:rPr>
              <w:t>Immediately Responsible for</w:t>
            </w:r>
            <w:r>
              <w:rPr>
                <w:rFonts w:cs="Arial"/>
              </w:rPr>
              <w:t>: N/A</w:t>
            </w:r>
          </w:p>
        </w:tc>
      </w:tr>
      <w:tr>
        <w:trPr>
          <w:trHeight w:val="2254" w:hRule="atLeast"/>
          <w:cantSplit w:val="true"/>
        </w:trPr>
        <w:tc>
          <w:tcPr>
            <w:tcW w:w="10466" w:type="dxa"/>
            <w:gridSpan w:val="4"/>
            <w:tcBorders>
              <w:top w:val="double" w:sz="6" w:space="0" w:color="000000"/>
              <w:left w:val="single" w:sz="6" w:space="0" w:color="000000"/>
              <w:right w:val="single" w:sz="6" w:space="0" w:color="000000"/>
            </w:tcBorders>
            <w:shd w:fill="auto" w:val="clear"/>
          </w:tcPr>
          <w:p>
            <w:pPr>
              <w:pStyle w:val="Normal"/>
              <w:tabs>
                <w:tab w:val="clear" w:pos="720"/>
                <w:tab w:val="left" w:pos="4320" w:leader="none"/>
              </w:tabs>
              <w:spacing w:before="120" w:after="120"/>
              <w:rPr>
                <w:rFonts w:cs="Arial"/>
                <w:b/>
                <w:b/>
              </w:rPr>
            </w:pPr>
            <w:r>
              <w:rPr>
                <w:rFonts w:cs="Arial"/>
                <w:b/>
              </w:rPr>
              <w:t>Relationships: (Internal and External)</w:t>
            </w:r>
          </w:p>
          <w:p>
            <w:pPr>
              <w:pStyle w:val="Normal"/>
              <w:tabs>
                <w:tab w:val="clear" w:pos="720"/>
                <w:tab w:val="left" w:pos="4320" w:leader="none"/>
              </w:tabs>
              <w:spacing w:before="120" w:after="120"/>
              <w:ind w:left="720" w:right="0" w:hanging="0"/>
              <w:rPr>
                <w:rFonts w:cs="Arial"/>
              </w:rPr>
            </w:pPr>
            <w:r>
              <w:rPr>
                <w:rFonts w:cs="Arial"/>
              </w:rPr>
              <w:t xml:space="preserve">Homelessness and Housing Options Team </w:t>
            </w:r>
          </w:p>
          <w:p>
            <w:pPr>
              <w:pStyle w:val="Normal"/>
              <w:tabs>
                <w:tab w:val="clear" w:pos="720"/>
                <w:tab w:val="left" w:pos="4320" w:leader="none"/>
              </w:tabs>
              <w:spacing w:before="120" w:after="120"/>
              <w:ind w:left="720" w:right="0" w:hanging="0"/>
              <w:rPr>
                <w:rFonts w:cs="Arial"/>
              </w:rPr>
            </w:pPr>
            <w:r>
              <w:rPr>
                <w:rFonts w:cs="Arial"/>
              </w:rPr>
              <w:t>Bury Housing Services</w:t>
            </w:r>
          </w:p>
          <w:p>
            <w:pPr>
              <w:pStyle w:val="Normal"/>
              <w:tabs>
                <w:tab w:val="clear" w:pos="720"/>
                <w:tab w:val="left" w:pos="4320" w:leader="none"/>
              </w:tabs>
              <w:spacing w:before="120" w:after="120"/>
              <w:ind w:left="720" w:right="0" w:hanging="0"/>
              <w:rPr>
                <w:rFonts w:cs="Arial"/>
              </w:rPr>
            </w:pPr>
            <w:r>
              <w:rPr>
                <w:rFonts w:cs="Arial"/>
              </w:rPr>
              <w:t xml:space="preserve">Other Internal Services </w:t>
            </w:r>
          </w:p>
          <w:p>
            <w:pPr>
              <w:pStyle w:val="Normal"/>
              <w:tabs>
                <w:tab w:val="clear" w:pos="720"/>
                <w:tab w:val="left" w:pos="4320" w:leader="none"/>
              </w:tabs>
              <w:spacing w:before="120" w:after="120"/>
              <w:ind w:left="720" w:right="0" w:hanging="0"/>
              <w:rPr>
                <w:rFonts w:cs="Arial"/>
              </w:rPr>
            </w:pPr>
            <w:r>
              <w:rPr>
                <w:rFonts w:cs="Arial"/>
              </w:rPr>
              <w:t xml:space="preserve">External organisations e.g. housing providers, drug and alcohol services, homeless charities, healthcare professionals, Greater Manchester Police etc </w:t>
            </w:r>
          </w:p>
        </w:tc>
      </w:tr>
      <w:tr>
        <w:trPr>
          <w:trHeight w:val="2154" w:hRule="atLeast"/>
          <w:cantSplit w:val="true"/>
        </w:trPr>
        <w:tc>
          <w:tcPr>
            <w:tcW w:w="10466" w:type="dxa"/>
            <w:gridSpan w:val="4"/>
            <w:tcBorders>
              <w:top w:val="double" w:sz="6" w:space="0" w:color="000000"/>
              <w:left w:val="single" w:sz="6" w:space="0" w:color="000000"/>
              <w:bottom w:val="single" w:sz="6" w:space="0" w:color="000000"/>
              <w:right w:val="single" w:sz="6" w:space="0" w:color="000000"/>
            </w:tcBorders>
            <w:shd w:fill="auto" w:val="clear"/>
          </w:tcPr>
          <w:p>
            <w:pPr>
              <w:pStyle w:val="Normal"/>
              <w:spacing w:before="120" w:after="120"/>
              <w:rPr/>
            </w:pPr>
            <w:r>
              <w:rPr>
                <w:rFonts w:cs="Arial"/>
                <w:b/>
              </w:rPr>
              <w:t>Control of Resources</w:t>
            </w:r>
            <w:r>
              <w:rPr>
                <w:rFonts w:cs="Arial"/>
              </w:rPr>
              <w:t xml:space="preserve">: </w:t>
            </w:r>
          </w:p>
          <w:p>
            <w:pPr>
              <w:pStyle w:val="Normal"/>
              <w:numPr>
                <w:ilvl w:val="0"/>
                <w:numId w:val="4"/>
              </w:numPr>
              <w:spacing w:before="120" w:after="120"/>
              <w:rPr>
                <w:rFonts w:cs="Arial"/>
              </w:rPr>
            </w:pPr>
            <w:r>
              <w:rPr>
                <w:rFonts w:cs="Arial"/>
              </w:rPr>
              <w:t>Effective use of ICT equipment and systems</w:t>
            </w:r>
          </w:p>
          <w:p>
            <w:pPr>
              <w:pStyle w:val="Normal"/>
              <w:numPr>
                <w:ilvl w:val="0"/>
                <w:numId w:val="4"/>
              </w:numPr>
              <w:spacing w:before="120" w:after="120"/>
              <w:rPr>
                <w:rFonts w:cs="Arial"/>
              </w:rPr>
            </w:pPr>
            <w:r>
              <w:rPr>
                <w:rFonts w:cs="Arial"/>
              </w:rPr>
              <w:t>Other resources that may be delegated to the post holder to support and deliver projects</w:t>
            </w:r>
          </w:p>
          <w:p>
            <w:pPr>
              <w:pStyle w:val="Normal"/>
              <w:numPr>
                <w:ilvl w:val="0"/>
                <w:numId w:val="4"/>
              </w:numPr>
              <w:spacing w:before="120" w:after="120"/>
              <w:rPr>
                <w:rFonts w:cs="Arial"/>
              </w:rPr>
            </w:pPr>
            <w:r>
              <w:rPr>
                <w:rFonts w:cs="Arial"/>
              </w:rPr>
              <w:t>Mobile telephone</w:t>
            </w:r>
          </w:p>
        </w:tc>
      </w:tr>
      <w:tr>
        <w:trPr>
          <w:trHeight w:val="240" w:hRule="atLeast"/>
          <w:cantSplit w:val="true"/>
        </w:trPr>
        <w:tc>
          <w:tcPr>
            <w:tcW w:w="10466" w:type="dxa"/>
            <w:gridSpan w:val="4"/>
            <w:tcBorders>
              <w:top w:val="single" w:sz="6" w:space="0" w:color="000000"/>
              <w:left w:val="single" w:sz="6" w:space="0" w:color="000000"/>
              <w:right w:val="single" w:sz="6" w:space="0" w:color="000000"/>
            </w:tcBorders>
            <w:shd w:fill="auto" w:val="clear"/>
          </w:tcPr>
          <w:p>
            <w:pPr>
              <w:pStyle w:val="Normal"/>
              <w:spacing w:before="120" w:after="120"/>
              <w:rPr/>
            </w:pPr>
            <w:r>
              <w:rPr>
                <w:rFonts w:cs="Arial"/>
                <w:b/>
              </w:rPr>
              <w:t>Duties/Responsibilities</w:t>
            </w:r>
            <w:r>
              <w:rPr>
                <w:rFonts w:cs="Arial"/>
              </w:rPr>
              <w:t xml:space="preserve">: </w:t>
            </w:r>
          </w:p>
          <w:p>
            <w:pPr>
              <w:pStyle w:val="Normal"/>
              <w:spacing w:before="120" w:after="120"/>
              <w:rPr>
                <w:rFonts w:cs="Arial"/>
              </w:rPr>
            </w:pPr>
            <w:r>
              <w:rPr>
                <w:rFonts w:cs="Arial"/>
              </w:rPr>
            </w:r>
          </w:p>
          <w:p>
            <w:pPr>
              <w:pStyle w:val="Normal"/>
              <w:numPr>
                <w:ilvl w:val="0"/>
                <w:numId w:val="2"/>
              </w:numPr>
              <w:spacing w:before="120" w:after="120"/>
              <w:rPr>
                <w:rFonts w:cs="Arial"/>
              </w:rPr>
            </w:pPr>
            <w:r>
              <w:rPr>
                <w:rFonts w:cs="Arial"/>
              </w:rPr>
              <w:t xml:space="preserve">To engage with entrenched rough sleepers and those at risk throughout the borough by maintaining a regular street presence and initiating contact. </w:t>
            </w:r>
          </w:p>
          <w:p>
            <w:pPr>
              <w:pStyle w:val="Normal"/>
              <w:numPr>
                <w:ilvl w:val="0"/>
                <w:numId w:val="2"/>
              </w:numPr>
              <w:spacing w:before="120" w:after="120"/>
              <w:rPr>
                <w:rFonts w:cs="Arial"/>
              </w:rPr>
            </w:pPr>
            <w:r>
              <w:rPr>
                <w:rFonts w:cs="Arial"/>
              </w:rPr>
              <w:t>To complete outreach sessions during early or late-night hours to confirm rough sleeping across the borough.</w:t>
            </w:r>
          </w:p>
          <w:p>
            <w:pPr>
              <w:pStyle w:val="Normal"/>
              <w:numPr>
                <w:ilvl w:val="0"/>
                <w:numId w:val="2"/>
              </w:numPr>
              <w:spacing w:before="120" w:after="120"/>
              <w:rPr>
                <w:rFonts w:cs="Arial"/>
              </w:rPr>
            </w:pPr>
            <w:r>
              <w:rPr>
                <w:rFonts w:cs="Arial"/>
              </w:rPr>
              <w:t xml:space="preserve">To provide prevention support for those at risk of rough sleeping, including those with arrears, unstable relationships and mental health etc. </w:t>
            </w:r>
          </w:p>
          <w:p>
            <w:pPr>
              <w:pStyle w:val="Normal"/>
              <w:numPr>
                <w:ilvl w:val="0"/>
                <w:numId w:val="2"/>
              </w:numPr>
              <w:spacing w:before="120" w:after="120"/>
              <w:rPr>
                <w:rFonts w:cs="Arial"/>
              </w:rPr>
            </w:pPr>
            <w:r>
              <w:rPr>
                <w:rFonts w:cs="Arial"/>
              </w:rPr>
              <w:t xml:space="preserve">To provide integrated support for revolving door cases and entrenched rough sleepers in the borough. </w:t>
            </w:r>
          </w:p>
          <w:p>
            <w:pPr>
              <w:pStyle w:val="Normal"/>
              <w:numPr>
                <w:ilvl w:val="0"/>
                <w:numId w:val="2"/>
              </w:numPr>
              <w:spacing w:before="120" w:after="120"/>
              <w:rPr>
                <w:rFonts w:cs="Arial"/>
              </w:rPr>
            </w:pPr>
            <w:r>
              <w:rPr>
                <w:rFonts w:cs="Arial"/>
              </w:rPr>
              <w:t xml:space="preserve">Conduct comprehensive assessments of customer’s needs and risks. </w:t>
            </w:r>
          </w:p>
          <w:p>
            <w:pPr>
              <w:pStyle w:val="Normal"/>
              <w:numPr>
                <w:ilvl w:val="0"/>
                <w:numId w:val="2"/>
              </w:numPr>
              <w:spacing w:before="120" w:after="120"/>
              <w:rPr>
                <w:rFonts w:cs="Arial"/>
              </w:rPr>
            </w:pPr>
            <w:r>
              <w:rPr>
                <w:rFonts w:cs="Arial"/>
              </w:rPr>
              <w:t xml:space="preserve">Develop professional, positive and trusting relationships with customers to understand their circumstances and develop effective support plans. </w:t>
            </w:r>
          </w:p>
          <w:p>
            <w:pPr>
              <w:pStyle w:val="Normal"/>
              <w:numPr>
                <w:ilvl w:val="0"/>
                <w:numId w:val="2"/>
              </w:numPr>
              <w:spacing w:before="120" w:after="120"/>
              <w:rPr>
                <w:rFonts w:cs="Arial"/>
              </w:rPr>
            </w:pPr>
            <w:r>
              <w:rPr>
                <w:rFonts w:cs="Arial"/>
              </w:rPr>
              <w:t xml:space="preserve">Provide holistic support from the point of initial contact to securing and maintaining a permanent tenancy. </w:t>
            </w:r>
          </w:p>
          <w:p>
            <w:pPr>
              <w:pStyle w:val="Normal"/>
              <w:numPr>
                <w:ilvl w:val="0"/>
                <w:numId w:val="2"/>
              </w:numPr>
              <w:spacing w:before="120" w:after="120"/>
              <w:rPr>
                <w:rFonts w:cs="Arial"/>
              </w:rPr>
            </w:pPr>
            <w:r>
              <w:rPr>
                <w:rFonts w:cs="Arial"/>
              </w:rPr>
              <w:t xml:space="preserve">Collaboratively work with multi-agency teams, including social services, healthcare providers, and criminal justice services, to create an integrated and comprehensive support network. </w:t>
            </w:r>
          </w:p>
          <w:p>
            <w:pPr>
              <w:pStyle w:val="Normal"/>
              <w:numPr>
                <w:ilvl w:val="0"/>
                <w:numId w:val="2"/>
              </w:numPr>
              <w:spacing w:before="120" w:after="120"/>
              <w:rPr>
                <w:rFonts w:cs="Arial"/>
              </w:rPr>
            </w:pPr>
            <w:r>
              <w:rPr>
                <w:rFonts w:cs="Arial"/>
              </w:rPr>
              <w:t>Work closely with housing providers, landlords, and other stakeholders to secure appropriate accommodation and ensure tenancy sustainment.</w:t>
            </w:r>
          </w:p>
          <w:p>
            <w:pPr>
              <w:pStyle w:val="Normal"/>
              <w:numPr>
                <w:ilvl w:val="0"/>
                <w:numId w:val="2"/>
              </w:numPr>
              <w:spacing w:before="120" w:after="120"/>
              <w:rPr>
                <w:rFonts w:cs="Arial"/>
              </w:rPr>
            </w:pPr>
            <w:r>
              <w:rPr>
                <w:rFonts w:cs="Arial"/>
              </w:rPr>
              <w:t xml:space="preserve">Participate in multi-agency case meetings to address the complex needs of the target priority group. </w:t>
            </w:r>
          </w:p>
          <w:p>
            <w:pPr>
              <w:pStyle w:val="Normal"/>
              <w:numPr>
                <w:ilvl w:val="0"/>
                <w:numId w:val="2"/>
              </w:numPr>
              <w:spacing w:before="120" w:after="120"/>
              <w:rPr>
                <w:rFonts w:cs="Arial"/>
              </w:rPr>
            </w:pPr>
            <w:r>
              <w:rPr>
                <w:rFonts w:cs="Arial"/>
              </w:rPr>
              <w:t>Provide immediate support and interventions during crisis situations to ensure customers' safety and well-being.</w:t>
            </w:r>
          </w:p>
          <w:p>
            <w:pPr>
              <w:pStyle w:val="Normal"/>
              <w:numPr>
                <w:ilvl w:val="0"/>
                <w:numId w:val="2"/>
              </w:numPr>
              <w:spacing w:before="120" w:after="120"/>
              <w:rPr>
                <w:rFonts w:cs="Arial"/>
              </w:rPr>
            </w:pPr>
            <w:r>
              <w:rPr>
                <w:rFonts w:cs="Arial"/>
              </w:rPr>
              <w:t>Maintain accurate records of customer interactions and progress.</w:t>
            </w:r>
          </w:p>
          <w:p>
            <w:pPr>
              <w:pStyle w:val="Normal"/>
              <w:numPr>
                <w:ilvl w:val="0"/>
                <w:numId w:val="2"/>
              </w:numPr>
              <w:spacing w:before="120" w:after="120"/>
              <w:rPr>
                <w:rFonts w:cs="Arial"/>
              </w:rPr>
            </w:pPr>
            <w:r>
              <w:rPr>
                <w:rFonts w:cs="Arial"/>
              </w:rPr>
              <w:t>Regularly review and adjust support plans to ensure they meet customers' evolving needs.</w:t>
            </w:r>
          </w:p>
          <w:p>
            <w:pPr>
              <w:pStyle w:val="Normal"/>
              <w:numPr>
                <w:ilvl w:val="0"/>
                <w:numId w:val="2"/>
              </w:numPr>
              <w:spacing w:before="120" w:after="120"/>
              <w:rPr>
                <w:rFonts w:cs="Arial"/>
              </w:rPr>
            </w:pPr>
            <w:r>
              <w:rPr>
                <w:rFonts w:cs="Arial"/>
              </w:rPr>
              <w:t>Advocate on behalf of customers to ensure they receive the services and support they need.</w:t>
            </w:r>
          </w:p>
          <w:p>
            <w:pPr>
              <w:pStyle w:val="Normal"/>
              <w:numPr>
                <w:ilvl w:val="0"/>
                <w:numId w:val="2"/>
              </w:numPr>
              <w:spacing w:before="120" w:after="120"/>
              <w:rPr>
                <w:rFonts w:cs="Arial"/>
              </w:rPr>
            </w:pPr>
            <w:r>
              <w:rPr>
                <w:rFonts w:cs="Arial"/>
              </w:rPr>
              <w:t>Empower customers by focusing on their strengths, goals, and aspirations to promote independence and self-sufficiency.</w:t>
            </w:r>
          </w:p>
          <w:p>
            <w:pPr>
              <w:pStyle w:val="Normal"/>
              <w:numPr>
                <w:ilvl w:val="0"/>
                <w:numId w:val="2"/>
              </w:numPr>
              <w:spacing w:before="120" w:after="120"/>
              <w:rPr>
                <w:rFonts w:cs="Arial"/>
              </w:rPr>
            </w:pPr>
            <w:r>
              <w:rPr>
                <w:rFonts w:cs="Arial"/>
              </w:rPr>
              <w:t xml:space="preserve">Attend multi-agency meetings that are relevant to your role and to support the rough sleeper team. </w:t>
            </w:r>
          </w:p>
          <w:p>
            <w:pPr>
              <w:pStyle w:val="Normal"/>
              <w:numPr>
                <w:ilvl w:val="0"/>
                <w:numId w:val="2"/>
              </w:numPr>
              <w:rPr>
                <w:rFonts w:cs="Arial"/>
              </w:rPr>
            </w:pPr>
            <w:r>
              <w:rPr>
                <w:rFonts w:cs="Arial"/>
              </w:rPr>
              <w:t>Working agilely across the borough and basing oneself in locations that will promote engagement with the service.</w:t>
            </w:r>
          </w:p>
          <w:p>
            <w:pPr>
              <w:pStyle w:val="Normal"/>
              <w:numPr>
                <w:ilvl w:val="0"/>
                <w:numId w:val="2"/>
              </w:numPr>
              <w:rPr>
                <w:rFonts w:cs="Arial"/>
              </w:rPr>
            </w:pPr>
            <w:r>
              <w:rPr>
                <w:rFonts w:cs="Arial"/>
              </w:rPr>
              <w:t>To assist, advise and support service users with housing related support which may include budgeting, debt management, education, employment, setting up home, neighbour complaints, health and safety, accessing welfare and housing benefits, mental health and substance misuse, referring to more specialised agencies where appropriate.</w:t>
            </w:r>
          </w:p>
          <w:p>
            <w:pPr>
              <w:pStyle w:val="Normal"/>
              <w:numPr>
                <w:ilvl w:val="0"/>
                <w:numId w:val="2"/>
              </w:numPr>
              <w:spacing w:before="0" w:after="200"/>
              <w:rPr>
                <w:rFonts w:cs="Arial"/>
              </w:rPr>
            </w:pPr>
            <w:r>
              <w:rPr>
                <w:rFonts w:cs="Arial"/>
              </w:rPr>
              <w:t>Identify and manage risk presented to self, colleagues and service users using appropriate preventative and recording tools in order to identify and reduce possible future risk. Adhere to lone working procedures</w:t>
            </w:r>
          </w:p>
        </w:tc>
      </w:tr>
      <w:tr>
        <w:trPr>
          <w:trHeight w:val="240" w:hRule="atLeast"/>
          <w:cantSplit w:val="true"/>
        </w:trPr>
        <w:tc>
          <w:tcPr>
            <w:tcW w:w="10466" w:type="dxa"/>
            <w:gridSpan w:val="4"/>
            <w:tcBorders>
              <w:left w:val="single" w:sz="6" w:space="0" w:color="000000"/>
              <w:right w:val="single" w:sz="6" w:space="0" w:color="000000"/>
            </w:tcBorders>
            <w:shd w:fill="auto" w:val="clear"/>
          </w:tcPr>
          <w:p>
            <w:pPr>
              <w:pStyle w:val="Normal"/>
              <w:numPr>
                <w:ilvl w:val="0"/>
                <w:numId w:val="2"/>
              </w:numPr>
              <w:rPr>
                <w:rFonts w:cs="Arial"/>
              </w:rPr>
            </w:pPr>
            <w:r>
              <w:rPr>
                <w:rFonts w:cs="Arial"/>
              </w:rPr>
              <w:t>Working collaboratively with partners including housing providers, day centres, health (and mental health), drug and alcohol teams, police, fire services, benefit teams, local authority, probation, prison services and reconnection services</w:t>
            </w:r>
          </w:p>
          <w:p>
            <w:pPr>
              <w:pStyle w:val="Normal"/>
              <w:numPr>
                <w:ilvl w:val="0"/>
                <w:numId w:val="2"/>
              </w:numPr>
              <w:rPr>
                <w:rFonts w:cs="Arial"/>
              </w:rPr>
            </w:pPr>
            <w:r>
              <w:rPr>
                <w:rFonts w:cs="Arial"/>
              </w:rPr>
              <w:t>To promote appropriate service user involvement in the delivery of the service and ensure that service user views are heard, responded to and reasons for decisions are given as soon as possible.</w:t>
            </w:r>
          </w:p>
          <w:p>
            <w:pPr>
              <w:pStyle w:val="Normal"/>
              <w:numPr>
                <w:ilvl w:val="0"/>
                <w:numId w:val="2"/>
              </w:numPr>
              <w:rPr>
                <w:rFonts w:cs="Arial"/>
              </w:rPr>
            </w:pPr>
            <w:r>
              <w:rPr>
                <w:rFonts w:cs="Arial"/>
              </w:rPr>
              <w:t>Identify your own development needs and actively seek opportunities to expand your knowledge, skill and experience to meet the developing needs of the service. Actively participate in the development of others.</w:t>
            </w:r>
          </w:p>
          <w:p>
            <w:pPr>
              <w:pStyle w:val="Normal"/>
              <w:numPr>
                <w:ilvl w:val="0"/>
                <w:numId w:val="2"/>
              </w:numPr>
              <w:spacing w:before="120" w:after="240"/>
              <w:rPr>
                <w:rFonts w:cs="Arial"/>
              </w:rPr>
            </w:pPr>
            <w:r>
              <w:rPr>
                <w:rFonts w:cs="Arial"/>
              </w:rPr>
              <w:t>Complete any other reasonable task delegated by line management</w:t>
            </w:r>
          </w:p>
          <w:p>
            <w:pPr>
              <w:pStyle w:val="Normal"/>
              <w:numPr>
                <w:ilvl w:val="0"/>
                <w:numId w:val="2"/>
              </w:numPr>
              <w:spacing w:before="120" w:after="240"/>
              <w:rPr>
                <w:rFonts w:cs="Arial"/>
              </w:rPr>
            </w:pPr>
            <w:r>
              <w:rPr>
                <w:rFonts w:cs="Arial"/>
              </w:rPr>
              <w:t>As an employee of Bury Council you have a responsibility for, and must be committed to, safeguarding and promoting the welfare of children, young people and vulnerable adults and for ensuring that they are protected from harm.</w:t>
            </w:r>
          </w:p>
          <w:p>
            <w:pPr>
              <w:pStyle w:val="Normal"/>
              <w:numPr>
                <w:ilvl w:val="0"/>
                <w:numId w:val="2"/>
              </w:numPr>
              <w:spacing w:before="120" w:after="240"/>
              <w:rPr>
                <w:rFonts w:cs="Arial"/>
              </w:rPr>
            </w:pPr>
            <w:r>
              <w:rPr>
                <w:rFonts w:cs="Arial"/>
              </w:rPr>
              <w:t>Bury Council is committed to equality, diversity and inclusion, and expects all staff to comply with its equality related policies/procedures, and to treat others with fairness and respect.</w:t>
            </w:r>
          </w:p>
          <w:p>
            <w:pPr>
              <w:pStyle w:val="Normal"/>
              <w:numPr>
                <w:ilvl w:val="0"/>
                <w:numId w:val="2"/>
              </w:numPr>
              <w:spacing w:before="120" w:after="240"/>
              <w:rPr>
                <w:rFonts w:cs="Arial"/>
              </w:rPr>
            </w:pPr>
            <w:r>
              <w:rPr>
                <w:rFonts w:cs="Arial"/>
              </w:rPr>
              <w:t>Health and Wellbeing -As an employee of Bury Council you should contribute to a culture that values and supports the physical and emotional wellbeing of your colleagues</w:t>
            </w:r>
          </w:p>
        </w:tc>
      </w:tr>
      <w:tr>
        <w:trPr>
          <w:trHeight w:val="240" w:hRule="atLeast"/>
          <w:cantSplit w:val="true"/>
        </w:trPr>
        <w:tc>
          <w:tcPr>
            <w:tcW w:w="10466" w:type="dxa"/>
            <w:gridSpan w:val="4"/>
            <w:tcBorders>
              <w:left w:val="single" w:sz="6" w:space="0" w:color="000000"/>
              <w:bottom w:val="double" w:sz="6" w:space="0" w:color="000000"/>
              <w:right w:val="single" w:sz="6" w:space="0" w:color="000000"/>
            </w:tcBorders>
            <w:shd w:fill="auto" w:val="clear"/>
          </w:tcPr>
          <w:p>
            <w:pPr>
              <w:pStyle w:val="Normal"/>
              <w:spacing w:before="120" w:after="240"/>
              <w:rPr>
                <w:rFonts w:cs="Arial"/>
                <w:bCs/>
              </w:rPr>
            </w:pPr>
            <w:r>
              <w:rPr>
                <w:rFonts w:cs="Arial"/>
                <w:bCs/>
              </w:rPr>
              <w:t>Where an employee is asked to undertake duties other than those specified directly in his/her job description, such duties shall be discussed with the employee concerned who may have his/her Trade Union Representative present if so desired. (See paragraph 203 of supplemental Conditions of Service)</w:t>
            </w:r>
          </w:p>
        </w:tc>
      </w:tr>
      <w:tr>
        <w:trPr>
          <w:trHeight w:val="240" w:hRule="atLeast"/>
          <w:cantSplit w:val="true"/>
        </w:trPr>
        <w:tc>
          <w:tcPr>
            <w:tcW w:w="4428" w:type="dxa"/>
            <w:tcBorders>
              <w:top w:val="single" w:sz="6" w:space="0" w:color="000000"/>
              <w:left w:val="single" w:sz="6" w:space="0" w:color="000000"/>
              <w:bottom w:val="double" w:sz="6" w:space="0" w:color="000000"/>
            </w:tcBorders>
            <w:shd w:fill="auto" w:val="clear"/>
          </w:tcPr>
          <w:p>
            <w:pPr>
              <w:pStyle w:val="Normal"/>
              <w:spacing w:before="120" w:after="120"/>
              <w:rPr>
                <w:rFonts w:cs="Arial"/>
                <w:b/>
                <w:b/>
              </w:rPr>
            </w:pPr>
            <w:r>
              <w:rPr>
                <w:rFonts w:cs="Arial"/>
                <w:b/>
              </w:rPr>
              <w:t>Job Description prepared by:</w:t>
            </w:r>
          </w:p>
        </w:tc>
        <w:tc>
          <w:tcPr>
            <w:tcW w:w="3434" w:type="dxa"/>
            <w:gridSpan w:val="2"/>
            <w:tcBorders>
              <w:top w:val="single" w:sz="6" w:space="0" w:color="000000"/>
              <w:left w:val="double" w:sz="6" w:space="0" w:color="000000"/>
              <w:bottom w:val="double" w:sz="6" w:space="0" w:color="000000"/>
            </w:tcBorders>
            <w:shd w:fill="auto" w:val="clear"/>
          </w:tcPr>
          <w:p>
            <w:pPr>
              <w:pStyle w:val="Normal"/>
              <w:spacing w:before="120" w:after="120"/>
              <w:rPr>
                <w:rFonts w:cs="Arial"/>
                <w:b/>
                <w:b/>
              </w:rPr>
            </w:pPr>
            <w:r>
              <w:rPr>
                <w:rFonts w:cs="Arial"/>
                <w:b/>
              </w:rPr>
              <w:t xml:space="preserve">Sign: </w:t>
            </w:r>
          </w:p>
        </w:tc>
        <w:tc>
          <w:tcPr>
            <w:tcW w:w="2604" w:type="dxa"/>
            <w:tcBorders>
              <w:top w:val="single" w:sz="6" w:space="0" w:color="000000"/>
              <w:left w:val="double" w:sz="6" w:space="0" w:color="000000"/>
              <w:bottom w:val="double" w:sz="6" w:space="0" w:color="000000"/>
              <w:right w:val="single" w:sz="6" w:space="0" w:color="000000"/>
            </w:tcBorders>
            <w:shd w:fill="auto" w:val="clear"/>
          </w:tcPr>
          <w:p>
            <w:pPr>
              <w:pStyle w:val="Normal"/>
              <w:spacing w:before="120" w:after="120"/>
              <w:rPr>
                <w:rFonts w:cs="Arial"/>
                <w:b/>
                <w:b/>
              </w:rPr>
            </w:pPr>
            <w:r>
              <w:rPr>
                <w:rFonts w:cs="Arial"/>
                <w:b/>
              </w:rPr>
              <w:t>Date:</w:t>
            </w:r>
          </w:p>
        </w:tc>
      </w:tr>
      <w:tr>
        <w:trPr>
          <w:trHeight w:val="240" w:hRule="atLeast"/>
          <w:cantSplit w:val="true"/>
        </w:trPr>
        <w:tc>
          <w:tcPr>
            <w:tcW w:w="4428" w:type="dxa"/>
            <w:tcBorders>
              <w:top w:val="double" w:sz="6" w:space="0" w:color="000000"/>
              <w:left w:val="single" w:sz="6" w:space="0" w:color="000000"/>
              <w:bottom w:val="double" w:sz="6" w:space="0" w:color="000000"/>
            </w:tcBorders>
            <w:shd w:fill="auto" w:val="clear"/>
          </w:tcPr>
          <w:p>
            <w:pPr>
              <w:pStyle w:val="Normal"/>
              <w:spacing w:before="120" w:after="120"/>
              <w:rPr>
                <w:rFonts w:cs="Arial"/>
                <w:b/>
                <w:b/>
              </w:rPr>
            </w:pPr>
            <w:r>
              <w:rPr>
                <w:rFonts w:cs="Arial"/>
                <w:b/>
              </w:rPr>
              <w:t xml:space="preserve">Agreed correct by Postholder: </w:t>
            </w:r>
          </w:p>
        </w:tc>
        <w:tc>
          <w:tcPr>
            <w:tcW w:w="3434" w:type="dxa"/>
            <w:gridSpan w:val="2"/>
            <w:tcBorders>
              <w:top w:val="double" w:sz="6" w:space="0" w:color="000000"/>
              <w:left w:val="double" w:sz="6" w:space="0" w:color="000000"/>
              <w:bottom w:val="double" w:sz="6" w:space="0" w:color="000000"/>
            </w:tcBorders>
            <w:shd w:fill="auto" w:val="clear"/>
          </w:tcPr>
          <w:p>
            <w:pPr>
              <w:pStyle w:val="Normal"/>
              <w:spacing w:before="120" w:after="120"/>
              <w:rPr>
                <w:rFonts w:cs="Arial"/>
                <w:b/>
                <w:b/>
              </w:rPr>
            </w:pPr>
            <w:r>
              <w:rPr>
                <w:rFonts w:cs="Arial"/>
                <w:b/>
              </w:rPr>
              <w:t>Sign:</w:t>
            </w:r>
          </w:p>
        </w:tc>
        <w:tc>
          <w:tcPr>
            <w:tcW w:w="2604" w:type="dxa"/>
            <w:tcBorders>
              <w:top w:val="double" w:sz="6" w:space="0" w:color="000000"/>
              <w:left w:val="double" w:sz="6" w:space="0" w:color="000000"/>
              <w:bottom w:val="double" w:sz="6" w:space="0" w:color="000000"/>
              <w:right w:val="single" w:sz="6" w:space="0" w:color="000000"/>
            </w:tcBorders>
            <w:shd w:fill="auto" w:val="clear"/>
          </w:tcPr>
          <w:p>
            <w:pPr>
              <w:pStyle w:val="Normal"/>
              <w:spacing w:before="120" w:after="120"/>
              <w:rPr>
                <w:rFonts w:cs="Arial"/>
                <w:b/>
                <w:b/>
              </w:rPr>
            </w:pPr>
            <w:r>
              <w:rPr>
                <w:rFonts w:cs="Arial"/>
                <w:b/>
              </w:rPr>
              <w:t>Date:</w:t>
            </w:r>
          </w:p>
        </w:tc>
      </w:tr>
      <w:tr>
        <w:trPr>
          <w:trHeight w:val="240" w:hRule="atLeast"/>
          <w:cantSplit w:val="true"/>
        </w:trPr>
        <w:tc>
          <w:tcPr>
            <w:tcW w:w="4428" w:type="dxa"/>
            <w:tcBorders>
              <w:top w:val="double" w:sz="6" w:space="0" w:color="000000"/>
              <w:left w:val="single" w:sz="6" w:space="0" w:color="000000"/>
              <w:bottom w:val="single" w:sz="6" w:space="0" w:color="000000"/>
            </w:tcBorders>
            <w:shd w:fill="auto" w:val="clear"/>
          </w:tcPr>
          <w:p>
            <w:pPr>
              <w:pStyle w:val="Normal"/>
              <w:spacing w:before="120" w:after="120"/>
              <w:rPr>
                <w:rFonts w:cs="Arial"/>
                <w:b/>
                <w:b/>
              </w:rPr>
            </w:pPr>
            <w:r>
              <w:rPr>
                <w:rFonts w:cs="Arial"/>
                <w:b/>
              </w:rPr>
              <w:t>Agreed correct by Supervisor/Manager:</w:t>
            </w:r>
          </w:p>
        </w:tc>
        <w:tc>
          <w:tcPr>
            <w:tcW w:w="3434" w:type="dxa"/>
            <w:gridSpan w:val="2"/>
            <w:tcBorders>
              <w:top w:val="double" w:sz="6" w:space="0" w:color="000000"/>
              <w:left w:val="double" w:sz="6" w:space="0" w:color="000000"/>
              <w:bottom w:val="single" w:sz="6" w:space="0" w:color="000000"/>
            </w:tcBorders>
            <w:shd w:fill="auto" w:val="clear"/>
          </w:tcPr>
          <w:p>
            <w:pPr>
              <w:pStyle w:val="Normal"/>
              <w:spacing w:before="120" w:after="120"/>
              <w:rPr>
                <w:rFonts w:cs="Arial"/>
                <w:b/>
                <w:b/>
              </w:rPr>
            </w:pPr>
            <w:r>
              <w:rPr>
                <w:rFonts w:cs="Arial"/>
                <w:b/>
              </w:rPr>
              <w:t>Sign:</w:t>
            </w:r>
          </w:p>
        </w:tc>
        <w:tc>
          <w:tcPr>
            <w:tcW w:w="2604" w:type="dxa"/>
            <w:tcBorders>
              <w:top w:val="double" w:sz="6" w:space="0" w:color="000000"/>
              <w:left w:val="double" w:sz="6" w:space="0" w:color="000000"/>
              <w:bottom w:val="single" w:sz="6" w:space="0" w:color="000000"/>
              <w:right w:val="single" w:sz="6" w:space="0" w:color="000000"/>
            </w:tcBorders>
            <w:shd w:fill="auto" w:val="clear"/>
          </w:tcPr>
          <w:p>
            <w:pPr>
              <w:pStyle w:val="Normal"/>
              <w:spacing w:before="120" w:after="120"/>
              <w:rPr>
                <w:rFonts w:cs="Arial"/>
                <w:b/>
                <w:b/>
              </w:rPr>
            </w:pPr>
            <w:r>
              <w:rPr>
                <w:rFonts w:cs="Arial"/>
                <w:b/>
              </w:rPr>
              <w:t>Date:</w:t>
            </w:r>
          </w:p>
        </w:tc>
      </w:tr>
    </w:tbl>
    <w:p>
      <w:pPr>
        <w:pStyle w:val="Normal"/>
        <w:rPr/>
      </w:pPr>
      <w:r>
        <w:rPr/>
      </w:r>
    </w:p>
    <w:p>
      <w:pPr>
        <w:pStyle w:val="Normal"/>
        <w:rPr/>
      </w:pPr>
      <w:r>
        <w:rPr/>
      </w:r>
      <w:r>
        <w:br w:type="page"/>
      </w:r>
    </w:p>
    <w:p>
      <w:pPr>
        <w:pStyle w:val="Normal"/>
        <w:ind w:left="7200" w:right="0" w:firstLine="720"/>
        <w:rPr>
          <w:b/>
          <w:b/>
        </w:rPr>
      </w:pPr>
      <w:r>
        <w:rPr/>
        <w:drawing>
          <wp:inline distT="0" distB="0" distL="0" distR="0">
            <wp:extent cx="1485265" cy="608965"/>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24" t="-59" r="-24" b="-59"/>
                    <a:stretch>
                      <a:fillRect/>
                    </a:stretch>
                  </pic:blipFill>
                  <pic:spPr bwMode="auto">
                    <a:xfrm>
                      <a:off x="0" y="0"/>
                      <a:ext cx="1485265" cy="608965"/>
                    </a:xfrm>
                    <a:prstGeom prst="rect">
                      <a:avLst/>
                    </a:prstGeom>
                  </pic:spPr>
                </pic:pic>
              </a:graphicData>
            </a:graphic>
          </wp:inline>
        </w:drawing>
      </w:r>
    </w:p>
    <w:p>
      <w:pPr>
        <w:pStyle w:val="Normal"/>
        <w:jc w:val="center"/>
        <w:rPr>
          <w:b/>
          <w:b/>
        </w:rPr>
      </w:pPr>
      <w:r>
        <w:rPr>
          <w:b/>
        </w:rPr>
        <w:t>DEPARTMENT FOR COMMUNITIES AND WELLBEING</w:t>
      </w:r>
    </w:p>
    <w:p>
      <w:pPr>
        <w:pStyle w:val="Normal"/>
        <w:jc w:val="center"/>
        <w:rPr>
          <w:b/>
          <w:b/>
        </w:rPr>
      </w:pPr>
      <w:r>
        <w:rPr>
          <w:b/>
        </w:rPr>
        <w:t>JOB TITLE</w:t>
      </w:r>
    </w:p>
    <w:p>
      <w:pPr>
        <w:pStyle w:val="Normal"/>
        <w:rPr>
          <w:sz w:val="6"/>
        </w:rPr>
      </w:pPr>
      <w:r>
        <w:rPr>
          <w:sz w:val="6"/>
        </w:rPr>
      </w:r>
    </w:p>
    <w:tbl>
      <w:tblPr>
        <w:tblW w:w="5000" w:type="pct"/>
        <w:jc w:val="left"/>
        <w:tblInd w:w="0" w:type="dxa"/>
        <w:tblCellMar>
          <w:top w:w="0" w:type="dxa"/>
          <w:left w:w="108" w:type="dxa"/>
          <w:bottom w:w="0" w:type="dxa"/>
          <w:right w:w="108" w:type="dxa"/>
        </w:tblCellMar>
      </w:tblPr>
      <w:tblGrid>
        <w:gridCol w:w="6812"/>
        <w:gridCol w:w="1897"/>
        <w:gridCol w:w="1757"/>
      </w:tblGrid>
      <w:tr>
        <w:trPr/>
        <w:tc>
          <w:tcPr>
            <w:tcW w:w="6812" w:type="dxa"/>
            <w:tcBorders>
              <w:top w:val="single" w:sz="4" w:space="0" w:color="000000"/>
              <w:left w:val="single" w:sz="4" w:space="0" w:color="000000"/>
            </w:tcBorders>
            <w:shd w:fill="auto" w:val="clear"/>
          </w:tcPr>
          <w:p>
            <w:pPr>
              <w:pStyle w:val="Normal"/>
              <w:spacing w:before="120" w:after="120"/>
              <w:rPr>
                <w:b/>
                <w:b/>
              </w:rPr>
            </w:pPr>
            <w:r>
              <w:rPr>
                <w:b/>
              </w:rPr>
              <w:t>SHORT LISTING CRITERIA</w:t>
            </w:r>
          </w:p>
        </w:tc>
        <w:tc>
          <w:tcPr>
            <w:tcW w:w="1897" w:type="dxa"/>
            <w:tcBorders>
              <w:top w:val="single" w:sz="4" w:space="0" w:color="000000"/>
              <w:left w:val="single" w:sz="4" w:space="0" w:color="000000"/>
              <w:bottom w:val="single" w:sz="4" w:space="0" w:color="000000"/>
            </w:tcBorders>
            <w:shd w:fill="auto" w:val="clear"/>
          </w:tcPr>
          <w:p>
            <w:pPr>
              <w:pStyle w:val="Normal"/>
              <w:spacing w:before="120" w:after="120"/>
              <w:jc w:val="center"/>
              <w:rPr>
                <w:b/>
                <w:b/>
              </w:rPr>
            </w:pPr>
            <w:r>
              <w:rPr>
                <w:b/>
              </w:rPr>
              <w:t>ESSENTIAL</w:t>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jc w:val="center"/>
              <w:rPr>
                <w:b/>
                <w:b/>
              </w:rPr>
            </w:pPr>
            <w:r>
              <w:rPr>
                <w:b/>
              </w:rPr>
              <w:t>DESIRABLE</w:t>
            </w:r>
          </w:p>
        </w:tc>
      </w:tr>
      <w:tr>
        <w:trPr>
          <w:trHeight w:val="611" w:hRule="atLeast"/>
          <w:cantSplit w:val="true"/>
        </w:trPr>
        <w:tc>
          <w:tcPr>
            <w:tcW w:w="6812" w:type="dxa"/>
            <w:tcBorders>
              <w:top w:val="single" w:sz="4" w:space="0" w:color="000000"/>
              <w:left w:val="single" w:sz="4" w:space="0" w:color="000000"/>
              <w:bottom w:val="single" w:sz="4" w:space="0" w:color="000000"/>
            </w:tcBorders>
            <w:shd w:fill="auto" w:val="clear"/>
          </w:tcPr>
          <w:p>
            <w:pPr>
              <w:pStyle w:val="Normal"/>
              <w:widowControl/>
              <w:bidi w:val="0"/>
              <w:spacing w:lineRule="auto" w:line="276" w:before="0" w:after="200"/>
              <w:jc w:val="left"/>
              <w:rPr/>
            </w:pPr>
            <w:r>
              <w:rPr/>
              <w:t>Working with people who have complex needs and have a good understanding of the issues that can surround rough sleeping.</w:t>
            </w:r>
          </w:p>
        </w:tc>
        <w:tc>
          <w:tcPr>
            <w:tcW w:w="1897" w:type="dxa"/>
            <w:tcBorders>
              <w:top w:val="single" w:sz="4" w:space="0" w:color="000000"/>
              <w:left w:val="single" w:sz="4" w:space="0" w:color="000000"/>
              <w:bottom w:val="single" w:sz="4" w:space="0" w:color="000000"/>
            </w:tcBorders>
            <w:shd w:fill="auto" w:val="clear"/>
          </w:tcPr>
          <w:p>
            <w:pPr>
              <w:pStyle w:val="Normal"/>
              <w:spacing w:before="120" w:after="120"/>
              <w:jc w:val="center"/>
              <w:rPr>
                <w:b/>
                <w:b/>
              </w:rPr>
            </w:pPr>
            <w:r>
              <w:rPr>
                <w:b/>
              </w:rPr>
              <w:t>x</w:t>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jc w:val="center"/>
              <w:rPr>
                <w:b/>
                <w:b/>
              </w:rPr>
            </w:pPr>
            <w:r>
              <w:rPr>
                <w:b/>
              </w:rPr>
            </w:r>
          </w:p>
        </w:tc>
      </w:tr>
      <w:tr>
        <w:trPr>
          <w:trHeight w:val="611" w:hRule="atLeast"/>
          <w:cantSplit w:val="true"/>
        </w:trPr>
        <w:tc>
          <w:tcPr>
            <w:tcW w:w="6812" w:type="dxa"/>
            <w:tcBorders>
              <w:top w:val="single" w:sz="4" w:space="0" w:color="000000"/>
              <w:left w:val="single" w:sz="4" w:space="0" w:color="000000"/>
              <w:bottom w:val="single" w:sz="4" w:space="0" w:color="000000"/>
            </w:tcBorders>
            <w:shd w:fill="auto" w:val="clear"/>
          </w:tcPr>
          <w:p>
            <w:pPr>
              <w:pStyle w:val="Normal"/>
              <w:widowControl/>
              <w:bidi w:val="0"/>
              <w:spacing w:lineRule="auto" w:line="276" w:before="0" w:after="200"/>
              <w:jc w:val="left"/>
              <w:rPr/>
            </w:pPr>
            <w:r>
              <w:rPr/>
              <w:t>Full UK Driving License and ability to travel around the borough</w:t>
            </w:r>
          </w:p>
        </w:tc>
        <w:tc>
          <w:tcPr>
            <w:tcW w:w="1897" w:type="dxa"/>
            <w:tcBorders>
              <w:top w:val="single" w:sz="4" w:space="0" w:color="000000"/>
              <w:left w:val="single" w:sz="4" w:space="0" w:color="000000"/>
              <w:bottom w:val="single" w:sz="4" w:space="0" w:color="000000"/>
            </w:tcBorders>
            <w:shd w:fill="auto" w:val="clear"/>
          </w:tcPr>
          <w:p>
            <w:pPr>
              <w:pStyle w:val="Normal"/>
              <w:spacing w:before="120" w:after="120"/>
              <w:jc w:val="center"/>
              <w:rPr>
                <w:b/>
                <w:b/>
              </w:rPr>
            </w:pPr>
            <w:r>
              <w:rPr>
                <w:b/>
              </w:rPr>
              <w:t>x</w:t>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jc w:val="center"/>
              <w:rPr>
                <w:b/>
                <w:b/>
              </w:rPr>
            </w:pPr>
            <w:r>
              <w:rPr>
                <w:b/>
              </w:rPr>
            </w:r>
          </w:p>
        </w:tc>
      </w:tr>
      <w:tr>
        <w:trPr>
          <w:trHeight w:val="611" w:hRule="atLeast"/>
          <w:cantSplit w:val="true"/>
        </w:trPr>
        <w:tc>
          <w:tcPr>
            <w:tcW w:w="6812" w:type="dxa"/>
            <w:tcBorders>
              <w:top w:val="single" w:sz="4" w:space="0" w:color="000000"/>
              <w:left w:val="single" w:sz="4" w:space="0" w:color="000000"/>
              <w:bottom w:val="single" w:sz="4" w:space="0" w:color="000000"/>
            </w:tcBorders>
            <w:shd w:fill="auto" w:val="clear"/>
          </w:tcPr>
          <w:p>
            <w:pPr>
              <w:pStyle w:val="Normal"/>
              <w:widowControl/>
              <w:bidi w:val="0"/>
              <w:spacing w:lineRule="auto" w:line="276" w:before="0" w:after="200"/>
              <w:jc w:val="left"/>
              <w:rPr/>
            </w:pPr>
            <w:r>
              <w:rPr/>
              <w:t>Knowledge of housing options and homelessness legislation</w:t>
            </w:r>
          </w:p>
        </w:tc>
        <w:tc>
          <w:tcPr>
            <w:tcW w:w="1897" w:type="dxa"/>
            <w:tcBorders>
              <w:top w:val="single" w:sz="4" w:space="0" w:color="000000"/>
              <w:left w:val="single" w:sz="4" w:space="0" w:color="000000"/>
              <w:bottom w:val="single" w:sz="4" w:space="0" w:color="000000"/>
            </w:tcBorders>
            <w:shd w:fill="auto" w:val="clear"/>
          </w:tcPr>
          <w:p>
            <w:pPr>
              <w:pStyle w:val="Normal"/>
              <w:snapToGrid w:val="false"/>
              <w:spacing w:before="120" w:after="120"/>
              <w:jc w:val="center"/>
              <w:rPr>
                <w:b/>
                <w:b/>
              </w:rPr>
            </w:pPr>
            <w:r>
              <w:rPr>
                <w:b/>
              </w:rPr>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jc w:val="center"/>
              <w:rPr>
                <w:b/>
                <w:b/>
              </w:rPr>
            </w:pPr>
            <w:r>
              <w:rPr>
                <w:b/>
              </w:rPr>
              <w:t>x</w:t>
            </w:r>
          </w:p>
        </w:tc>
      </w:tr>
      <w:tr>
        <w:trPr/>
        <w:tc>
          <w:tcPr>
            <w:tcW w:w="6812" w:type="dxa"/>
            <w:tcBorders>
              <w:top w:val="single" w:sz="4" w:space="0" w:color="000000"/>
              <w:left w:val="single" w:sz="4" w:space="0" w:color="000000"/>
              <w:bottom w:val="single" w:sz="4" w:space="0" w:color="000000"/>
            </w:tcBorders>
            <w:shd w:fill="auto" w:val="clear"/>
          </w:tcPr>
          <w:p>
            <w:pPr>
              <w:pStyle w:val="Header"/>
              <w:tabs>
                <w:tab w:val="clear" w:pos="4153"/>
                <w:tab w:val="left" w:pos="2127" w:leader="none"/>
                <w:tab w:val="left" w:pos="7230" w:leader="none"/>
                <w:tab w:val="right" w:pos="8306" w:leader="none"/>
              </w:tabs>
              <w:rPr>
                <w:rFonts w:ascii="Verdana" w:hAnsi="Verdana" w:cs="Verdana"/>
                <w:sz w:val="22"/>
                <w:szCs w:val="22"/>
              </w:rPr>
            </w:pPr>
            <w:r>
              <w:rPr>
                <w:rFonts w:cs="Verdana" w:ascii="Verdana" w:hAnsi="Verdana"/>
                <w:sz w:val="22"/>
                <w:szCs w:val="22"/>
              </w:rPr>
              <w:t xml:space="preserve">Experience of the assessment and interview process. </w:t>
            </w:r>
          </w:p>
        </w:tc>
        <w:tc>
          <w:tcPr>
            <w:tcW w:w="1897" w:type="dxa"/>
            <w:tcBorders>
              <w:top w:val="single" w:sz="4" w:space="0" w:color="000000"/>
              <w:left w:val="single" w:sz="4" w:space="0" w:color="000000"/>
              <w:bottom w:val="single" w:sz="4" w:space="0" w:color="000000"/>
            </w:tcBorders>
            <w:shd w:fill="auto" w:val="clear"/>
          </w:tcPr>
          <w:p>
            <w:pPr>
              <w:pStyle w:val="Normal"/>
              <w:snapToGrid w:val="false"/>
              <w:spacing w:before="120" w:after="120"/>
              <w:jc w:val="center"/>
              <w:rPr>
                <w:b/>
                <w:b/>
              </w:rPr>
            </w:pPr>
            <w:r>
              <w:rPr>
                <w:b/>
              </w:rPr>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jc w:val="center"/>
              <w:rPr>
                <w:b/>
                <w:b/>
              </w:rPr>
            </w:pPr>
            <w:r>
              <w:rPr>
                <w:b/>
              </w:rPr>
              <w:t>x</w:t>
            </w:r>
          </w:p>
        </w:tc>
      </w:tr>
      <w:tr>
        <w:trPr/>
        <w:tc>
          <w:tcPr>
            <w:tcW w:w="6812" w:type="dxa"/>
            <w:tcBorders>
              <w:top w:val="single" w:sz="4" w:space="0" w:color="000000"/>
              <w:left w:val="single" w:sz="4" w:space="0" w:color="000000"/>
              <w:bottom w:val="single" w:sz="4" w:space="0" w:color="000000"/>
            </w:tcBorders>
            <w:shd w:fill="auto" w:val="clear"/>
          </w:tcPr>
          <w:p>
            <w:pPr>
              <w:pStyle w:val="Heading3"/>
              <w:keepNext w:val="true"/>
              <w:keepLines/>
              <w:spacing w:before="200" w:after="0"/>
              <w:rPr>
                <w:rFonts w:ascii="Verdana" w:hAnsi="Verdana" w:cs="Verdana"/>
                <w:sz w:val="22"/>
                <w:szCs w:val="22"/>
              </w:rPr>
            </w:pPr>
            <w:r>
              <w:rPr>
                <w:rFonts w:cs="Verdana" w:ascii="Verdana" w:hAnsi="Verdana"/>
                <w:sz w:val="22"/>
                <w:szCs w:val="22"/>
              </w:rPr>
              <w:t>Experience of multi-agency and multi-disciplinary working</w:t>
            </w:r>
          </w:p>
        </w:tc>
        <w:tc>
          <w:tcPr>
            <w:tcW w:w="1897" w:type="dxa"/>
            <w:tcBorders>
              <w:top w:val="single" w:sz="4" w:space="0" w:color="000000"/>
              <w:left w:val="single" w:sz="4" w:space="0" w:color="000000"/>
              <w:bottom w:val="single" w:sz="4" w:space="0" w:color="000000"/>
            </w:tcBorders>
            <w:shd w:fill="auto" w:val="clear"/>
          </w:tcPr>
          <w:p>
            <w:pPr>
              <w:pStyle w:val="Normal"/>
              <w:spacing w:before="120" w:after="120"/>
              <w:jc w:val="center"/>
              <w:rPr>
                <w:b/>
                <w:b/>
              </w:rPr>
            </w:pPr>
            <w:r>
              <w:rPr>
                <w:b/>
              </w:rPr>
              <w:t>x</w:t>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jc w:val="center"/>
              <w:rPr>
                <w:b/>
                <w:b/>
              </w:rPr>
            </w:pPr>
            <w:r>
              <w:rPr>
                <w:b/>
              </w:rPr>
            </w:r>
          </w:p>
        </w:tc>
      </w:tr>
      <w:tr>
        <w:trPr/>
        <w:tc>
          <w:tcPr>
            <w:tcW w:w="6812" w:type="dxa"/>
            <w:tcBorders>
              <w:top w:val="single" w:sz="4" w:space="0" w:color="000000"/>
              <w:left w:val="single" w:sz="4" w:space="0" w:color="000000"/>
              <w:bottom w:val="single" w:sz="4" w:space="0" w:color="000000"/>
            </w:tcBorders>
            <w:shd w:fill="auto" w:val="clear"/>
          </w:tcPr>
          <w:p>
            <w:pPr>
              <w:pStyle w:val="Heading3"/>
              <w:keepNext w:val="true"/>
              <w:keepLines/>
              <w:spacing w:before="200" w:after="0"/>
              <w:rPr>
                <w:rFonts w:ascii="Verdana" w:hAnsi="Verdana" w:cs="Verdana"/>
                <w:sz w:val="22"/>
                <w:szCs w:val="22"/>
              </w:rPr>
            </w:pPr>
            <w:r>
              <w:rPr>
                <w:rFonts w:cs="Verdana" w:ascii="Verdana" w:hAnsi="Verdana"/>
                <w:sz w:val="22"/>
                <w:szCs w:val="22"/>
              </w:rPr>
              <w:t>Good IT Skills (i.e. Outlook, Excel, Word etc.)</w:t>
            </w:r>
          </w:p>
        </w:tc>
        <w:tc>
          <w:tcPr>
            <w:tcW w:w="1897" w:type="dxa"/>
            <w:tcBorders>
              <w:top w:val="single" w:sz="4" w:space="0" w:color="000000"/>
              <w:left w:val="single" w:sz="4" w:space="0" w:color="000000"/>
              <w:bottom w:val="single" w:sz="4" w:space="0" w:color="000000"/>
            </w:tcBorders>
            <w:shd w:fill="auto" w:val="clear"/>
          </w:tcPr>
          <w:p>
            <w:pPr>
              <w:pStyle w:val="Normal"/>
              <w:spacing w:before="120" w:after="120"/>
              <w:jc w:val="center"/>
              <w:rPr>
                <w:b/>
                <w:b/>
              </w:rPr>
            </w:pPr>
            <w:r>
              <w:rPr>
                <w:b/>
              </w:rPr>
              <w:t>x</w:t>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jc w:val="center"/>
              <w:rPr>
                <w:b/>
                <w:b/>
              </w:rPr>
            </w:pPr>
            <w:r>
              <w:rPr>
                <w:b/>
              </w:rPr>
            </w:r>
          </w:p>
        </w:tc>
      </w:tr>
      <w:tr>
        <w:trPr/>
        <w:tc>
          <w:tcPr>
            <w:tcW w:w="6812" w:type="dxa"/>
            <w:tcBorders>
              <w:top w:val="single" w:sz="4" w:space="0" w:color="000000"/>
              <w:left w:val="single" w:sz="4" w:space="0" w:color="000000"/>
              <w:bottom w:val="single" w:sz="4" w:space="0" w:color="000000"/>
            </w:tcBorders>
            <w:shd w:fill="auto" w:val="clear"/>
          </w:tcPr>
          <w:p>
            <w:pPr>
              <w:pStyle w:val="Header"/>
              <w:tabs>
                <w:tab w:val="clear" w:pos="4153"/>
                <w:tab w:val="left" w:pos="2127" w:leader="none"/>
                <w:tab w:val="left" w:pos="7230" w:leader="none"/>
                <w:tab w:val="right" w:pos="8306" w:leader="none"/>
              </w:tabs>
              <w:rPr>
                <w:rFonts w:ascii="Verdana" w:hAnsi="Verdana" w:cs="Verdana"/>
                <w:sz w:val="22"/>
                <w:szCs w:val="22"/>
              </w:rPr>
            </w:pPr>
            <w:r>
              <w:rPr>
                <w:rFonts w:cs="Verdana" w:ascii="Verdana" w:hAnsi="Verdana"/>
                <w:sz w:val="22"/>
                <w:szCs w:val="22"/>
              </w:rPr>
              <w:t>Understanding of the issues that affect Rough Sleepers</w:t>
            </w:r>
          </w:p>
          <w:p>
            <w:pPr>
              <w:pStyle w:val="Heading3"/>
              <w:rPr>
                <w:rFonts w:ascii="Verdana" w:hAnsi="Verdana" w:cs="Verdana"/>
                <w:sz w:val="22"/>
                <w:szCs w:val="22"/>
              </w:rPr>
            </w:pPr>
            <w:r>
              <w:rPr>
                <w:rFonts w:cs="Verdana" w:ascii="Verdana" w:hAnsi="Verdana"/>
                <w:sz w:val="22"/>
                <w:szCs w:val="22"/>
              </w:rPr>
            </w:r>
          </w:p>
        </w:tc>
        <w:tc>
          <w:tcPr>
            <w:tcW w:w="1897" w:type="dxa"/>
            <w:tcBorders>
              <w:top w:val="single" w:sz="4" w:space="0" w:color="000000"/>
              <w:left w:val="single" w:sz="4" w:space="0" w:color="000000"/>
              <w:bottom w:val="single" w:sz="4" w:space="0" w:color="000000"/>
            </w:tcBorders>
            <w:shd w:fill="auto" w:val="clear"/>
          </w:tcPr>
          <w:p>
            <w:pPr>
              <w:pStyle w:val="Normal"/>
              <w:spacing w:before="120" w:after="120"/>
              <w:jc w:val="center"/>
              <w:rPr>
                <w:b/>
                <w:b/>
              </w:rPr>
            </w:pPr>
            <w:r>
              <w:rPr>
                <w:b/>
              </w:rPr>
              <w:t>x</w:t>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jc w:val="center"/>
              <w:rPr>
                <w:b/>
                <w:b/>
              </w:rPr>
            </w:pPr>
            <w:r>
              <w:rPr>
                <w:b/>
              </w:rPr>
            </w:r>
          </w:p>
        </w:tc>
      </w:tr>
      <w:tr>
        <w:trPr/>
        <w:tc>
          <w:tcPr>
            <w:tcW w:w="6812" w:type="dxa"/>
            <w:tcBorders>
              <w:top w:val="single" w:sz="4" w:space="0" w:color="000000"/>
              <w:left w:val="single" w:sz="4" w:space="0" w:color="000000"/>
              <w:bottom w:val="single" w:sz="4" w:space="0" w:color="000000"/>
            </w:tcBorders>
            <w:shd w:fill="auto" w:val="clear"/>
          </w:tcPr>
          <w:p>
            <w:pPr>
              <w:pStyle w:val="Heading3"/>
              <w:keepNext w:val="true"/>
              <w:keepLines/>
              <w:spacing w:before="200" w:after="0"/>
              <w:rPr>
                <w:rFonts w:ascii="Verdana" w:hAnsi="Verdana" w:cs="Verdana"/>
                <w:sz w:val="22"/>
                <w:szCs w:val="22"/>
              </w:rPr>
            </w:pPr>
            <w:r>
              <w:rPr>
                <w:rFonts w:cs="Verdana" w:ascii="Verdana" w:hAnsi="Verdana"/>
                <w:sz w:val="22"/>
                <w:szCs w:val="22"/>
              </w:rPr>
              <w:t>Good negotiating and advocacy skills</w:t>
            </w:r>
          </w:p>
        </w:tc>
        <w:tc>
          <w:tcPr>
            <w:tcW w:w="1897" w:type="dxa"/>
            <w:tcBorders>
              <w:top w:val="single" w:sz="4" w:space="0" w:color="000000"/>
              <w:left w:val="single" w:sz="4" w:space="0" w:color="000000"/>
              <w:bottom w:val="single" w:sz="4" w:space="0" w:color="000000"/>
            </w:tcBorders>
            <w:shd w:fill="auto" w:val="clear"/>
          </w:tcPr>
          <w:p>
            <w:pPr>
              <w:pStyle w:val="Normal"/>
              <w:snapToGrid w:val="false"/>
              <w:spacing w:before="120" w:after="120"/>
              <w:jc w:val="center"/>
              <w:rPr>
                <w:b/>
                <w:b/>
              </w:rPr>
            </w:pPr>
            <w:r>
              <w:rPr>
                <w:b/>
              </w:rPr>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jc w:val="center"/>
              <w:rPr>
                <w:b/>
                <w:b/>
              </w:rPr>
            </w:pPr>
            <w:r>
              <w:rPr>
                <w:b/>
              </w:rPr>
              <w:t>x</w:t>
            </w:r>
          </w:p>
        </w:tc>
      </w:tr>
      <w:tr>
        <w:trPr/>
        <w:tc>
          <w:tcPr>
            <w:tcW w:w="6812" w:type="dxa"/>
            <w:tcBorders>
              <w:top w:val="single" w:sz="4" w:space="0" w:color="000000"/>
              <w:left w:val="single" w:sz="4" w:space="0" w:color="000000"/>
              <w:bottom w:val="single" w:sz="4" w:space="0" w:color="000000"/>
            </w:tcBorders>
            <w:shd w:fill="auto" w:val="clear"/>
          </w:tcPr>
          <w:p>
            <w:pPr>
              <w:pStyle w:val="Heading3"/>
              <w:keepNext w:val="true"/>
              <w:keepLines/>
              <w:spacing w:before="200" w:after="0"/>
              <w:rPr>
                <w:rFonts w:ascii="Verdana" w:hAnsi="Verdana" w:cs="Verdana"/>
                <w:sz w:val="22"/>
                <w:szCs w:val="22"/>
              </w:rPr>
            </w:pPr>
            <w:r>
              <w:rPr>
                <w:rFonts w:cs="Verdana" w:ascii="Verdana" w:hAnsi="Verdana"/>
                <w:sz w:val="22"/>
                <w:szCs w:val="22"/>
              </w:rPr>
              <w:t>High degree of self-motivation, initiative and flexibility to work independently with minimal supervision</w:t>
            </w:r>
          </w:p>
        </w:tc>
        <w:tc>
          <w:tcPr>
            <w:tcW w:w="1897" w:type="dxa"/>
            <w:tcBorders>
              <w:top w:val="single" w:sz="4" w:space="0" w:color="000000"/>
              <w:left w:val="single" w:sz="4" w:space="0" w:color="000000"/>
              <w:bottom w:val="single" w:sz="4" w:space="0" w:color="000000"/>
            </w:tcBorders>
            <w:shd w:fill="auto" w:val="clear"/>
          </w:tcPr>
          <w:p>
            <w:pPr>
              <w:pStyle w:val="Normal"/>
              <w:spacing w:before="120" w:after="120"/>
              <w:jc w:val="center"/>
              <w:rPr>
                <w:b/>
                <w:b/>
              </w:rPr>
            </w:pPr>
            <w:r>
              <w:rPr>
                <w:b/>
              </w:rPr>
              <w:t>x</w:t>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jc w:val="center"/>
              <w:rPr>
                <w:b/>
                <w:b/>
              </w:rPr>
            </w:pPr>
            <w:r>
              <w:rPr>
                <w:b/>
              </w:rPr>
            </w:r>
          </w:p>
        </w:tc>
      </w:tr>
      <w:tr>
        <w:trPr/>
        <w:tc>
          <w:tcPr>
            <w:tcW w:w="6812" w:type="dxa"/>
            <w:tcBorders>
              <w:top w:val="single" w:sz="4" w:space="0" w:color="000000"/>
              <w:left w:val="single" w:sz="4" w:space="0" w:color="000000"/>
              <w:bottom w:val="single" w:sz="4" w:space="0" w:color="000000"/>
            </w:tcBorders>
            <w:shd w:fill="auto" w:val="clear"/>
          </w:tcPr>
          <w:p>
            <w:pPr>
              <w:pStyle w:val="Normal"/>
              <w:tabs>
                <w:tab w:val="clear" w:pos="720"/>
                <w:tab w:val="left" w:pos="2127" w:leader="none"/>
                <w:tab w:val="left" w:pos="7230" w:leader="none"/>
              </w:tabs>
              <w:rPr/>
            </w:pPr>
            <w:r>
              <w:rPr/>
              <w:t>An understanding of the benefits system and issues relating complex needs</w:t>
            </w:r>
          </w:p>
          <w:p>
            <w:pPr>
              <w:pStyle w:val="Heading3"/>
              <w:rPr>
                <w:rFonts w:ascii="Verdana" w:hAnsi="Verdana" w:cs="Verdana"/>
                <w:sz w:val="22"/>
                <w:szCs w:val="22"/>
              </w:rPr>
            </w:pPr>
            <w:r>
              <w:rPr>
                <w:rFonts w:cs="Verdana" w:ascii="Verdana" w:hAnsi="Verdana"/>
                <w:sz w:val="22"/>
                <w:szCs w:val="22"/>
              </w:rPr>
            </w:r>
          </w:p>
        </w:tc>
        <w:tc>
          <w:tcPr>
            <w:tcW w:w="1897" w:type="dxa"/>
            <w:tcBorders>
              <w:top w:val="single" w:sz="4" w:space="0" w:color="000000"/>
              <w:left w:val="single" w:sz="4" w:space="0" w:color="000000"/>
              <w:bottom w:val="single" w:sz="4" w:space="0" w:color="000000"/>
            </w:tcBorders>
            <w:shd w:fill="auto" w:val="clear"/>
          </w:tcPr>
          <w:p>
            <w:pPr>
              <w:pStyle w:val="Normal"/>
              <w:spacing w:before="120" w:after="120"/>
              <w:jc w:val="center"/>
              <w:rPr>
                <w:b/>
                <w:b/>
              </w:rPr>
            </w:pPr>
            <w:r>
              <w:rPr>
                <w:b/>
              </w:rPr>
              <w:t>x</w:t>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jc w:val="center"/>
              <w:rPr>
                <w:b/>
                <w:b/>
              </w:rPr>
            </w:pPr>
            <w:r>
              <w:rPr>
                <w:b/>
              </w:rPr>
            </w:r>
          </w:p>
        </w:tc>
      </w:tr>
      <w:tr>
        <w:trPr/>
        <w:tc>
          <w:tcPr>
            <w:tcW w:w="6812" w:type="dxa"/>
            <w:tcBorders>
              <w:top w:val="single" w:sz="4" w:space="0" w:color="000000"/>
              <w:left w:val="single" w:sz="4" w:space="0" w:color="000000"/>
              <w:bottom w:val="single" w:sz="4" w:space="0" w:color="000000"/>
            </w:tcBorders>
            <w:shd w:fill="auto" w:val="clear"/>
          </w:tcPr>
          <w:p>
            <w:pPr>
              <w:pStyle w:val="Normal"/>
              <w:tabs>
                <w:tab w:val="clear" w:pos="720"/>
                <w:tab w:val="left" w:pos="2127" w:leader="none"/>
                <w:tab w:val="left" w:pos="7230" w:leader="none"/>
              </w:tabs>
              <w:rPr/>
            </w:pPr>
            <w:r>
              <w:rPr/>
              <w:t>Commitment to Equality and Diversity, Customer Care and the delivery of quality services</w:t>
            </w:r>
          </w:p>
          <w:p>
            <w:pPr>
              <w:pStyle w:val="Heading3"/>
              <w:rPr>
                <w:rFonts w:ascii="Verdana" w:hAnsi="Verdana" w:cs="Verdana"/>
                <w:sz w:val="22"/>
                <w:szCs w:val="22"/>
              </w:rPr>
            </w:pPr>
            <w:r>
              <w:rPr>
                <w:rFonts w:cs="Verdana" w:ascii="Verdana" w:hAnsi="Verdana"/>
                <w:sz w:val="22"/>
                <w:szCs w:val="22"/>
              </w:rPr>
            </w:r>
          </w:p>
        </w:tc>
        <w:tc>
          <w:tcPr>
            <w:tcW w:w="1897" w:type="dxa"/>
            <w:tcBorders>
              <w:top w:val="single" w:sz="4" w:space="0" w:color="000000"/>
              <w:left w:val="single" w:sz="4" w:space="0" w:color="000000"/>
              <w:bottom w:val="single" w:sz="4" w:space="0" w:color="000000"/>
            </w:tcBorders>
            <w:shd w:fill="auto" w:val="clear"/>
          </w:tcPr>
          <w:p>
            <w:pPr>
              <w:pStyle w:val="Normal"/>
              <w:spacing w:before="120" w:after="120"/>
              <w:jc w:val="center"/>
              <w:rPr>
                <w:b/>
                <w:b/>
              </w:rPr>
            </w:pPr>
            <w:r>
              <w:rPr>
                <w:b/>
              </w:rPr>
              <w:t>x</w:t>
            </w:r>
          </w:p>
        </w:tc>
        <w:tc>
          <w:tcPr>
            <w:tcW w:w="175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before="120" w:after="120"/>
              <w:jc w:val="center"/>
              <w:rPr>
                <w:b/>
                <w:b/>
              </w:rPr>
            </w:pPr>
            <w:r>
              <w:rPr>
                <w:b/>
              </w:rPr>
            </w:r>
          </w:p>
        </w:tc>
      </w:tr>
    </w:tbl>
    <w:p>
      <w:pPr>
        <w:pStyle w:val="Normal"/>
        <w:rPr/>
      </w:pPr>
      <w:r>
        <w:rPr/>
      </w:r>
    </w:p>
    <w:p>
      <w:pPr>
        <w:pStyle w:val="Normal"/>
        <w:rPr/>
      </w:pPr>
      <w:r>
        <w:rPr/>
      </w:r>
    </w:p>
    <w:p>
      <w:pPr>
        <w:pStyle w:val="Normal"/>
        <w:rPr/>
      </w:pPr>
      <w:r>
        <w:rPr/>
      </w:r>
    </w:p>
    <w:p>
      <w:pPr>
        <w:pStyle w:val="Normal"/>
        <w:rPr>
          <w:sz w:val="20"/>
        </w:rPr>
      </w:pPr>
      <w:r>
        <w:rPr>
          <w:sz w:val="20"/>
        </w:rPr>
        <w:t>Contd. overleaf</w:t>
      </w:r>
    </w:p>
    <w:p>
      <w:pPr>
        <w:pStyle w:val="Normal"/>
        <w:jc w:val="center"/>
        <w:rPr>
          <w:rFonts w:cs="Arial"/>
          <w:b/>
          <w:b/>
        </w:rPr>
      </w:pPr>
      <w:r>
        <w:rPr>
          <w:rFonts w:cs="Arial"/>
          <w:b/>
        </w:rPr>
      </w:r>
    </w:p>
    <w:p>
      <w:pPr>
        <w:pStyle w:val="Normal"/>
        <w:jc w:val="center"/>
        <w:rPr>
          <w:rFonts w:cs="Arial"/>
          <w:b/>
          <w:b/>
        </w:rPr>
      </w:pPr>
      <w:r>
        <w:rPr>
          <w:rFonts w:cs="Arial"/>
          <w:b/>
        </w:rPr>
        <w:t>CRITERIA FOR INTERVIEW AND OTHER ASSESSMENT METHODS</w:t>
      </w:r>
    </w:p>
    <w:p>
      <w:pPr>
        <w:pStyle w:val="Normal"/>
        <w:jc w:val="center"/>
        <w:rPr>
          <w:rFonts w:cs="Arial"/>
          <w:b/>
          <w:b/>
        </w:rPr>
      </w:pPr>
      <w:r>
        <w:rPr>
          <w:rFonts w:cs="Arial"/>
          <w:b/>
        </w:rPr>
        <w:t>The short-listing criteria listed plus the following:</w:t>
      </w:r>
    </w:p>
    <w:tbl>
      <w:tblPr>
        <w:tblW w:w="5000" w:type="pct"/>
        <w:jc w:val="left"/>
        <w:tblInd w:w="0" w:type="dxa"/>
        <w:tblCellMar>
          <w:top w:w="0" w:type="dxa"/>
          <w:left w:w="108" w:type="dxa"/>
          <w:bottom w:w="0" w:type="dxa"/>
          <w:right w:w="108" w:type="dxa"/>
        </w:tblCellMar>
      </w:tblPr>
      <w:tblGrid>
        <w:gridCol w:w="2283"/>
        <w:gridCol w:w="8183"/>
      </w:tblGrid>
      <w:tr>
        <w:trPr>
          <w:trHeight w:val="345" w:hRule="atLeast"/>
        </w:trPr>
        <w:tc>
          <w:tcPr>
            <w:tcW w:w="2283" w:type="dxa"/>
            <w:tcBorders>
              <w:top w:val="single" w:sz="4" w:space="0" w:color="000000"/>
              <w:left w:val="single" w:sz="4" w:space="0" w:color="000000"/>
              <w:bottom w:val="single" w:sz="4" w:space="0" w:color="000000"/>
            </w:tcBorders>
            <w:shd w:fill="auto" w:val="clear"/>
            <w:vAlign w:val="center"/>
          </w:tcPr>
          <w:p>
            <w:pPr>
              <w:pStyle w:val="Normal"/>
              <w:spacing w:lineRule="auto" w:line="240" w:before="0" w:after="0"/>
              <w:jc w:val="center"/>
              <w:rPr>
                <w:b/>
                <w:b/>
              </w:rPr>
            </w:pPr>
            <w:r>
              <w:rPr>
                <w:b/>
              </w:rPr>
              <w:t>ASSESSMENT</w:t>
            </w:r>
          </w:p>
          <w:p>
            <w:pPr>
              <w:pStyle w:val="Normal"/>
              <w:spacing w:lineRule="auto" w:line="240" w:before="0" w:after="0"/>
              <w:jc w:val="center"/>
              <w:rPr>
                <w:b/>
                <w:b/>
              </w:rPr>
            </w:pPr>
            <w:r>
              <w:rPr>
                <w:b/>
              </w:rPr>
              <w:t>METHOD</w:t>
            </w:r>
          </w:p>
        </w:tc>
        <w:tc>
          <w:tcPr>
            <w:tcW w:w="818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0" w:after="0"/>
              <w:jc w:val="center"/>
              <w:rPr>
                <w:b/>
                <w:b/>
              </w:rPr>
            </w:pPr>
            <w:r>
              <w:rPr>
                <w:b/>
              </w:rPr>
              <w:t>CRITERIA</w:t>
            </w:r>
          </w:p>
        </w:tc>
      </w:tr>
      <w:tr>
        <w:trPr>
          <w:trHeight w:val="567" w:hRule="atLeast"/>
          <w:cantSplit w:val="true"/>
        </w:trPr>
        <w:tc>
          <w:tcPr>
            <w:tcW w:w="2283" w:type="dxa"/>
            <w:tcBorders>
              <w:top w:val="single" w:sz="4" w:space="0" w:color="000000"/>
              <w:left w:val="single" w:sz="4" w:space="0" w:color="000000"/>
              <w:bottom w:val="single" w:sz="4" w:space="0" w:color="000000"/>
            </w:tcBorders>
            <w:shd w:fill="auto" w:val="clear"/>
            <w:vAlign w:val="center"/>
          </w:tcPr>
          <w:p>
            <w:pPr>
              <w:pStyle w:val="Normal"/>
              <w:spacing w:lineRule="auto" w:line="240" w:before="120" w:after="200"/>
              <w:rPr>
                <w:b/>
                <w:b/>
              </w:rPr>
            </w:pPr>
            <w:r>
              <w:rPr>
                <w:b/>
              </w:rPr>
              <w:t xml:space="preserve">Interview </w:t>
            </w:r>
          </w:p>
        </w:tc>
        <w:tc>
          <w:tcPr>
            <w:tcW w:w="818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40" w:before="120" w:after="200"/>
              <w:rPr>
                <w:b/>
                <w:b/>
              </w:rPr>
            </w:pPr>
            <w:r>
              <w:rPr>
                <w:b/>
              </w:rPr>
            </w:r>
          </w:p>
        </w:tc>
      </w:tr>
      <w:tr>
        <w:trPr>
          <w:trHeight w:val="567" w:hRule="atLeast"/>
        </w:trPr>
        <w:tc>
          <w:tcPr>
            <w:tcW w:w="2283"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120" w:after="200"/>
              <w:rPr>
                <w:b/>
                <w:b/>
              </w:rPr>
            </w:pPr>
            <w:r>
              <w:rPr>
                <w:b/>
              </w:rPr>
            </w:r>
          </w:p>
        </w:tc>
        <w:tc>
          <w:tcPr>
            <w:tcW w:w="818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40" w:before="120" w:after="200"/>
              <w:rPr>
                <w:b/>
                <w:b/>
              </w:rPr>
            </w:pPr>
            <w:r>
              <w:rPr>
                <w:b/>
              </w:rPr>
            </w:r>
          </w:p>
        </w:tc>
      </w:tr>
      <w:tr>
        <w:trPr>
          <w:trHeight w:val="567" w:hRule="atLeast"/>
        </w:trPr>
        <w:tc>
          <w:tcPr>
            <w:tcW w:w="2283"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120" w:after="200"/>
              <w:rPr>
                <w:b/>
                <w:b/>
              </w:rPr>
            </w:pPr>
            <w:r>
              <w:rPr>
                <w:b/>
              </w:rPr>
            </w:r>
          </w:p>
        </w:tc>
        <w:tc>
          <w:tcPr>
            <w:tcW w:w="818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40" w:before="0" w:after="0"/>
              <w:ind w:left="-17" w:right="0" w:hanging="0"/>
              <w:rPr>
                <w:b/>
                <w:b/>
              </w:rPr>
            </w:pPr>
            <w:r>
              <w:rPr>
                <w:b/>
              </w:rPr>
            </w:r>
          </w:p>
        </w:tc>
      </w:tr>
      <w:tr>
        <w:trPr>
          <w:trHeight w:val="567" w:hRule="atLeast"/>
        </w:trPr>
        <w:tc>
          <w:tcPr>
            <w:tcW w:w="2283"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120" w:after="120"/>
              <w:rPr>
                <w:b/>
                <w:b/>
              </w:rPr>
            </w:pPr>
            <w:r>
              <w:rPr>
                <w:b/>
              </w:rPr>
            </w:r>
          </w:p>
        </w:tc>
        <w:tc>
          <w:tcPr>
            <w:tcW w:w="818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40" w:before="120" w:after="120"/>
              <w:rPr>
                <w:b/>
                <w:b/>
              </w:rPr>
            </w:pPr>
            <w:r>
              <w:rPr>
                <w:b/>
              </w:rPr>
            </w:r>
          </w:p>
        </w:tc>
      </w:tr>
      <w:tr>
        <w:trPr>
          <w:trHeight w:val="567" w:hRule="atLeast"/>
        </w:trPr>
        <w:tc>
          <w:tcPr>
            <w:tcW w:w="2283"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40" w:before="120" w:after="120"/>
              <w:rPr>
                <w:b/>
                <w:b/>
              </w:rPr>
            </w:pPr>
            <w:r>
              <w:rPr>
                <w:b/>
              </w:rPr>
            </w:r>
          </w:p>
        </w:tc>
        <w:tc>
          <w:tcPr>
            <w:tcW w:w="8183"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40" w:before="120" w:after="120"/>
              <w:rPr>
                <w:b/>
                <w:b/>
              </w:rPr>
            </w:pPr>
            <w:r>
              <w:rPr>
                <w:b/>
              </w:rPr>
            </w:r>
          </w:p>
        </w:tc>
      </w:tr>
    </w:tbl>
    <w:p>
      <w:pPr>
        <w:pStyle w:val="Normal"/>
        <w:widowControl/>
        <w:bidi w:val="0"/>
        <w:spacing w:lineRule="auto" w:line="276" w:before="0" w:after="200"/>
        <w:jc w:val="left"/>
        <w:rPr/>
      </w:pPr>
      <w:r>
        <w:rPr/>
      </w:r>
    </w:p>
    <w:sectPr>
      <w:type w:val="nextPage"/>
      <w:pgSz w:w="11906" w:h="16838"/>
      <w:pgMar w:left="720" w:right="720" w:header="0" w:top="720" w:footer="0" w:bottom="720"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Verdana">
    <w:charset w:val="00"/>
    <w:family w:val="roman"/>
    <w:pitch w:val="variable"/>
  </w:font>
  <w:font w:name="Franklin Gothic Demi">
    <w:charset w:val="00"/>
    <w:family w:val="roman"/>
    <w:pitch w:val="variable"/>
  </w:font>
  <w:font w:name="Courier New">
    <w:charset w:val="01"/>
    <w:family w:val="modern"/>
    <w:pitch w:val="default"/>
  </w:font>
  <w:font w:name="Wingdings">
    <w:charset w:val="02"/>
    <w:family w:val="auto"/>
    <w:pitch w:val="variable"/>
  </w:font>
  <w:font w:name="Tahoma">
    <w:charset w:val="00"/>
    <w:family w:val="roman"/>
    <w:pitch w:val="variable"/>
  </w:font>
  <w:font w:name="Liberation Sans">
    <w:altName w:val="Arial"/>
    <w:charset w:val="00"/>
    <w:family w:val="swiss"/>
    <w:pitch w:val="variable"/>
  </w:font>
  <w:font w:name="Calibri">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3">
    <w:lvl w:ilvl="0">
      <w:start w:val="1"/>
      <w:numFmt w:val="bullet"/>
      <w:lvlText w:val=""/>
      <w:lvlJc w:val="left"/>
      <w:pPr>
        <w:tabs>
          <w:tab w:val="num" w:pos="720"/>
        </w:tabs>
        <w:ind w:left="720" w:hanging="360"/>
      </w:pPr>
      <w:rPr>
        <w:rFonts w:ascii="Symbol" w:hAnsi="Symbol" w:cs="Symbol" w:hint="default"/>
        <w:rFonts w:cs="Symbol"/>
        <w:color w:val="auto"/>
      </w:rPr>
    </w:lvl>
    <w:lvl w:ilvl="1">
      <w:start w:val="1"/>
      <w:numFmt w:val="bullet"/>
      <w:lvlText w:val="o"/>
      <w:lvlJc w:val="left"/>
      <w:pPr>
        <w:tabs>
          <w:tab w:val="num" w:pos="1440"/>
        </w:tabs>
        <w:ind w:left="1440" w:hanging="360"/>
      </w:pPr>
      <w:rPr>
        <w:rFonts w:ascii="Courier New" w:hAnsi="Courier New" w:cs="Courier New" w:hint="default"/>
        <w:rFonts w:cs="Courier New"/>
      </w:rPr>
    </w:lvl>
    <w:lvl w:ilvl="2">
      <w:start w:val="1"/>
      <w:numFmt w:val="bullet"/>
      <w:lvlText w:val=""/>
      <w:lvlJc w:val="left"/>
      <w:pPr>
        <w:tabs>
          <w:tab w:val="num" w:pos="2160"/>
        </w:tabs>
        <w:ind w:left="2160" w:hanging="360"/>
      </w:pPr>
      <w:rPr>
        <w:rFonts w:ascii="Wingdings" w:hAnsi="Wingdings" w:cs="Wingdings" w:hint="default"/>
        <w:rFonts w:cs="Wingdings"/>
      </w:rPr>
    </w:lvl>
    <w:lvl w:ilvl="3">
      <w:start w:val="1"/>
      <w:numFmt w:val="bullet"/>
      <w:lvlText w:val=""/>
      <w:lvlJc w:val="left"/>
      <w:pPr>
        <w:tabs>
          <w:tab w:val="num" w:pos="2880"/>
        </w:tabs>
        <w:ind w:left="2880" w:hanging="360"/>
      </w:pPr>
      <w:rPr>
        <w:rFonts w:ascii="Symbol" w:hAnsi="Symbol" w:cs="Symbol" w:hint="default"/>
        <w:rFonts w:cs="Symbol"/>
      </w:rPr>
    </w:lvl>
    <w:lvl w:ilvl="4">
      <w:start w:val="1"/>
      <w:numFmt w:val="bullet"/>
      <w:lvlText w:val="o"/>
      <w:lvlJc w:val="left"/>
      <w:pPr>
        <w:tabs>
          <w:tab w:val="num" w:pos="3600"/>
        </w:tabs>
        <w:ind w:left="3600" w:hanging="360"/>
      </w:pPr>
      <w:rPr>
        <w:rFonts w:ascii="Courier New" w:hAnsi="Courier New" w:cs="Courier New" w:hint="default"/>
        <w:rFonts w:cs="Courier New"/>
      </w:rPr>
    </w:lvl>
    <w:lvl w:ilvl="5">
      <w:start w:val="1"/>
      <w:numFmt w:val="bullet"/>
      <w:lvlText w:val=""/>
      <w:lvlJc w:val="left"/>
      <w:pPr>
        <w:tabs>
          <w:tab w:val="num" w:pos="4320"/>
        </w:tabs>
        <w:ind w:left="4320" w:hanging="360"/>
      </w:pPr>
      <w:rPr>
        <w:rFonts w:ascii="Wingdings" w:hAnsi="Wingdings" w:cs="Wingdings" w:hint="default"/>
        <w:rFonts w:cs="Wingdings"/>
      </w:rPr>
    </w:lvl>
    <w:lvl w:ilvl="6">
      <w:start w:val="1"/>
      <w:numFmt w:val="bullet"/>
      <w:lvlText w:val=""/>
      <w:lvlJc w:val="left"/>
      <w:pPr>
        <w:tabs>
          <w:tab w:val="num" w:pos="5040"/>
        </w:tabs>
        <w:ind w:left="5040" w:hanging="360"/>
      </w:pPr>
      <w:rPr>
        <w:rFonts w:ascii="Symbol" w:hAnsi="Symbol" w:cs="Symbol" w:hint="default"/>
        <w:rFonts w:cs="Symbol"/>
      </w:rPr>
    </w:lvl>
    <w:lvl w:ilvl="7">
      <w:start w:val="1"/>
      <w:numFmt w:val="bullet"/>
      <w:lvlText w:val="o"/>
      <w:lvlJc w:val="left"/>
      <w:pPr>
        <w:tabs>
          <w:tab w:val="num" w:pos="5760"/>
        </w:tabs>
        <w:ind w:left="5760" w:hanging="360"/>
      </w:pPr>
      <w:rPr>
        <w:rFonts w:ascii="Courier New" w:hAnsi="Courier New" w:cs="Courier New" w:hint="default"/>
        <w:rFonts w:cs="Courier New"/>
      </w:rPr>
    </w:lvl>
    <w:lvl w:ilvl="8">
      <w:start w:val="1"/>
      <w:numFmt w:val="bullet"/>
      <w:lvlText w:val=""/>
      <w:lvlJc w:val="left"/>
      <w:pPr>
        <w:tabs>
          <w:tab w:val="num" w:pos="6480"/>
        </w:tabs>
        <w:ind w:left="6480" w:hanging="360"/>
      </w:pPr>
      <w:rPr>
        <w:rFonts w:ascii="Wingdings" w:hAnsi="Wingdings" w:cs="Wingdings" w:hint="default"/>
        <w:rFonts w:cs="Wingdings"/>
      </w:rPr>
    </w:lvl>
  </w:abstractNum>
  <w:abstractNum w:abstractNumId="4">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76" w:before="0" w:after="200"/>
      <w:jc w:val="left"/>
    </w:pPr>
    <w:rPr>
      <w:rFonts w:ascii="Verdana" w:hAnsi="Verdana" w:eastAsia="Calibri" w:cs="Verdana"/>
      <w:color w:val="auto"/>
      <w:kern w:val="0"/>
      <w:sz w:val="22"/>
      <w:szCs w:val="22"/>
      <w:lang w:val="en-GB" w:eastAsia="en-US" w:bidi="ar-SA"/>
    </w:rPr>
  </w:style>
  <w:style w:type="paragraph" w:styleId="Heading3">
    <w:name w:val="Heading 3"/>
    <w:basedOn w:val="Normal"/>
    <w:next w:val="Normal"/>
    <w:qFormat/>
    <w:pPr>
      <w:keepNext w:val="true"/>
      <w:keepLines/>
      <w:numPr>
        <w:ilvl w:val="2"/>
        <w:numId w:val="1"/>
      </w:numPr>
      <w:spacing w:before="200" w:after="0"/>
      <w:outlineLvl w:val="2"/>
    </w:pPr>
    <w:rPr>
      <w:rFonts w:ascii="Franklin Gothic Demi" w:hAnsi="Franklin Gothic Demi" w:eastAsia="Times New Roman" w:cs="Franklin Gothic Demi"/>
      <w:bCs/>
      <w:sz w:val="24"/>
      <w:szCs w:val="24"/>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color w:val="auto"/>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2z3">
    <w:name w:val="WW8Num2z3"/>
    <w:qFormat/>
    <w:rPr>
      <w:rFonts w:ascii="Symbol" w:hAnsi="Symbol" w:cs="Symbol"/>
    </w:rPr>
  </w:style>
  <w:style w:type="character" w:styleId="WW8Num3z0">
    <w:name w:val="WW8Num3z0"/>
    <w:qFormat/>
    <w:rPr>
      <w:rFonts w:ascii="Symbol" w:hAnsi="Symbol" w:cs="Symbol"/>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DefaultParagraphFont">
    <w:name w:val="Default Paragraph Font"/>
    <w:qFormat/>
    <w:rPr/>
  </w:style>
  <w:style w:type="character" w:styleId="Heading3Char">
    <w:name w:val="Heading 3 Char"/>
    <w:qFormat/>
    <w:rPr>
      <w:rFonts w:ascii="Franklin Gothic Demi" w:hAnsi="Franklin Gothic Demi" w:eastAsia="Times New Roman" w:cs="Vrinda"/>
      <w:bCs/>
      <w:sz w:val="24"/>
      <w:szCs w:val="24"/>
    </w:rPr>
  </w:style>
  <w:style w:type="character" w:styleId="BalloonTextChar">
    <w:name w:val="Balloon Text Char"/>
    <w:qFormat/>
    <w:rPr>
      <w:rFonts w:ascii="Tahoma" w:hAnsi="Tahoma" w:eastAsia="Calibri" w:cs="Tahoma"/>
      <w:sz w:val="16"/>
      <w:szCs w:val="16"/>
    </w:rPr>
  </w:style>
  <w:style w:type="character" w:styleId="HeaderChar">
    <w:name w:val="Header Char"/>
    <w:qFormat/>
    <w:rPr>
      <w:rFonts w:ascii="Arial" w:hAnsi="Arial" w:eastAsia="Times New Roman" w:cs="Arial"/>
      <w:sz w:val="24"/>
      <w:lang w:eastAsia="en-US"/>
    </w:rPr>
  </w:style>
  <w:style w:type="character" w:styleId="FooterChar">
    <w:name w:val="Footer Char"/>
    <w:qFormat/>
    <w:rPr>
      <w:rFonts w:cs="Vrinda"/>
      <w:sz w:val="22"/>
      <w:szCs w:val="22"/>
      <w:lang w:eastAsia="en-US"/>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Msonospacing">
    <w:name w:val="msonospacing"/>
    <w:basedOn w:val="Normal"/>
    <w:qFormat/>
    <w:pPr>
      <w:spacing w:lineRule="auto" w:line="240" w:before="0" w:after="0"/>
    </w:pPr>
    <w:rPr>
      <w:rFonts w:ascii="Calibri" w:hAnsi="Calibri" w:cs="Calibri"/>
      <w:lang w:eastAsia="en-GB"/>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spacing w:lineRule="auto" w:line="240" w:before="0" w:after="0"/>
    </w:pPr>
    <w:rPr>
      <w:rFonts w:ascii="Arial" w:hAnsi="Arial" w:eastAsia="Times New Roman" w:cs="Times New Roman"/>
      <w:sz w:val="24"/>
      <w:szCs w:val="20"/>
    </w:rPr>
  </w:style>
  <w:style w:type="paragraph" w:styleId="ListParagraph">
    <w:name w:val="List Paragraph"/>
    <w:basedOn w:val="Normal"/>
    <w:qFormat/>
    <w:pPr>
      <w:ind w:left="720" w:right="0" w:hanging="0"/>
    </w:pPr>
    <w:rPr/>
  </w:style>
  <w:style w:type="paragraph" w:styleId="Footer">
    <w:name w:val="Footer"/>
    <w:basedOn w:val="Normal"/>
    <w:pPr>
      <w:tabs>
        <w:tab w:val="clear" w:pos="720"/>
        <w:tab w:val="center" w:pos="4513" w:leader="none"/>
        <w:tab w:val="right" w:pos="9026" w:leader="none"/>
      </w:tabs>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1</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