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rFonts w:ascii="Verdana" w:hAnsi="Verdana" w:cs="Verdana"/>
          <w:sz w:val="22"/>
          <w:szCs w:val="22"/>
        </w:rPr>
      </w:pPr>
      <w:r>
        <w:rPr>
          <w:rFonts w:cs="Verdana" w:ascii="Verdana" w:hAnsi="Verdana"/>
          <w:sz w:val="22"/>
          <w:szCs w:val="22"/>
        </w:rPr>
        <w:t>BURY METROPOLITAN BOROUGH COUNCIL</w:t>
      </w:r>
    </w:p>
    <w:p>
      <w:pPr>
        <w:pStyle w:val="Heading1"/>
        <w:spacing w:before="120" w:after="0"/>
        <w:ind w:hanging="0" w:left="0"/>
        <w:rPr>
          <w:rFonts w:ascii="Verdana" w:hAnsi="Verdana" w:cs="Verdana"/>
          <w:sz w:val="22"/>
          <w:szCs w:val="22"/>
        </w:rPr>
      </w:pPr>
      <w:r>
        <w:rPr>
          <w:rFonts w:cs="Verdana" w:ascii="Verdana" w:hAnsi="Verdana"/>
          <w:sz w:val="22"/>
          <w:szCs w:val="22"/>
        </w:rPr>
        <w:t>JOB DESCRIPTION</w:t>
      </w:r>
    </w:p>
    <w:p>
      <w:pPr>
        <w:pStyle w:val="Header"/>
        <w:tabs>
          <w:tab w:val="clear" w:pos="4320"/>
          <w:tab w:val="clear" w:pos="8640"/>
        </w:tabs>
        <w:rPr>
          <w:rFonts w:ascii="Verdana" w:hAnsi="Verdana" w:cs="Verdana"/>
          <w:sz w:val="22"/>
          <w:szCs w:val="22"/>
        </w:rPr>
      </w:pPr>
      <w:r>
        <w:rPr>
          <w:rFonts w:cs="Verdana" w:ascii="Verdana" w:hAnsi="Verdana"/>
          <w:sz w:val="22"/>
          <w:szCs w:val="22"/>
        </w:rPr>
      </w:r>
    </w:p>
    <w:p>
      <w:pPr>
        <w:pStyle w:val="Header"/>
        <w:tabs>
          <w:tab w:val="clear" w:pos="4320"/>
          <w:tab w:val="clear" w:pos="8640"/>
        </w:tabs>
        <w:jc w:val="both"/>
        <w:rPr>
          <w:rFonts w:ascii="Verdana" w:hAnsi="Verdana" w:cs="Verdana"/>
          <w:sz w:val="22"/>
          <w:szCs w:val="22"/>
        </w:rPr>
      </w:pPr>
      <w:r>
        <w:rPr>
          <w:rFonts w:cs="Verdana" w:ascii="Verdana" w:hAnsi="Verdana"/>
          <w:sz w:val="22"/>
          <w:szCs w:val="22"/>
        </w:rPr>
      </w:r>
    </w:p>
    <w:tbl>
      <w:tblPr>
        <w:tblW w:w="9637" w:type="dxa"/>
        <w:jc w:val="left"/>
        <w:tblInd w:w="108" w:type="dxa"/>
        <w:tblLayout w:type="fixed"/>
        <w:tblCellMar>
          <w:top w:w="0" w:type="dxa"/>
          <w:left w:w="108" w:type="dxa"/>
          <w:bottom w:w="0" w:type="dxa"/>
          <w:right w:w="108" w:type="dxa"/>
        </w:tblCellMar>
      </w:tblPr>
      <w:tblGrid>
        <w:gridCol w:w="4819"/>
        <w:gridCol w:w="4818"/>
      </w:tblGrid>
      <w:tr>
        <w:trPr>
          <w:trHeight w:val="35" w:hRule="atLeast"/>
          <w:cantSplit w:val="true"/>
        </w:trPr>
        <w:tc>
          <w:tcPr>
            <w:tcW w:w="9637" w:type="dxa"/>
            <w:gridSpan w:val="2"/>
            <w:tcBorders>
              <w:top w:val="double" w:sz="6" w:space="0" w:color="000000"/>
              <w:left w:val="double" w:sz="6" w:space="0" w:color="000000"/>
              <w:bottom w:val="single" w:sz="6" w:space="0" w:color="000000"/>
              <w:right w:val="double" w:sz="6" w:space="0" w:color="000000"/>
            </w:tcBorders>
          </w:tcPr>
          <w:p>
            <w:pPr>
              <w:pStyle w:val="Normal"/>
              <w:tabs>
                <w:tab w:val="clear" w:pos="720"/>
                <w:tab w:val="left" w:pos="1800" w:leader="none"/>
              </w:tabs>
              <w:spacing w:before="120" w:after="120"/>
              <w:ind w:hanging="1800" w:left="1800" w:right="0"/>
              <w:jc w:val="both"/>
              <w:rPr/>
            </w:pPr>
            <w:r>
              <w:rPr>
                <w:rFonts w:cs="Verdana" w:ascii="Verdana" w:hAnsi="Verdana"/>
                <w:sz w:val="22"/>
                <w:szCs w:val="22"/>
                <w:u w:val="none"/>
              </w:rPr>
              <w:t xml:space="preserve">Post Title: </w:t>
            </w:r>
            <w:r>
              <w:rPr>
                <w:rFonts w:cs="Verdana" w:ascii="Verdana" w:hAnsi="Verdana"/>
                <w:b w:val="false"/>
                <w:bCs/>
                <w:sz w:val="22"/>
                <w:szCs w:val="22"/>
                <w:u w:val="none"/>
              </w:rPr>
              <w:t xml:space="preserve">   Head of Service (Social Care)</w:t>
            </w:r>
          </w:p>
        </w:tc>
      </w:tr>
      <w:tr>
        <w:trPr>
          <w:cantSplit w:val="true"/>
        </w:trPr>
        <w:tc>
          <w:tcPr>
            <w:tcW w:w="4819" w:type="dxa"/>
            <w:tcBorders>
              <w:top w:val="double" w:sz="6" w:space="0" w:color="000000"/>
              <w:left w:val="double" w:sz="6" w:space="0" w:color="000000"/>
            </w:tcBorders>
          </w:tcPr>
          <w:p>
            <w:pPr>
              <w:pStyle w:val="Normal"/>
              <w:tabs>
                <w:tab w:val="clear" w:pos="720"/>
                <w:tab w:val="left" w:pos="1800" w:leader="none"/>
              </w:tabs>
              <w:spacing w:before="120" w:after="120"/>
              <w:ind w:hanging="1800" w:left="1800" w:right="0"/>
              <w:rPr/>
            </w:pPr>
            <w:r>
              <w:rPr>
                <w:rFonts w:cs="Verdana" w:ascii="Verdana" w:hAnsi="Verdana"/>
                <w:sz w:val="22"/>
                <w:szCs w:val="22"/>
                <w:u w:val="none"/>
              </w:rPr>
              <w:t xml:space="preserve">Department:    </w:t>
            </w:r>
            <w:r>
              <w:rPr>
                <w:rFonts w:cs="Verdana" w:ascii="Verdana" w:hAnsi="Verdana"/>
                <w:b w:val="false"/>
                <w:bCs/>
                <w:sz w:val="22"/>
                <w:szCs w:val="22"/>
                <w:u w:val="none"/>
              </w:rPr>
              <w:t xml:space="preserve">Children &amp; Young People </w:t>
            </w:r>
          </w:p>
        </w:tc>
        <w:tc>
          <w:tcPr>
            <w:tcW w:w="4818" w:type="dxa"/>
            <w:tcBorders>
              <w:top w:val="double" w:sz="6" w:space="0" w:color="000000"/>
              <w:left w:val="single" w:sz="6" w:space="0" w:color="000000"/>
              <w:bottom w:val="double" w:sz="6" w:space="0" w:color="000000"/>
              <w:right w:val="double" w:sz="6" w:space="0" w:color="000000"/>
            </w:tcBorders>
          </w:tcPr>
          <w:p>
            <w:pPr>
              <w:pStyle w:val="Normal"/>
              <w:tabs>
                <w:tab w:val="clear" w:pos="720"/>
                <w:tab w:val="left" w:pos="2381" w:leader="none"/>
              </w:tabs>
              <w:spacing w:before="120" w:after="120"/>
              <w:ind w:hanging="2381" w:left="2381" w:right="0"/>
              <w:jc w:val="both"/>
              <w:rPr>
                <w:rFonts w:ascii="Verdana" w:hAnsi="Verdana" w:cs="Verdana"/>
                <w:sz w:val="22"/>
                <w:szCs w:val="22"/>
                <w:u w:val="none"/>
              </w:rPr>
            </w:pPr>
            <w:r>
              <w:rPr>
                <w:rFonts w:cs="Verdana" w:ascii="Verdana" w:hAnsi="Verdana"/>
                <w:sz w:val="22"/>
                <w:szCs w:val="22"/>
                <w:u w:val="none"/>
              </w:rPr>
              <w:t>Establishment/Post No:</w:t>
              <w:tab/>
            </w:r>
          </w:p>
        </w:tc>
      </w:tr>
      <w:tr>
        <w:trPr>
          <w:cantSplit w:val="true"/>
        </w:trPr>
        <w:tc>
          <w:tcPr>
            <w:tcW w:w="4819" w:type="dxa"/>
            <w:tcBorders>
              <w:top w:val="double" w:sz="6" w:space="0" w:color="000000"/>
              <w:left w:val="double" w:sz="6" w:space="0" w:color="000000"/>
            </w:tcBorders>
          </w:tcPr>
          <w:p>
            <w:pPr>
              <w:pStyle w:val="Normal"/>
              <w:tabs>
                <w:tab w:val="clear" w:pos="720"/>
                <w:tab w:val="left" w:pos="1800" w:leader="none"/>
              </w:tabs>
              <w:spacing w:before="120" w:after="120"/>
              <w:ind w:hanging="1800" w:left="1800" w:right="0"/>
              <w:rPr/>
            </w:pPr>
            <w:r>
              <w:rPr>
                <w:rFonts w:cs="Verdana" w:ascii="Verdana" w:hAnsi="Verdana"/>
                <w:sz w:val="22"/>
                <w:szCs w:val="22"/>
                <w:u w:val="none"/>
              </w:rPr>
              <w:t xml:space="preserve">Division/Section:    </w:t>
            </w:r>
            <w:r>
              <w:rPr>
                <w:rFonts w:cs="Verdana" w:ascii="Verdana" w:hAnsi="Verdana"/>
                <w:b w:val="false"/>
                <w:bCs/>
                <w:sz w:val="22"/>
                <w:szCs w:val="22"/>
                <w:u w:val="none"/>
              </w:rPr>
              <w:t>Social Care</w:t>
            </w:r>
          </w:p>
        </w:tc>
        <w:tc>
          <w:tcPr>
            <w:tcW w:w="4818" w:type="dxa"/>
            <w:tcBorders>
              <w:top w:val="double" w:sz="6" w:space="0" w:color="000000"/>
              <w:left w:val="single" w:sz="6" w:space="0" w:color="000000"/>
              <w:bottom w:val="double" w:sz="6" w:space="0" w:color="000000"/>
              <w:right w:val="double" w:sz="6" w:space="0" w:color="000000"/>
            </w:tcBorders>
          </w:tcPr>
          <w:p>
            <w:pPr>
              <w:pStyle w:val="Normal"/>
              <w:tabs>
                <w:tab w:val="clear" w:pos="720"/>
                <w:tab w:val="left" w:pos="1391" w:leader="none"/>
              </w:tabs>
              <w:spacing w:before="120" w:after="120"/>
              <w:ind w:hanging="1391" w:left="1391" w:right="0"/>
              <w:jc w:val="both"/>
              <w:rPr/>
            </w:pPr>
            <w:r>
              <w:rPr>
                <w:rFonts w:cs="Verdana" w:ascii="Verdana" w:hAnsi="Verdana"/>
                <w:sz w:val="22"/>
                <w:szCs w:val="22"/>
                <w:u w:val="none"/>
              </w:rPr>
              <w:t xml:space="preserve">Post Grade:    </w:t>
            </w:r>
            <w:r>
              <w:rPr>
                <w:rFonts w:cs="Verdana" w:ascii="Verdana" w:hAnsi="Verdana"/>
                <w:b w:val="false"/>
                <w:bCs/>
                <w:sz w:val="22"/>
                <w:szCs w:val="22"/>
                <w:u w:val="none"/>
              </w:rPr>
              <w:t>Chief Officer Band A</w:t>
            </w:r>
          </w:p>
        </w:tc>
      </w:tr>
      <w:tr>
        <w:trPr>
          <w:trHeight w:val="1440" w:hRule="atLeast"/>
          <w:cantSplit w:val="true"/>
        </w:trPr>
        <w:tc>
          <w:tcPr>
            <w:tcW w:w="4819" w:type="dxa"/>
            <w:tcBorders>
              <w:top w:val="double" w:sz="6" w:space="0" w:color="000000"/>
              <w:left w:val="double" w:sz="6" w:space="0" w:color="000000"/>
              <w:bottom w:val="double" w:sz="6" w:space="0" w:color="000000"/>
            </w:tcBorders>
          </w:tcPr>
          <w:p>
            <w:pPr>
              <w:pStyle w:val="Normal"/>
              <w:tabs>
                <w:tab w:val="clear" w:pos="720"/>
                <w:tab w:val="left" w:pos="1800" w:leader="none"/>
              </w:tabs>
              <w:spacing w:before="120" w:after="0"/>
              <w:ind w:hanging="1800" w:left="1800" w:right="0"/>
              <w:rPr/>
            </w:pPr>
            <w:r>
              <w:rPr>
                <w:rFonts w:cs="Verdana" w:ascii="Verdana" w:hAnsi="Verdana"/>
                <w:sz w:val="22"/>
                <w:szCs w:val="22"/>
                <w:u w:val="none"/>
              </w:rPr>
              <w:t>Location: Borough Wide</w:t>
            </w:r>
            <w:r>
              <w:rPr>
                <w:rFonts w:cs="Verdana" w:ascii="Verdana" w:hAnsi="Verdana"/>
                <w:color w:val="000000"/>
                <w:sz w:val="22"/>
                <w:szCs w:val="22"/>
                <w:u w:val="none"/>
              </w:rPr>
              <w:tab/>
            </w:r>
          </w:p>
          <w:p>
            <w:pPr>
              <w:pStyle w:val="Normal"/>
              <w:tabs>
                <w:tab w:val="clear" w:pos="720"/>
                <w:tab w:val="left" w:pos="1800" w:leader="none"/>
              </w:tabs>
              <w:spacing w:before="120" w:after="0"/>
              <w:ind w:hanging="1800" w:left="1800" w:right="0"/>
              <w:rPr>
                <w:rFonts w:ascii="Verdana" w:hAnsi="Verdana" w:cs="Verdana"/>
                <w:sz w:val="22"/>
                <w:szCs w:val="22"/>
                <w:u w:val="none"/>
              </w:rPr>
            </w:pPr>
            <w:r>
              <w:rPr>
                <w:rFonts w:cs="Verdana" w:ascii="Verdana" w:hAnsi="Verdana"/>
                <w:sz w:val="22"/>
                <w:szCs w:val="22"/>
                <w:u w:val="none"/>
              </w:rPr>
            </w:r>
          </w:p>
        </w:tc>
        <w:tc>
          <w:tcPr>
            <w:tcW w:w="4818" w:type="dxa"/>
            <w:tcBorders>
              <w:top w:val="double" w:sz="6" w:space="0" w:color="000000"/>
              <w:left w:val="single" w:sz="6" w:space="0" w:color="000000"/>
              <w:bottom w:val="double" w:sz="6" w:space="0" w:color="000000"/>
              <w:right w:val="double" w:sz="6" w:space="0" w:color="000000"/>
            </w:tcBorders>
          </w:tcPr>
          <w:p>
            <w:pPr>
              <w:pStyle w:val="Normal"/>
              <w:tabs>
                <w:tab w:val="clear" w:pos="720"/>
                <w:tab w:val="left" w:pos="1391" w:leader="none"/>
              </w:tabs>
              <w:spacing w:before="120" w:after="0"/>
              <w:ind w:hanging="1391" w:left="1391" w:right="0"/>
              <w:jc w:val="both"/>
              <w:rPr/>
            </w:pPr>
            <w:r>
              <w:rPr>
                <w:rFonts w:cs="Verdana" w:ascii="Verdana" w:hAnsi="Verdana"/>
                <w:sz w:val="22"/>
                <w:szCs w:val="22"/>
                <w:u w:val="none"/>
              </w:rPr>
              <w:t>Post Hours:</w:t>
              <w:tab/>
              <w:t xml:space="preserve"> </w:t>
            </w:r>
            <w:r>
              <w:rPr>
                <w:rFonts w:cs="Verdana" w:ascii="Verdana" w:hAnsi="Verdana"/>
                <w:b w:val="false"/>
                <w:bCs/>
                <w:sz w:val="22"/>
                <w:szCs w:val="22"/>
                <w:u w:val="none"/>
              </w:rPr>
              <w:t>37hrs per week</w:t>
            </w:r>
          </w:p>
          <w:p>
            <w:pPr>
              <w:pStyle w:val="Normal"/>
              <w:tabs>
                <w:tab w:val="clear" w:pos="720"/>
                <w:tab w:val="left" w:pos="1391" w:leader="none"/>
              </w:tabs>
              <w:spacing w:before="120" w:after="0"/>
              <w:ind w:hanging="1391" w:left="1391" w:right="0"/>
              <w:jc w:val="both"/>
              <w:rPr/>
            </w:pPr>
            <w:r>
              <w:rPr>
                <w:rFonts w:eastAsia="Verdana" w:cs="Verdana" w:ascii="Verdana" w:hAnsi="Verdana"/>
                <w:b w:val="false"/>
                <w:bCs/>
                <w:sz w:val="22"/>
                <w:szCs w:val="22"/>
                <w:u w:val="none"/>
              </w:rPr>
              <w:t xml:space="preserve">                   </w:t>
            </w:r>
            <w:r>
              <w:rPr>
                <w:rFonts w:cs="Verdana" w:ascii="Verdana" w:hAnsi="Verdana"/>
                <w:b w:val="false"/>
                <w:bCs/>
                <w:sz w:val="22"/>
                <w:szCs w:val="22"/>
                <w:u w:val="none"/>
              </w:rPr>
              <w:t>(flexi-time scheme)</w:t>
            </w:r>
          </w:p>
          <w:p>
            <w:pPr>
              <w:pStyle w:val="Normal"/>
              <w:tabs>
                <w:tab w:val="clear" w:pos="720"/>
                <w:tab w:val="left" w:pos="1391" w:leader="none"/>
              </w:tabs>
              <w:spacing w:before="120" w:after="0"/>
              <w:ind w:hanging="1391" w:left="1391" w:right="0"/>
              <w:jc w:val="both"/>
              <w:rPr>
                <w:rFonts w:ascii="Verdana" w:hAnsi="Verdana" w:cs="Verdana"/>
                <w:sz w:val="22"/>
                <w:szCs w:val="22"/>
                <w:u w:val="none"/>
              </w:rPr>
            </w:pPr>
            <w:r>
              <w:rPr>
                <w:rFonts w:cs="Verdana" w:ascii="Verdana" w:hAnsi="Verdana"/>
                <w:sz w:val="22"/>
                <w:szCs w:val="22"/>
                <w:u w:val="none"/>
              </w:rPr>
            </w:r>
          </w:p>
        </w:tc>
      </w:tr>
      <w:tr>
        <w:trPr>
          <w:trHeight w:val="1200" w:hRule="atLeast"/>
          <w:cantSplit w:val="true"/>
        </w:trPr>
        <w:tc>
          <w:tcPr>
            <w:tcW w:w="9637" w:type="dxa"/>
            <w:gridSpan w:val="2"/>
            <w:tcBorders>
              <w:top w:val="double" w:sz="6" w:space="0" w:color="000000"/>
              <w:left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 xml:space="preserve">Special Conditions of Service:  </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Some evening and weekend work will be required</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Senior Manager on call rota</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Flexible Agile Working</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Politically restricted</w:t>
            </w:r>
          </w:p>
          <w:p>
            <w:pPr>
              <w:pStyle w:val="Normal"/>
              <w:spacing w:before="120" w:after="0"/>
              <w:jc w:val="both"/>
              <w:rPr>
                <w:rFonts w:ascii="Verdana" w:hAnsi="Verdana" w:cs="Verdana"/>
                <w:sz w:val="22"/>
                <w:szCs w:val="22"/>
                <w:u w:val="none"/>
              </w:rPr>
            </w:pPr>
            <w:r>
              <w:rPr>
                <w:rFonts w:cs="Verdana" w:ascii="Verdana" w:hAnsi="Verdana"/>
                <w:sz w:val="22"/>
                <w:szCs w:val="22"/>
                <w:u w:val="none"/>
              </w:rPr>
            </w:r>
          </w:p>
        </w:tc>
      </w:tr>
      <w:tr>
        <w:trPr>
          <w:trHeight w:val="1680" w:hRule="atLeast"/>
          <w:cantSplit w:val="true"/>
        </w:trPr>
        <w:tc>
          <w:tcPr>
            <w:tcW w:w="9637" w:type="dxa"/>
            <w:gridSpan w:val="2"/>
            <w:tcBorders>
              <w:top w:val="double" w:sz="6" w:space="0" w:color="000000"/>
              <w:left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Purpose and Objectives of Post:</w:t>
            </w:r>
          </w:p>
          <w:p>
            <w:pPr>
              <w:pStyle w:val="Normal"/>
              <w:tabs>
                <w:tab w:val="clear" w:pos="720"/>
                <w:tab w:val="left" w:pos="-720" w:leader="none"/>
              </w:tabs>
              <w:suppressAutoHyphens w:val="true"/>
              <w:spacing w:before="0" w:after="120"/>
              <w:rPr>
                <w:rFonts w:ascii="Verdana" w:hAnsi="Verdana" w:cs="Verdana"/>
                <w:sz w:val="22"/>
                <w:szCs w:val="22"/>
                <w:u w:val="none"/>
              </w:rPr>
            </w:pPr>
            <w:r>
              <w:rPr>
                <w:rFonts w:cs="Verdana" w:ascii="Verdana" w:hAnsi="Verdana"/>
                <w:sz w:val="22"/>
                <w:szCs w:val="22"/>
                <w:u w:val="none"/>
              </w:rPr>
            </w:r>
          </w:p>
          <w:p>
            <w:pPr>
              <w:pStyle w:val="Normal"/>
              <w:tabs>
                <w:tab w:val="clear" w:pos="720"/>
                <w:tab w:val="left" w:pos="-720" w:leader="none"/>
              </w:tabs>
              <w:suppressAutoHyphens w:val="true"/>
              <w:spacing w:before="0" w:after="120"/>
              <w:rPr>
                <w:rFonts w:ascii="Verdana" w:hAnsi="Verdana" w:cs="Verdana"/>
                <w:b w:val="false"/>
                <w:bCs/>
                <w:sz w:val="22"/>
                <w:szCs w:val="22"/>
                <w:u w:val="none"/>
              </w:rPr>
            </w:pPr>
            <w:r>
              <w:rPr>
                <w:rFonts w:cs="Verdana" w:ascii="Verdana" w:hAnsi="Verdana"/>
                <w:b w:val="false"/>
                <w:bCs/>
                <w:sz w:val="22"/>
                <w:szCs w:val="22"/>
                <w:u w:val="none"/>
              </w:rPr>
              <w:t>To strategically lead on the development of the services directly allocated to the post holder by the Director</w:t>
            </w:r>
          </w:p>
          <w:p>
            <w:pPr>
              <w:pStyle w:val="Normal"/>
              <w:tabs>
                <w:tab w:val="clear" w:pos="720"/>
                <w:tab w:val="left" w:pos="-720" w:leader="none"/>
              </w:tabs>
              <w:suppressAutoHyphens w:val="true"/>
              <w:spacing w:before="0" w:after="120"/>
              <w:rPr>
                <w:rFonts w:ascii="Verdana" w:hAnsi="Verdana" w:cs="Verdana"/>
                <w:b w:val="false"/>
                <w:bCs/>
                <w:sz w:val="22"/>
                <w:szCs w:val="22"/>
                <w:u w:val="none"/>
              </w:rPr>
            </w:pPr>
            <w:r>
              <w:rPr>
                <w:rFonts w:cs="Verdana" w:ascii="Verdana" w:hAnsi="Verdana"/>
                <w:b w:val="false"/>
                <w:bCs/>
                <w:sz w:val="22"/>
                <w:szCs w:val="22"/>
                <w:u w:val="none"/>
              </w:rPr>
              <w:t>To contribute as a member of the senior management team to the formulation of overall strategy for the whole of the Department setting policy and performance targets for service area(s).</w:t>
            </w:r>
          </w:p>
          <w:p>
            <w:pPr>
              <w:pStyle w:val="Normal"/>
              <w:tabs>
                <w:tab w:val="clear" w:pos="720"/>
                <w:tab w:val="left" w:pos="-720" w:leader="none"/>
              </w:tabs>
              <w:suppressAutoHyphens w:val="true"/>
              <w:spacing w:before="0" w:after="120"/>
              <w:rPr>
                <w:rFonts w:ascii="Verdana" w:hAnsi="Verdana" w:cs="Verdana"/>
                <w:b w:val="false"/>
                <w:bCs/>
                <w:sz w:val="22"/>
                <w:szCs w:val="22"/>
                <w:u w:val="none"/>
              </w:rPr>
            </w:pPr>
            <w:r>
              <w:rPr>
                <w:rFonts w:cs="Verdana" w:ascii="Verdana" w:hAnsi="Verdana"/>
                <w:b w:val="false"/>
                <w:bCs/>
                <w:sz w:val="22"/>
                <w:szCs w:val="22"/>
                <w:u w:val="none"/>
              </w:rPr>
              <w:t>To effectively and efficiently manage resources as allocated, ensuring best value.</w:t>
            </w:r>
          </w:p>
          <w:p>
            <w:pPr>
              <w:pStyle w:val="Normal"/>
              <w:tabs>
                <w:tab w:val="clear" w:pos="720"/>
                <w:tab w:val="left" w:pos="-720" w:leader="none"/>
              </w:tabs>
              <w:suppressAutoHyphens w:val="true"/>
              <w:spacing w:before="0" w:after="120"/>
              <w:rPr>
                <w:rFonts w:ascii="Verdana" w:hAnsi="Verdana" w:cs="Verdana"/>
                <w:b w:val="false"/>
                <w:bCs/>
                <w:sz w:val="22"/>
                <w:szCs w:val="22"/>
                <w:u w:val="none"/>
              </w:rPr>
            </w:pPr>
            <w:r>
              <w:rPr>
                <w:rFonts w:cs="Verdana" w:ascii="Verdana" w:hAnsi="Verdana"/>
                <w:b w:val="false"/>
                <w:bCs/>
                <w:sz w:val="22"/>
                <w:szCs w:val="22"/>
                <w:u w:val="none"/>
              </w:rPr>
              <w:t>To take overall responsibility for the management and delivery of the allocated service area(s).</w:t>
            </w:r>
          </w:p>
          <w:p>
            <w:pPr>
              <w:pStyle w:val="Normal"/>
              <w:tabs>
                <w:tab w:val="clear" w:pos="720"/>
                <w:tab w:val="left" w:pos="-720" w:leader="none"/>
              </w:tabs>
              <w:suppressAutoHyphens w:val="true"/>
              <w:spacing w:before="0" w:after="120"/>
              <w:rPr>
                <w:rFonts w:ascii="Verdana" w:hAnsi="Verdana" w:cs="Verdana"/>
                <w:b w:val="false"/>
                <w:bCs/>
                <w:sz w:val="22"/>
                <w:szCs w:val="22"/>
                <w:u w:val="none"/>
              </w:rPr>
            </w:pPr>
            <w:r>
              <w:rPr>
                <w:rFonts w:cs="Verdana" w:ascii="Verdana" w:hAnsi="Verdana"/>
                <w:b w:val="false"/>
                <w:bCs/>
                <w:sz w:val="22"/>
                <w:szCs w:val="22"/>
                <w:u w:val="none"/>
              </w:rPr>
              <w:t>Ensure the Councils’ aims, and objectives, vision and values are actively promoted and made a reality.</w:t>
            </w:r>
          </w:p>
          <w:p>
            <w:pPr>
              <w:pStyle w:val="Normal"/>
              <w:tabs>
                <w:tab w:val="clear" w:pos="720"/>
                <w:tab w:val="left" w:pos="-720" w:leader="none"/>
              </w:tabs>
              <w:suppressAutoHyphens w:val="true"/>
              <w:spacing w:before="0" w:after="120"/>
              <w:rPr>
                <w:rFonts w:ascii="Verdana" w:hAnsi="Verdana" w:cs="Verdana"/>
                <w:b w:val="false"/>
                <w:bCs/>
                <w:sz w:val="22"/>
                <w:szCs w:val="22"/>
                <w:u w:val="none"/>
              </w:rPr>
            </w:pPr>
            <w:r>
              <w:rPr>
                <w:rFonts w:cs="Verdana" w:ascii="Verdana" w:hAnsi="Verdana"/>
                <w:b w:val="false"/>
                <w:bCs/>
                <w:sz w:val="22"/>
                <w:szCs w:val="22"/>
                <w:u w:val="none"/>
              </w:rPr>
              <w:t>To represent the Director as required.</w:t>
            </w:r>
          </w:p>
          <w:p>
            <w:pPr>
              <w:pStyle w:val="Normal"/>
              <w:tabs>
                <w:tab w:val="clear" w:pos="720"/>
                <w:tab w:val="left" w:pos="-720" w:leader="none"/>
              </w:tabs>
              <w:suppressAutoHyphens w:val="true"/>
              <w:spacing w:before="0" w:after="120"/>
              <w:rPr>
                <w:rFonts w:ascii="Verdana" w:hAnsi="Verdana" w:cs="Verdana"/>
                <w:b w:val="false"/>
                <w:bCs/>
                <w:sz w:val="22"/>
                <w:szCs w:val="22"/>
                <w:u w:val="none"/>
              </w:rPr>
            </w:pPr>
            <w:r>
              <w:rPr>
                <w:rFonts w:cs="Verdana" w:ascii="Verdana" w:hAnsi="Verdana"/>
                <w:b w:val="false"/>
                <w:bCs/>
                <w:sz w:val="22"/>
                <w:szCs w:val="22"/>
                <w:u w:val="none"/>
              </w:rPr>
              <w:t>From time to time and as directed by the Executive Director to lead on projects requiring specialist knowledge.</w:t>
            </w:r>
          </w:p>
        </w:tc>
      </w:tr>
      <w:tr>
        <w:trPr>
          <w:cantSplit w:val="true"/>
        </w:trPr>
        <w:tc>
          <w:tcPr>
            <w:tcW w:w="9637" w:type="dxa"/>
            <w:gridSpan w:val="2"/>
            <w:tcBorders>
              <w:top w:val="double" w:sz="6" w:space="0" w:color="000000"/>
              <w:left w:val="double" w:sz="6" w:space="0" w:color="000000"/>
              <w:bottom w:val="double" w:sz="6" w:space="0" w:color="000000"/>
              <w:right w:val="double" w:sz="6" w:space="0" w:color="000000"/>
            </w:tcBorders>
          </w:tcPr>
          <w:p>
            <w:pPr>
              <w:pStyle w:val="Normal"/>
              <w:tabs>
                <w:tab w:val="clear" w:pos="720"/>
                <w:tab w:val="left" w:pos="3240" w:leader="none"/>
              </w:tabs>
              <w:spacing w:before="120" w:after="120"/>
              <w:ind w:hanging="3240" w:left="3240" w:right="0"/>
              <w:jc w:val="both"/>
              <w:rPr/>
            </w:pPr>
            <w:r>
              <w:rPr>
                <w:rFonts w:cs="Verdana" w:ascii="Verdana" w:hAnsi="Verdana"/>
                <w:sz w:val="22"/>
                <w:szCs w:val="22"/>
                <w:u w:val="none"/>
              </w:rPr>
              <w:t>Accountable to:</w:t>
            </w:r>
            <w:r>
              <w:rPr>
                <w:rFonts w:cs="Verdana" w:ascii="Verdana" w:hAnsi="Verdana"/>
                <w:b w:val="false"/>
                <w:bCs/>
                <w:sz w:val="22"/>
                <w:szCs w:val="22"/>
                <w:u w:val="none"/>
              </w:rPr>
              <w:t xml:space="preserve">    Executive Director of Children &amp; Young People</w:t>
            </w:r>
          </w:p>
        </w:tc>
      </w:tr>
      <w:tr>
        <w:trPr>
          <w:cantSplit w:val="true"/>
        </w:trPr>
        <w:tc>
          <w:tcPr>
            <w:tcW w:w="9637" w:type="dxa"/>
            <w:gridSpan w:val="2"/>
            <w:tcBorders>
              <w:left w:val="double" w:sz="6" w:space="0" w:color="000000"/>
              <w:right w:val="double" w:sz="6" w:space="0" w:color="000000"/>
            </w:tcBorders>
          </w:tcPr>
          <w:p>
            <w:pPr>
              <w:pStyle w:val="Normal"/>
              <w:tabs>
                <w:tab w:val="clear" w:pos="720"/>
                <w:tab w:val="left" w:pos="3240" w:leader="none"/>
              </w:tabs>
              <w:spacing w:before="120" w:after="120"/>
              <w:ind w:hanging="3240" w:left="3240" w:right="0"/>
              <w:jc w:val="both"/>
              <w:rPr/>
            </w:pPr>
            <w:r>
              <w:rPr>
                <w:rFonts w:cs="Verdana" w:ascii="Verdana" w:hAnsi="Verdana"/>
                <w:sz w:val="22"/>
                <w:szCs w:val="22"/>
                <w:u w:val="none"/>
              </w:rPr>
              <w:t xml:space="preserve">Immediately Responsible to:    </w:t>
            </w:r>
            <w:r>
              <w:rPr>
                <w:rFonts w:cs="Verdana" w:ascii="Verdana" w:hAnsi="Verdana"/>
                <w:b w:val="false"/>
                <w:bCs/>
                <w:sz w:val="22"/>
                <w:szCs w:val="22"/>
                <w:u w:val="none"/>
              </w:rPr>
              <w:t>Director of Social Care Practice</w:t>
            </w:r>
            <w:r>
              <w:rPr>
                <w:rFonts w:cs="Verdana" w:ascii="Verdana" w:hAnsi="Verdana"/>
                <w:sz w:val="22"/>
                <w:szCs w:val="22"/>
                <w:u w:val="none"/>
              </w:rPr>
              <w:t xml:space="preserve"> </w:t>
            </w:r>
          </w:p>
        </w:tc>
      </w:tr>
      <w:tr>
        <w:trPr>
          <w:cantSplit w:val="true"/>
        </w:trPr>
        <w:tc>
          <w:tcPr>
            <w:tcW w:w="9637" w:type="dxa"/>
            <w:gridSpan w:val="2"/>
            <w:tcBorders>
              <w:top w:val="double" w:sz="6" w:space="0" w:color="000000"/>
              <w:left w:val="double" w:sz="6" w:space="0" w:color="000000"/>
              <w:right w:val="double" w:sz="6" w:space="0" w:color="000000"/>
            </w:tcBorders>
          </w:tcPr>
          <w:p>
            <w:pPr>
              <w:pStyle w:val="Normal"/>
              <w:tabs>
                <w:tab w:val="clear" w:pos="720"/>
                <w:tab w:val="left" w:pos="3240" w:leader="none"/>
              </w:tabs>
              <w:spacing w:before="120" w:after="120"/>
              <w:ind w:hanging="3240" w:left="3240" w:right="0"/>
              <w:jc w:val="both"/>
              <w:rPr/>
            </w:pPr>
            <w:r>
              <w:rPr>
                <w:rFonts w:cs="Verdana" w:ascii="Verdana" w:hAnsi="Verdana"/>
                <w:sz w:val="22"/>
                <w:szCs w:val="22"/>
                <w:u w:val="none"/>
              </w:rPr>
              <w:t xml:space="preserve">Immediately Responsible for:    </w:t>
            </w:r>
            <w:r>
              <w:rPr>
                <w:rFonts w:cs="Verdana" w:ascii="Verdana" w:hAnsi="Verdana"/>
                <w:b w:val="false"/>
                <w:bCs/>
                <w:sz w:val="22"/>
                <w:szCs w:val="22"/>
                <w:u w:val="none"/>
              </w:rPr>
              <w:t>Service Managers, Team Managers, Staff Groups,</w:t>
            </w:r>
            <w:r>
              <w:rPr>
                <w:rFonts w:cs="Verdana" w:ascii="Verdana" w:hAnsi="Verdana"/>
                <w:sz w:val="22"/>
                <w:szCs w:val="22"/>
                <w:u w:val="none"/>
              </w:rPr>
              <w:t xml:space="preserve"> </w:t>
            </w:r>
          </w:p>
        </w:tc>
      </w:tr>
      <w:tr>
        <w:trPr>
          <w:trHeight w:val="3000" w:hRule="atLeast"/>
          <w:cantSplit w:val="true"/>
        </w:trPr>
        <w:tc>
          <w:tcPr>
            <w:tcW w:w="9637" w:type="dxa"/>
            <w:gridSpan w:val="2"/>
            <w:tcBorders>
              <w:top w:val="double" w:sz="6" w:space="0" w:color="000000"/>
              <w:left w:val="double" w:sz="6" w:space="0" w:color="000000"/>
              <w:bottom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Relationships: (Internal and External)</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Elected Members of the Council</w:t>
            </w:r>
          </w:p>
          <w:p>
            <w:pPr>
              <w:pStyle w:val="Normal"/>
              <w:spacing w:before="120" w:after="0"/>
              <w:rPr>
                <w:rFonts w:ascii="Verdana" w:hAnsi="Verdana" w:cs="Verdana"/>
                <w:b w:val="false"/>
                <w:bCs/>
                <w:sz w:val="22"/>
                <w:szCs w:val="22"/>
                <w:u w:val="none"/>
              </w:rPr>
            </w:pPr>
            <w:r>
              <w:rPr>
                <w:rFonts w:cs="Verdana" w:ascii="Verdana" w:hAnsi="Verdana"/>
                <w:b w:val="false"/>
                <w:bCs/>
                <w:sz w:val="22"/>
                <w:szCs w:val="22"/>
                <w:u w:val="none"/>
              </w:rPr>
              <w:t>Strategic Directors and Senior Officers of the Council</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Head Teachers &amp; School Governors</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Children, young people, parents &amp; carers, and the wider community</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Representatives from DfE, Ofsted and other National and regional Organisations</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Other local authorities, Police, Health Commissioners &amp; Providers, academic institutions, other public bodies</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Private, Voluntary, Community and Faith sector and statutory organisations</w:t>
            </w:r>
          </w:p>
          <w:p>
            <w:pPr>
              <w:pStyle w:val="Normal"/>
              <w:spacing w:before="120" w:after="0"/>
              <w:jc w:val="both"/>
              <w:rPr>
                <w:rFonts w:ascii="Verdana" w:hAnsi="Verdana" w:cs="Verdana"/>
                <w:b w:val="false"/>
                <w:bCs/>
                <w:sz w:val="22"/>
                <w:szCs w:val="22"/>
                <w:u w:val="none"/>
              </w:rPr>
            </w:pPr>
            <w:r>
              <w:rPr>
                <w:rFonts w:cs="Verdana" w:ascii="Verdana" w:hAnsi="Verdana"/>
                <w:b w:val="false"/>
                <w:bCs/>
                <w:sz w:val="22"/>
                <w:szCs w:val="22"/>
                <w:u w:val="none"/>
              </w:rPr>
              <w:t>Members of the General Public</w:t>
            </w:r>
          </w:p>
          <w:p>
            <w:pPr>
              <w:pStyle w:val="Normal"/>
              <w:jc w:val="both"/>
              <w:rPr>
                <w:rFonts w:ascii="Verdana" w:hAnsi="Verdana" w:cs="Verdana"/>
                <w:sz w:val="22"/>
                <w:szCs w:val="22"/>
                <w:u w:val="none"/>
              </w:rPr>
            </w:pPr>
            <w:r>
              <w:rPr>
                <w:rFonts w:cs="Verdana" w:ascii="Verdana" w:hAnsi="Verdana"/>
                <w:sz w:val="22"/>
                <w:szCs w:val="22"/>
                <w:u w:val="none"/>
              </w:rPr>
            </w:r>
          </w:p>
          <w:p>
            <w:pPr>
              <w:pStyle w:val="Normal"/>
              <w:jc w:val="both"/>
              <w:rPr>
                <w:rFonts w:ascii="Verdana" w:hAnsi="Verdana" w:cs="Verdana"/>
                <w:sz w:val="22"/>
                <w:szCs w:val="22"/>
                <w:u w:val="none"/>
              </w:rPr>
            </w:pPr>
            <w:r>
              <w:rPr>
                <w:rFonts w:cs="Verdana" w:ascii="Verdana" w:hAnsi="Verdana"/>
                <w:sz w:val="22"/>
                <w:szCs w:val="22"/>
                <w:u w:val="none"/>
              </w:rPr>
            </w:r>
          </w:p>
        </w:tc>
      </w:tr>
      <w:tr>
        <w:trPr>
          <w:trHeight w:val="1157" w:hRule="atLeast"/>
          <w:cantSplit w:val="true"/>
        </w:trPr>
        <w:tc>
          <w:tcPr>
            <w:tcW w:w="9637" w:type="dxa"/>
            <w:gridSpan w:val="2"/>
            <w:tcBorders>
              <w:left w:val="double" w:sz="6" w:space="0" w:color="000000"/>
              <w:bottom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Control of Resources:</w:t>
            </w:r>
          </w:p>
          <w:p>
            <w:pPr>
              <w:pStyle w:val="Normal"/>
              <w:spacing w:before="80" w:after="80"/>
              <w:jc w:val="both"/>
              <w:rPr>
                <w:rFonts w:ascii="Verdana" w:hAnsi="Verdana" w:cs="Verdana"/>
                <w:b w:val="false"/>
                <w:bCs/>
                <w:sz w:val="22"/>
                <w:szCs w:val="22"/>
                <w:u w:val="none"/>
              </w:rPr>
            </w:pPr>
            <w:r>
              <w:rPr>
                <w:rFonts w:cs="Verdana" w:ascii="Verdana" w:hAnsi="Verdana"/>
                <w:b w:val="false"/>
                <w:bCs/>
                <w:sz w:val="22"/>
                <w:szCs w:val="22"/>
                <w:u w:val="none"/>
              </w:rPr>
              <w:t xml:space="preserve">Management of service area(s) budgets </w:t>
            </w:r>
          </w:p>
          <w:p>
            <w:pPr>
              <w:pStyle w:val="Normal"/>
              <w:spacing w:before="80" w:after="80"/>
              <w:jc w:val="both"/>
              <w:rPr>
                <w:rFonts w:ascii="Verdana" w:hAnsi="Verdana" w:cs="Verdana"/>
                <w:b w:val="false"/>
                <w:bCs/>
                <w:sz w:val="22"/>
                <w:szCs w:val="22"/>
                <w:u w:val="none"/>
              </w:rPr>
            </w:pPr>
            <w:r>
              <w:rPr>
                <w:rFonts w:cs="Verdana" w:ascii="Verdana" w:hAnsi="Verdana"/>
                <w:b w:val="false"/>
                <w:bCs/>
                <w:sz w:val="22"/>
                <w:szCs w:val="22"/>
                <w:u w:val="none"/>
              </w:rPr>
              <w:t>Project budgets as required</w:t>
            </w:r>
          </w:p>
          <w:p>
            <w:pPr>
              <w:pStyle w:val="Normal"/>
              <w:spacing w:before="80" w:after="80"/>
              <w:jc w:val="both"/>
              <w:rPr>
                <w:rFonts w:ascii="Verdana" w:hAnsi="Verdana" w:cs="Verdana"/>
                <w:b w:val="false"/>
                <w:bCs/>
                <w:sz w:val="22"/>
                <w:szCs w:val="22"/>
                <w:u w:val="none"/>
              </w:rPr>
            </w:pPr>
            <w:r>
              <w:rPr>
                <w:rFonts w:cs="Verdana" w:ascii="Verdana" w:hAnsi="Verdana"/>
                <w:b w:val="false"/>
                <w:bCs/>
                <w:sz w:val="22"/>
                <w:szCs w:val="22"/>
                <w:u w:val="none"/>
              </w:rPr>
              <w:t>Stationery, office &amp; ICT equipment</w:t>
            </w:r>
          </w:p>
          <w:p>
            <w:pPr>
              <w:pStyle w:val="Normal"/>
              <w:spacing w:before="80" w:after="80"/>
              <w:jc w:val="both"/>
              <w:rPr>
                <w:rFonts w:ascii="Verdana" w:hAnsi="Verdana" w:cs="Verdana"/>
                <w:b w:val="false"/>
                <w:bCs/>
                <w:sz w:val="22"/>
                <w:szCs w:val="22"/>
                <w:u w:val="none"/>
              </w:rPr>
            </w:pPr>
            <w:r>
              <w:rPr>
                <w:rFonts w:cs="Verdana" w:ascii="Verdana" w:hAnsi="Verdana"/>
                <w:b w:val="false"/>
                <w:bCs/>
                <w:sz w:val="22"/>
                <w:szCs w:val="22"/>
                <w:u w:val="none"/>
              </w:rPr>
              <w:t>Laptop, mobile phone</w:t>
            </w:r>
          </w:p>
        </w:tc>
      </w:tr>
    </w:tbl>
    <w:p>
      <w:pPr>
        <w:pStyle w:val="Normal"/>
        <w:rPr>
          <w:rFonts w:ascii="Verdana" w:hAnsi="Verdana" w:cs="Verdana"/>
          <w:sz w:val="22"/>
          <w:szCs w:val="22"/>
        </w:rPr>
      </w:pPr>
      <w:r>
        <w:rPr>
          <w:rFonts w:cs="Verdana" w:ascii="Verdana" w:hAnsi="Verdana"/>
          <w:sz w:val="22"/>
          <w:szCs w:val="22"/>
        </w:rPr>
      </w:r>
    </w:p>
    <w:tbl>
      <w:tblPr>
        <w:tblW w:w="9543" w:type="dxa"/>
        <w:jc w:val="left"/>
        <w:tblInd w:w="123" w:type="dxa"/>
        <w:tblLayout w:type="fixed"/>
        <w:tblCellMar>
          <w:top w:w="0" w:type="dxa"/>
          <w:left w:w="108" w:type="dxa"/>
          <w:bottom w:w="0" w:type="dxa"/>
          <w:right w:w="108" w:type="dxa"/>
        </w:tblCellMar>
      </w:tblPr>
      <w:tblGrid>
        <w:gridCol w:w="4142"/>
        <w:gridCol w:w="3331"/>
        <w:gridCol w:w="2070"/>
      </w:tblGrid>
      <w:tr>
        <w:trPr>
          <w:trHeight w:val="12072" w:hRule="atLeast"/>
        </w:trPr>
        <w:tc>
          <w:tcPr>
            <w:tcW w:w="9543" w:type="dxa"/>
            <w:gridSpan w:val="3"/>
            <w:tcBorders>
              <w:top w:val="double" w:sz="6" w:space="0" w:color="000000"/>
              <w:left w:val="double" w:sz="6" w:space="0" w:color="000000"/>
              <w:right w:val="double" w:sz="6" w:space="0" w:color="000000"/>
            </w:tcBorders>
          </w:tcPr>
          <w:p>
            <w:pPr>
              <w:pStyle w:val="Normal"/>
              <w:spacing w:before="120" w:after="0"/>
              <w:jc w:val="both"/>
              <w:rPr>
                <w:rFonts w:ascii="Verdana" w:hAnsi="Verdana" w:cs="Verdana"/>
                <w:sz w:val="22"/>
                <w:szCs w:val="22"/>
                <w:u w:val="none"/>
              </w:rPr>
            </w:pPr>
            <w:r>
              <w:rPr>
                <w:rFonts w:cs="Verdana" w:ascii="Verdana" w:hAnsi="Verdana"/>
                <w:sz w:val="22"/>
                <w:szCs w:val="22"/>
                <w:u w:val="none"/>
              </w:rPr>
              <w:t>Duties/Responsibilities:</w:t>
            </w:r>
          </w:p>
          <w:p>
            <w:pPr>
              <w:pStyle w:val="Normal"/>
              <w:spacing w:before="120" w:after="0"/>
              <w:jc w:val="both"/>
              <w:rPr>
                <w:rFonts w:ascii="Verdana" w:hAnsi="Verdana" w:cs="Verdana"/>
                <w:sz w:val="22"/>
                <w:szCs w:val="22"/>
                <w:u w:val="none"/>
              </w:rPr>
            </w:pPr>
            <w:r>
              <w:rPr>
                <w:rFonts w:cs="Verdana" w:ascii="Verdana" w:hAnsi="Verdana"/>
                <w:sz w:val="22"/>
                <w:szCs w:val="22"/>
                <w:u w:val="none"/>
              </w:rPr>
            </w:r>
          </w:p>
          <w:p>
            <w:pPr>
              <w:pStyle w:val="Normal"/>
              <w:spacing w:before="120" w:after="120"/>
              <w:jc w:val="both"/>
              <w:rPr>
                <w:rFonts w:ascii="Verdana" w:hAnsi="Verdana" w:cs="Verdana"/>
                <w:b w:val="false"/>
                <w:bCs/>
                <w:sz w:val="22"/>
                <w:szCs w:val="22"/>
              </w:rPr>
            </w:pPr>
            <w:r>
              <w:rPr>
                <w:rFonts w:cs="Verdana" w:ascii="Verdana" w:hAnsi="Verdana"/>
                <w:b w:val="false"/>
                <w:bCs/>
                <w:sz w:val="22"/>
                <w:szCs w:val="22"/>
              </w:rPr>
              <w:t>Strategic Leadership &amp; Management</w:t>
            </w:r>
          </w:p>
          <w:p>
            <w:pPr>
              <w:pStyle w:val="Normal"/>
              <w:numPr>
                <w:ilvl w:val="0"/>
                <w:numId w:val="2"/>
              </w:numPr>
              <w:spacing w:before="0" w:after="120"/>
              <w:ind w:hanging="357" w:left="714" w:right="0"/>
              <w:jc w:val="both"/>
              <w:rPr/>
            </w:pPr>
            <w:r>
              <w:rPr>
                <w:rFonts w:cs="Verdana" w:ascii="Verdana" w:hAnsi="Verdana"/>
                <w:b w:val="false"/>
                <w:bCs/>
                <w:color w:val="000000"/>
                <w:sz w:val="22"/>
                <w:szCs w:val="22"/>
                <w:u w:val="none"/>
              </w:rPr>
              <w:t>Strategically lead and manage allocated service areas.</w:t>
            </w:r>
          </w:p>
          <w:p>
            <w:pPr>
              <w:pStyle w:val="Normal"/>
              <w:numPr>
                <w:ilvl w:val="0"/>
                <w:numId w:val="2"/>
              </w:numPr>
              <w:spacing w:before="0" w:after="120"/>
              <w:ind w:hanging="357" w:left="714" w:right="0"/>
              <w:jc w:val="both"/>
              <w:rPr/>
            </w:pPr>
            <w:r>
              <w:rPr>
                <w:rFonts w:cs="Verdana" w:ascii="Verdana" w:hAnsi="Verdana"/>
                <w:b w:val="false"/>
                <w:bCs/>
                <w:color w:val="000000"/>
                <w:sz w:val="22"/>
                <w:szCs w:val="22"/>
                <w:u w:val="none"/>
              </w:rPr>
              <w:t>Lead on the transformation and change management across the Department.</w:t>
            </w:r>
          </w:p>
          <w:p>
            <w:pPr>
              <w:pStyle w:val="Normal"/>
              <w:numPr>
                <w:ilvl w:val="0"/>
                <w:numId w:val="2"/>
              </w:numPr>
              <w:spacing w:before="0" w:after="120"/>
              <w:ind w:hanging="357" w:left="714" w:right="0"/>
              <w:jc w:val="both"/>
              <w:rPr/>
            </w:pPr>
            <w:r>
              <w:rPr>
                <w:rFonts w:cs="Verdana" w:ascii="Verdana" w:hAnsi="Verdana"/>
                <w:b w:val="false"/>
                <w:bCs/>
                <w:color w:val="000000"/>
                <w:sz w:val="22"/>
                <w:szCs w:val="22"/>
                <w:u w:val="none"/>
              </w:rPr>
              <w:t>Significantly contribute to the strategic management of the Children &amp; Young People Department as a member of the Senior Leadership Group Team.</w:t>
            </w:r>
          </w:p>
          <w:p>
            <w:pPr>
              <w:pStyle w:val="Normal"/>
              <w:numPr>
                <w:ilvl w:val="0"/>
                <w:numId w:val="2"/>
              </w:numPr>
              <w:spacing w:before="0" w:after="120"/>
              <w:ind w:hanging="357" w:left="714" w:right="0"/>
              <w:jc w:val="both"/>
              <w:rPr/>
            </w:pPr>
            <w:r>
              <w:rPr>
                <w:rFonts w:cs="Verdana" w:ascii="Verdana" w:hAnsi="Verdana"/>
                <w:b w:val="false"/>
                <w:bCs/>
                <w:color w:val="000000"/>
                <w:sz w:val="22"/>
                <w:szCs w:val="22"/>
                <w:u w:val="none"/>
              </w:rPr>
              <w:t xml:space="preserve">Develop and deliver service development plans, ensuring alignment with the broader strategic aims of the Department and the Council. </w:t>
            </w:r>
          </w:p>
          <w:p>
            <w:pPr>
              <w:pStyle w:val="Normal"/>
              <w:numPr>
                <w:ilvl w:val="0"/>
                <w:numId w:val="2"/>
              </w:numPr>
              <w:spacing w:before="0" w:after="120"/>
              <w:ind w:hanging="357" w:left="714" w:right="0"/>
              <w:jc w:val="both"/>
              <w:rPr/>
            </w:pPr>
            <w:r>
              <w:rPr>
                <w:rFonts w:cs="Verdana" w:ascii="Verdana" w:hAnsi="Verdana"/>
                <w:b w:val="false"/>
                <w:bCs/>
                <w:color w:val="000000"/>
                <w:sz w:val="22"/>
                <w:szCs w:val="22"/>
                <w:u w:val="none"/>
              </w:rPr>
              <w:t>Ensure delivery of the overall vision, values and strategic objectives of the Department and the Council.</w:t>
            </w:r>
          </w:p>
          <w:p>
            <w:pPr>
              <w:pStyle w:val="Normal"/>
              <w:numPr>
                <w:ilvl w:val="0"/>
                <w:numId w:val="2"/>
              </w:numPr>
              <w:spacing w:before="0" w:after="120"/>
              <w:ind w:hanging="357" w:left="714" w:right="0"/>
              <w:jc w:val="both"/>
              <w:rPr/>
            </w:pPr>
            <w:r>
              <w:rPr>
                <w:rFonts w:cs="Verdana" w:ascii="Verdana" w:hAnsi="Verdana"/>
                <w:b w:val="false"/>
                <w:bCs/>
                <w:color w:val="000000"/>
                <w:sz w:val="22"/>
                <w:szCs w:val="22"/>
                <w:u w:val="none"/>
              </w:rPr>
              <w:t>Engage with and contribute to regional and national initiatives and groups that impact upon the work of the Social Care Division.</w:t>
            </w:r>
          </w:p>
          <w:p>
            <w:pPr>
              <w:pStyle w:val="Normal"/>
              <w:numPr>
                <w:ilvl w:val="0"/>
                <w:numId w:val="2"/>
              </w:numPr>
              <w:spacing w:before="0" w:after="120"/>
              <w:ind w:hanging="357" w:left="714" w:right="0"/>
              <w:jc w:val="both"/>
              <w:rPr/>
            </w:pPr>
            <w:r>
              <w:rPr>
                <w:rFonts w:cs="Verdana" w:ascii="Verdana" w:hAnsi="Verdana"/>
                <w:b w:val="false"/>
                <w:bCs/>
                <w:color w:val="000000"/>
                <w:sz w:val="22"/>
                <w:szCs w:val="22"/>
                <w:u w:val="none"/>
              </w:rPr>
              <w:t>Support &amp; foster the development of a positive, forward looking, outcome  and customer focused Department.</w:t>
            </w:r>
          </w:p>
          <w:p>
            <w:pPr>
              <w:pStyle w:val="Normal"/>
              <w:numPr>
                <w:ilvl w:val="0"/>
                <w:numId w:val="2"/>
              </w:numPr>
              <w:spacing w:before="0" w:after="120"/>
              <w:ind w:hanging="357" w:left="714" w:right="0"/>
              <w:jc w:val="both"/>
              <w:rPr/>
            </w:pPr>
            <w:r>
              <w:rPr>
                <w:rFonts w:cs="Verdana" w:ascii="Verdana" w:hAnsi="Verdana"/>
                <w:b w:val="false"/>
                <w:bCs/>
                <w:color w:val="000000"/>
                <w:sz w:val="22"/>
                <w:szCs w:val="22"/>
                <w:u w:val="none"/>
              </w:rPr>
              <w:t xml:space="preserve">Advise and brief elected members, through formal and informal mechanisms, as required. </w:t>
            </w:r>
          </w:p>
          <w:p>
            <w:pPr>
              <w:pStyle w:val="Normal"/>
              <w:spacing w:before="120" w:after="120"/>
              <w:jc w:val="both"/>
              <w:rPr>
                <w:rFonts w:ascii="Verdana" w:hAnsi="Verdana" w:cs="Verdana"/>
                <w:b w:val="false"/>
                <w:bCs/>
                <w:color w:val="000000"/>
                <w:sz w:val="22"/>
                <w:szCs w:val="22"/>
              </w:rPr>
            </w:pPr>
            <w:r>
              <w:rPr>
                <w:rFonts w:cs="Verdana" w:ascii="Verdana" w:hAnsi="Verdana"/>
                <w:b w:val="false"/>
                <w:bCs/>
                <w:color w:val="000000"/>
                <w:sz w:val="22"/>
                <w:szCs w:val="22"/>
              </w:rPr>
              <w:t>Service Quality &amp; Development</w:t>
            </w:r>
          </w:p>
          <w:p>
            <w:pPr>
              <w:pStyle w:val="Normal"/>
              <w:numPr>
                <w:ilvl w:val="0"/>
                <w:numId w:val="3"/>
              </w:numPr>
              <w:spacing w:before="0" w:after="120"/>
              <w:jc w:val="both"/>
              <w:rPr/>
            </w:pPr>
            <w:r>
              <w:rPr>
                <w:rFonts w:cs="Verdana" w:ascii="Verdana" w:hAnsi="Verdana"/>
                <w:b w:val="false"/>
                <w:bCs/>
                <w:sz w:val="22"/>
                <w:szCs w:val="22"/>
                <w:u w:val="none"/>
              </w:rPr>
              <w:t>Ensure all activities within the Department are delivered in accordance with legislative, regulatory, and other relevant national standards.</w:t>
            </w:r>
          </w:p>
          <w:p>
            <w:pPr>
              <w:pStyle w:val="Normal"/>
              <w:numPr>
                <w:ilvl w:val="0"/>
                <w:numId w:val="3"/>
              </w:numPr>
              <w:spacing w:before="0" w:after="120"/>
              <w:ind w:hanging="357" w:left="714" w:right="0"/>
              <w:jc w:val="both"/>
              <w:rPr/>
            </w:pPr>
            <w:r>
              <w:rPr>
                <w:rFonts w:cs="Verdana" w:ascii="Verdana" w:hAnsi="Verdana"/>
                <w:b w:val="false"/>
                <w:bCs/>
                <w:sz w:val="22"/>
                <w:szCs w:val="22"/>
                <w:u w:val="none"/>
              </w:rPr>
              <w:t>Operate and implement effective performance management frameworks to ensure services are delivered in an effective, efficient, and ethical manner, including the identification of key performance indicators and the management of appropriate actions to address under performance and enhance positive outcomes.</w:t>
            </w:r>
          </w:p>
          <w:p>
            <w:pPr>
              <w:pStyle w:val="Normal"/>
              <w:numPr>
                <w:ilvl w:val="0"/>
                <w:numId w:val="3"/>
              </w:numPr>
              <w:spacing w:before="0" w:after="120"/>
              <w:jc w:val="both"/>
              <w:rPr/>
            </w:pPr>
            <w:r>
              <w:rPr>
                <w:rFonts w:cs="Verdana" w:ascii="Verdana" w:hAnsi="Verdana"/>
                <w:b w:val="false"/>
                <w:bCs/>
                <w:sz w:val="22"/>
                <w:szCs w:val="22"/>
                <w:u w:val="none"/>
              </w:rPr>
              <w:t xml:space="preserve">Investigate and act upon complaints and other feedback in accordance with policy &amp; procedure.   </w:t>
            </w:r>
          </w:p>
          <w:p>
            <w:pPr>
              <w:pStyle w:val="Normal"/>
              <w:numPr>
                <w:ilvl w:val="0"/>
                <w:numId w:val="2"/>
              </w:numPr>
              <w:spacing w:before="0" w:after="120"/>
              <w:jc w:val="both"/>
              <w:rPr/>
            </w:pPr>
            <w:r>
              <w:rPr>
                <w:rFonts w:cs="Verdana" w:ascii="Verdana" w:hAnsi="Verdana"/>
                <w:b w:val="false"/>
                <w:bCs/>
                <w:color w:val="000000"/>
                <w:spacing w:val="-2"/>
                <w:sz w:val="22"/>
                <w:szCs w:val="22"/>
                <w:u w:val="none"/>
              </w:rPr>
              <w:t xml:space="preserve">Lead of the management, development and implementation of new systems, processes, procedures and working practices within the Department. </w:t>
            </w:r>
          </w:p>
          <w:p>
            <w:pPr>
              <w:pStyle w:val="Normal"/>
              <w:numPr>
                <w:ilvl w:val="0"/>
                <w:numId w:val="2"/>
              </w:numPr>
              <w:spacing w:before="0" w:after="120"/>
              <w:jc w:val="both"/>
              <w:rPr/>
            </w:pPr>
            <w:r>
              <w:rPr>
                <w:rFonts w:cs="Verdana" w:ascii="Verdana" w:hAnsi="Verdana"/>
                <w:b w:val="false"/>
                <w:bCs/>
                <w:color w:val="000000"/>
                <w:spacing w:val="-2"/>
                <w:sz w:val="22"/>
                <w:szCs w:val="22"/>
                <w:u w:val="none"/>
              </w:rPr>
              <w:t>Lead and contribute to project and other working groups with the Department and Council.</w:t>
            </w:r>
          </w:p>
          <w:p>
            <w:pPr>
              <w:pStyle w:val="Normal"/>
              <w:tabs>
                <w:tab w:val="clear" w:pos="720"/>
                <w:tab w:val="left" w:pos="-720" w:leader="none"/>
              </w:tabs>
              <w:suppressAutoHyphens w:val="true"/>
              <w:rPr>
                <w:rFonts w:ascii="Verdana" w:hAnsi="Verdana" w:cs="Verdana"/>
                <w:b w:val="false"/>
                <w:bCs/>
                <w:color w:val="000000"/>
                <w:spacing w:val="-2"/>
                <w:sz w:val="22"/>
                <w:szCs w:val="22"/>
                <w:u w:val="none"/>
              </w:rPr>
            </w:pPr>
            <w:r>
              <w:rPr>
                <w:rFonts w:cs="Verdana" w:ascii="Verdana" w:hAnsi="Verdana"/>
                <w:b w:val="false"/>
                <w:bCs/>
                <w:color w:val="000000"/>
                <w:spacing w:val="-2"/>
                <w:sz w:val="22"/>
                <w:szCs w:val="22"/>
                <w:u w:val="none"/>
              </w:rPr>
            </w:r>
          </w:p>
          <w:p>
            <w:pPr>
              <w:pStyle w:val="Normal"/>
              <w:tabs>
                <w:tab w:val="clear" w:pos="720"/>
                <w:tab w:val="left" w:pos="-720" w:leader="none"/>
              </w:tabs>
              <w:suppressAutoHyphens w:val="true"/>
              <w:rPr>
                <w:rFonts w:ascii="Verdana" w:hAnsi="Verdana" w:cs="Verdana"/>
                <w:b w:val="false"/>
                <w:bCs/>
                <w:color w:val="000000"/>
                <w:spacing w:val="-2"/>
                <w:sz w:val="22"/>
                <w:szCs w:val="22"/>
              </w:rPr>
            </w:pPr>
            <w:r>
              <w:rPr>
                <w:rFonts w:cs="Verdana" w:ascii="Verdana" w:hAnsi="Verdana"/>
                <w:b w:val="false"/>
                <w:bCs/>
                <w:color w:val="000000"/>
                <w:spacing w:val="-2"/>
                <w:sz w:val="22"/>
                <w:szCs w:val="22"/>
              </w:rPr>
              <w:t>Operational Management</w:t>
            </w:r>
          </w:p>
          <w:p>
            <w:pPr>
              <w:pStyle w:val="Normal"/>
              <w:tabs>
                <w:tab w:val="clear" w:pos="720"/>
                <w:tab w:val="left" w:pos="-720" w:leader="none"/>
              </w:tabs>
              <w:suppressAutoHyphens w:val="true"/>
              <w:rPr>
                <w:rFonts w:ascii="Verdana" w:hAnsi="Verdana" w:cs="Verdana"/>
                <w:b w:val="false"/>
                <w:bCs/>
                <w:color w:val="000000"/>
                <w:spacing w:val="-2"/>
                <w:sz w:val="22"/>
                <w:szCs w:val="22"/>
                <w:u w:val="none"/>
              </w:rPr>
            </w:pPr>
            <w:r>
              <w:rPr>
                <w:rFonts w:cs="Verdana" w:ascii="Verdana" w:hAnsi="Verdana"/>
                <w:b w:val="false"/>
                <w:bCs/>
                <w:color w:val="000000"/>
                <w:spacing w:val="-2"/>
                <w:sz w:val="22"/>
                <w:szCs w:val="22"/>
                <w:u w:val="none"/>
              </w:rPr>
            </w:r>
          </w:p>
          <w:p>
            <w:pPr>
              <w:pStyle w:val="Normal"/>
              <w:numPr>
                <w:ilvl w:val="0"/>
                <w:numId w:val="2"/>
              </w:numPr>
              <w:spacing w:before="0" w:after="120"/>
              <w:jc w:val="both"/>
              <w:rPr/>
            </w:pPr>
            <w:r>
              <w:rPr>
                <w:rFonts w:cs="Verdana" w:ascii="Verdana" w:hAnsi="Verdana"/>
                <w:b w:val="false"/>
                <w:bCs/>
                <w:color w:val="000000"/>
                <w:sz w:val="22"/>
                <w:szCs w:val="22"/>
                <w:u w:val="none"/>
              </w:rPr>
              <w:t>Operationally lead and manage Service Manages and Team Managers</w:t>
            </w:r>
            <w:r>
              <w:rPr>
                <w:rFonts w:cs="Verdana" w:ascii="Verdana" w:hAnsi="Verdana"/>
                <w:b w:val="false"/>
                <w:bCs/>
                <w:color w:val="FF0000"/>
                <w:sz w:val="22"/>
                <w:szCs w:val="22"/>
                <w:u w:val="none"/>
              </w:rPr>
              <w:t xml:space="preserve"> </w:t>
            </w:r>
            <w:r>
              <w:rPr>
                <w:rFonts w:cs="Verdana" w:ascii="Verdana" w:hAnsi="Verdana"/>
                <w:b w:val="false"/>
                <w:bCs/>
                <w:sz w:val="22"/>
                <w:szCs w:val="22"/>
                <w:u w:val="none"/>
              </w:rPr>
              <w:t>across service areas.</w:t>
            </w:r>
          </w:p>
          <w:p>
            <w:pPr>
              <w:pStyle w:val="Normal"/>
              <w:numPr>
                <w:ilvl w:val="0"/>
                <w:numId w:val="2"/>
              </w:numPr>
              <w:spacing w:before="0" w:after="120"/>
              <w:jc w:val="both"/>
              <w:rPr/>
            </w:pPr>
            <w:r>
              <w:rPr>
                <w:rFonts w:cs="Verdana" w:ascii="Verdana" w:hAnsi="Verdana"/>
                <w:b w:val="false"/>
                <w:bCs/>
                <w:color w:val="000000"/>
                <w:spacing w:val="-2"/>
                <w:sz w:val="22"/>
                <w:szCs w:val="22"/>
                <w:u w:val="none"/>
              </w:rPr>
              <w:t>Undertake appraisal and performance management of reporting service managers.</w:t>
            </w:r>
          </w:p>
          <w:p>
            <w:pPr>
              <w:pStyle w:val="Normal"/>
              <w:numPr>
                <w:ilvl w:val="0"/>
                <w:numId w:val="2"/>
              </w:numPr>
              <w:spacing w:before="0" w:after="120"/>
              <w:jc w:val="both"/>
              <w:rPr/>
            </w:pPr>
            <w:r>
              <w:rPr>
                <w:rFonts w:cs="Verdana" w:ascii="Verdana" w:hAnsi="Verdana"/>
                <w:b w:val="false"/>
                <w:bCs/>
                <w:color w:val="000000"/>
                <w:spacing w:val="-2"/>
                <w:sz w:val="22"/>
                <w:szCs w:val="22"/>
                <w:u w:val="none"/>
              </w:rPr>
              <w:t xml:space="preserve">Ensure appropriate CPD opportunities are available to staff, and that these contribute to the effective performance and development of the Department. </w:t>
            </w:r>
          </w:p>
          <w:p>
            <w:pPr>
              <w:pStyle w:val="Normal"/>
              <w:numPr>
                <w:ilvl w:val="0"/>
                <w:numId w:val="2"/>
              </w:numPr>
              <w:spacing w:before="0" w:after="120"/>
              <w:jc w:val="both"/>
              <w:rPr/>
            </w:pPr>
            <w:r>
              <w:rPr>
                <w:rFonts w:cs="Verdana" w:ascii="Verdana" w:hAnsi="Verdana"/>
                <w:b w:val="false"/>
                <w:bCs/>
                <w:color w:val="000000"/>
                <w:spacing w:val="-2"/>
                <w:sz w:val="22"/>
                <w:szCs w:val="22"/>
                <w:u w:val="none"/>
              </w:rPr>
              <w:t>Regularly review the Departmental staffing establishment and structures to ensure alignment with service requirements.</w:t>
            </w:r>
          </w:p>
          <w:p>
            <w:pPr>
              <w:pStyle w:val="Normal"/>
              <w:numPr>
                <w:ilvl w:val="0"/>
                <w:numId w:val="2"/>
              </w:numPr>
              <w:spacing w:before="0" w:after="120"/>
              <w:jc w:val="both"/>
              <w:rPr/>
            </w:pPr>
            <w:r>
              <w:rPr>
                <w:rFonts w:cs="Verdana" w:ascii="Verdana" w:hAnsi="Verdana"/>
                <w:b w:val="false"/>
                <w:bCs/>
                <w:color w:val="000000"/>
                <w:spacing w:val="-2"/>
                <w:sz w:val="22"/>
                <w:szCs w:val="22"/>
                <w:u w:val="none"/>
              </w:rPr>
              <w:t>Manage budgets within service areas, ensuring efficient and effective and controlled use of expenditure.</w:t>
            </w:r>
          </w:p>
          <w:p>
            <w:pPr>
              <w:pStyle w:val="Normal"/>
              <w:numPr>
                <w:ilvl w:val="0"/>
                <w:numId w:val="2"/>
              </w:numPr>
              <w:spacing w:before="0" w:after="120"/>
              <w:jc w:val="both"/>
              <w:rPr/>
            </w:pPr>
            <w:r>
              <w:rPr>
                <w:rFonts w:cs="Verdana" w:ascii="Verdana" w:hAnsi="Verdana"/>
                <w:b w:val="false"/>
                <w:bCs/>
                <w:color w:val="000000"/>
                <w:spacing w:val="-2"/>
                <w:sz w:val="22"/>
                <w:szCs w:val="22"/>
                <w:u w:val="none"/>
              </w:rPr>
              <w:t>Undertake the commissioning of services.</w:t>
            </w:r>
          </w:p>
          <w:p>
            <w:pPr>
              <w:pStyle w:val="Normal"/>
              <w:numPr>
                <w:ilvl w:val="0"/>
                <w:numId w:val="2"/>
              </w:numPr>
              <w:spacing w:before="0" w:after="120"/>
              <w:jc w:val="both"/>
              <w:rPr/>
            </w:pPr>
            <w:r>
              <w:rPr>
                <w:rFonts w:cs="Verdana" w:ascii="Verdana" w:hAnsi="Verdana"/>
                <w:b w:val="false"/>
                <w:bCs/>
                <w:color w:val="000000"/>
                <w:spacing w:val="-2"/>
                <w:sz w:val="22"/>
                <w:szCs w:val="22"/>
                <w:u w:val="none"/>
              </w:rPr>
              <w:t>Effectively manage risk within the Department.</w:t>
            </w:r>
          </w:p>
          <w:p>
            <w:pPr>
              <w:pStyle w:val="Normal"/>
              <w:numPr>
                <w:ilvl w:val="0"/>
                <w:numId w:val="2"/>
              </w:numPr>
              <w:spacing w:before="0" w:after="120"/>
              <w:jc w:val="both"/>
              <w:rPr/>
            </w:pPr>
            <w:r>
              <w:rPr>
                <w:rFonts w:cs="Verdana" w:ascii="Verdana" w:hAnsi="Verdana"/>
                <w:b w:val="false"/>
                <w:bCs/>
                <w:color w:val="000000"/>
                <w:spacing w:val="-2"/>
                <w:sz w:val="22"/>
                <w:szCs w:val="22"/>
                <w:u w:val="none"/>
              </w:rPr>
              <w:t>Be accountable for assigned service areas, providing reports to Senior Officers and Elected Members as required.</w:t>
            </w:r>
          </w:p>
          <w:p>
            <w:pPr>
              <w:pStyle w:val="Normal"/>
              <w:numPr>
                <w:ilvl w:val="0"/>
                <w:numId w:val="2"/>
              </w:numPr>
              <w:spacing w:before="0" w:after="120"/>
              <w:jc w:val="both"/>
              <w:rPr/>
            </w:pPr>
            <w:r>
              <w:rPr>
                <w:rFonts w:cs="Verdana" w:ascii="Verdana" w:hAnsi="Verdana"/>
                <w:b w:val="false"/>
                <w:bCs/>
                <w:color w:val="000000"/>
                <w:spacing w:val="-2"/>
                <w:sz w:val="22"/>
                <w:szCs w:val="22"/>
                <w:u w:val="none"/>
              </w:rPr>
              <w:t>Chair formal panels to hear cases brought under disciplinary, capability and grievance procedures.</w:t>
            </w:r>
          </w:p>
          <w:p>
            <w:pPr>
              <w:pStyle w:val="Normal"/>
              <w:numPr>
                <w:ilvl w:val="0"/>
                <w:numId w:val="2"/>
              </w:numPr>
              <w:spacing w:before="0" w:after="120"/>
              <w:jc w:val="both"/>
              <w:rPr/>
            </w:pPr>
            <w:r>
              <w:rPr>
                <w:rFonts w:cs="Verdana" w:ascii="Verdana" w:hAnsi="Verdana"/>
                <w:b w:val="false"/>
                <w:bCs/>
                <w:color w:val="000000"/>
                <w:spacing w:val="-2"/>
                <w:sz w:val="22"/>
                <w:szCs w:val="22"/>
                <w:u w:val="none"/>
              </w:rPr>
              <w:t xml:space="preserve">Manage and respond to media enquiries and act as an official spokesperson for the Department &amp; Council. </w:t>
            </w:r>
          </w:p>
          <w:p>
            <w:pPr>
              <w:pStyle w:val="Normal"/>
              <w:tabs>
                <w:tab w:val="clear" w:pos="720"/>
                <w:tab w:val="left" w:pos="-720" w:leader="none"/>
              </w:tabs>
              <w:suppressAutoHyphens w:val="true"/>
              <w:rPr>
                <w:rFonts w:ascii="Verdana" w:hAnsi="Verdana" w:cs="Verdana"/>
                <w:b w:val="false"/>
                <w:bCs/>
                <w:color w:val="000000"/>
                <w:sz w:val="22"/>
                <w:szCs w:val="22"/>
                <w:u w:val="none"/>
              </w:rPr>
            </w:pPr>
            <w:r>
              <w:rPr>
                <w:rFonts w:cs="Verdana" w:ascii="Verdana" w:hAnsi="Verdana"/>
                <w:b w:val="false"/>
                <w:bCs/>
                <w:color w:val="000000"/>
                <w:sz w:val="22"/>
                <w:szCs w:val="22"/>
                <w:u w:val="none"/>
              </w:rPr>
            </w:r>
          </w:p>
          <w:p>
            <w:pPr>
              <w:pStyle w:val="Normal"/>
              <w:widowControl w:val="false"/>
              <w:rPr>
                <w:rFonts w:ascii="Verdana" w:hAnsi="Verdana" w:cs="Verdana"/>
                <w:b w:val="false"/>
                <w:bCs/>
                <w:color w:val="000000"/>
                <w:sz w:val="22"/>
                <w:szCs w:val="22"/>
              </w:rPr>
            </w:pPr>
            <w:r>
              <w:rPr>
                <w:rFonts w:cs="Verdana" w:ascii="Verdana" w:hAnsi="Verdana"/>
                <w:b w:val="false"/>
                <w:bCs/>
                <w:color w:val="000000"/>
                <w:sz w:val="22"/>
                <w:szCs w:val="22"/>
              </w:rPr>
              <w:t>General</w:t>
            </w:r>
          </w:p>
          <w:p>
            <w:pPr>
              <w:pStyle w:val="Normal"/>
              <w:widowControl w:val="false"/>
              <w:rPr>
                <w:rFonts w:ascii="Verdana" w:hAnsi="Verdana" w:cs="Verdana"/>
                <w:b w:val="false"/>
                <w:bCs/>
                <w:color w:val="000000"/>
                <w:sz w:val="22"/>
                <w:szCs w:val="22"/>
                <w:u w:val="none"/>
              </w:rPr>
            </w:pPr>
            <w:r>
              <w:rPr>
                <w:rFonts w:cs="Verdana" w:ascii="Verdana" w:hAnsi="Verdana"/>
                <w:b w:val="false"/>
                <w:bCs/>
                <w:color w:val="000000"/>
                <w:sz w:val="22"/>
                <w:szCs w:val="22"/>
                <w:u w:val="none"/>
              </w:rPr>
            </w:r>
          </w:p>
          <w:p>
            <w:pPr>
              <w:pStyle w:val="Normal"/>
              <w:numPr>
                <w:ilvl w:val="0"/>
                <w:numId w:val="3"/>
              </w:numPr>
              <w:spacing w:before="0" w:after="120"/>
              <w:ind w:hanging="357" w:left="714" w:right="0"/>
              <w:jc w:val="both"/>
              <w:rPr/>
            </w:pPr>
            <w:r>
              <w:rPr>
                <w:rFonts w:cs="Verdana" w:ascii="Verdana" w:hAnsi="Verdana"/>
                <w:b w:val="false"/>
                <w:bCs/>
                <w:sz w:val="22"/>
                <w:szCs w:val="22"/>
                <w:u w:val="none"/>
              </w:rPr>
              <w:t>As an employee of Bury Council you have a responsibility for, and must be committed to, safeguarding, and promoting the welfare of children, young people, and vulnerable adults and for ensuring that they are protected from harm.</w:t>
            </w:r>
          </w:p>
          <w:p>
            <w:pPr>
              <w:pStyle w:val="Normal"/>
              <w:numPr>
                <w:ilvl w:val="0"/>
                <w:numId w:val="3"/>
              </w:numPr>
              <w:spacing w:before="0" w:after="120"/>
              <w:ind w:hanging="357" w:left="714" w:right="0"/>
              <w:jc w:val="both"/>
              <w:rPr/>
            </w:pPr>
            <w:r>
              <w:rPr>
                <w:rFonts w:cs="Verdana" w:ascii="Verdana" w:hAnsi="Verdana"/>
                <w:b w:val="false"/>
                <w:bCs/>
                <w:sz w:val="22"/>
                <w:szCs w:val="22"/>
                <w:u w:val="none"/>
              </w:rPr>
              <w:t>Bury Council is committed to equality, diversity, and inclusion, and expects all staff to comply with its equality related policies/procedures, and to treat others with fairness and respect.</w:t>
            </w:r>
          </w:p>
          <w:p>
            <w:pPr>
              <w:pStyle w:val="Normal"/>
              <w:numPr>
                <w:ilvl w:val="0"/>
                <w:numId w:val="3"/>
              </w:numPr>
              <w:spacing w:before="0" w:after="120"/>
              <w:ind w:hanging="357" w:left="714" w:right="0"/>
              <w:jc w:val="both"/>
              <w:rPr/>
            </w:pPr>
            <w:r>
              <w:rPr>
                <w:rFonts w:cs="Verdana" w:ascii="Verdana" w:hAnsi="Verdana"/>
                <w:b w:val="false"/>
                <w:bCs/>
                <w:sz w:val="22"/>
                <w:szCs w:val="22"/>
                <w:u w:val="none"/>
              </w:rPr>
              <w:t>The post holder is responsible for Employees Duties as specified with the Corporate and Departmental Health and Safety Policies.</w:t>
            </w:r>
          </w:p>
          <w:p>
            <w:pPr>
              <w:pStyle w:val="Normal"/>
              <w:numPr>
                <w:ilvl w:val="0"/>
                <w:numId w:val="3"/>
              </w:numPr>
              <w:spacing w:before="0" w:after="120"/>
              <w:ind w:hanging="357" w:left="714" w:right="0"/>
              <w:jc w:val="both"/>
              <w:rPr/>
            </w:pPr>
            <w:r>
              <w:rPr>
                <w:rFonts w:cs="Verdana" w:ascii="Verdana" w:hAnsi="Verdana"/>
                <w:b w:val="false"/>
                <w:bCs/>
                <w:sz w:val="22"/>
                <w:szCs w:val="22"/>
                <w:u w:val="none"/>
              </w:rPr>
              <w:t>As an employee of Bury Council you should contribute to a culture that values and supports the physical and emotional wellbeing of your colleagues.</w:t>
            </w:r>
          </w:p>
          <w:p>
            <w:pPr>
              <w:pStyle w:val="Normal"/>
              <w:numPr>
                <w:ilvl w:val="0"/>
                <w:numId w:val="3"/>
              </w:numPr>
              <w:spacing w:before="0" w:after="120"/>
              <w:ind w:hanging="357" w:left="714" w:right="0"/>
              <w:jc w:val="both"/>
              <w:rPr/>
            </w:pPr>
            <w:r>
              <w:rPr>
                <w:rFonts w:cs="Verdana" w:ascii="Verdana" w:hAnsi="Verdana"/>
                <w:b w:val="false"/>
                <w:bCs/>
                <w:sz w:val="22"/>
                <w:szCs w:val="22"/>
                <w:u w:val="none"/>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p>
            <w:pPr>
              <w:pStyle w:val="Normal"/>
              <w:spacing w:before="120" w:after="0"/>
              <w:ind w:left="284" w:right="0"/>
              <w:jc w:val="both"/>
              <w:rPr>
                <w:rFonts w:ascii="Verdana" w:hAnsi="Verdana" w:cs="Verdana"/>
                <w:sz w:val="22"/>
                <w:szCs w:val="22"/>
                <w:u w:val="none"/>
              </w:rPr>
            </w:pPr>
            <w:r>
              <w:rPr>
                <w:rFonts w:cs="Verdana" w:ascii="Verdana" w:hAnsi="Verdana"/>
                <w:sz w:val="22"/>
                <w:szCs w:val="22"/>
                <w:u w:val="none"/>
              </w:rPr>
            </w:r>
          </w:p>
        </w:tc>
      </w:tr>
      <w:tr>
        <w:trPr>
          <w:trHeight w:val="165" w:hRule="atLeast"/>
          <w:cantSplit w:val="true"/>
        </w:trPr>
        <w:tc>
          <w:tcPr>
            <w:tcW w:w="9543" w:type="dxa"/>
            <w:gridSpan w:val="3"/>
            <w:tcBorders>
              <w:top w:val="double" w:sz="6" w:space="0" w:color="000000"/>
              <w:left w:val="double" w:sz="6" w:space="0" w:color="000000"/>
              <w:right w:val="double" w:sz="6" w:space="0" w:color="000000"/>
            </w:tcBorders>
          </w:tcPr>
          <w:p>
            <w:pPr>
              <w:pStyle w:val="Normal"/>
              <w:snapToGrid w:val="false"/>
              <w:rPr>
                <w:rFonts w:ascii="Verdana" w:hAnsi="Verdana" w:cs="Verdana"/>
                <w:sz w:val="22"/>
                <w:szCs w:val="22"/>
                <w:u w:val="none"/>
              </w:rPr>
            </w:pPr>
            <w:r>
              <w:rPr>
                <w:rFonts w:cs="Verdana" w:ascii="Verdana" w:hAnsi="Verdana"/>
                <w:sz w:val="22"/>
                <w:szCs w:val="22"/>
                <w:u w:val="none"/>
              </w:rPr>
            </w:r>
          </w:p>
        </w:tc>
      </w:tr>
      <w:tr>
        <w:trPr>
          <w:cantSplit w:val="true"/>
        </w:trPr>
        <w:tc>
          <w:tcPr>
            <w:tcW w:w="4142" w:type="dxa"/>
            <w:tcBorders>
              <w:top w:val="double" w:sz="6" w:space="0" w:color="000000"/>
              <w:left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Job Description prepared by:</w:t>
            </w:r>
          </w:p>
        </w:tc>
        <w:tc>
          <w:tcPr>
            <w:tcW w:w="3331" w:type="dxa"/>
            <w:tcBorders>
              <w:top w:val="double" w:sz="6" w:space="0" w:color="000000"/>
              <w:left w:val="double" w:sz="6" w:space="0" w:color="000000"/>
              <w:right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Sign:</w:t>
            </w:r>
          </w:p>
        </w:tc>
        <w:tc>
          <w:tcPr>
            <w:tcW w:w="2070" w:type="dxa"/>
            <w:tcBorders>
              <w:top w:val="double" w:sz="6" w:space="0" w:color="000000"/>
              <w:bottom w:val="double" w:sz="6" w:space="0" w:color="000000"/>
              <w:right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Date:</w:t>
            </w:r>
          </w:p>
        </w:tc>
      </w:tr>
      <w:tr>
        <w:trPr>
          <w:cantSplit w:val="true"/>
        </w:trPr>
        <w:tc>
          <w:tcPr>
            <w:tcW w:w="4142" w:type="dxa"/>
            <w:tcBorders>
              <w:top w:val="double" w:sz="6" w:space="0" w:color="000000"/>
              <w:left w:val="double" w:sz="6" w:space="0" w:color="000000"/>
              <w:bottom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Agreed correct by Postholder:</w:t>
            </w:r>
          </w:p>
        </w:tc>
        <w:tc>
          <w:tcPr>
            <w:tcW w:w="3331" w:type="dxa"/>
            <w:tcBorders>
              <w:top w:val="double" w:sz="6" w:space="0" w:color="000000"/>
              <w:left w:val="double" w:sz="6" w:space="0" w:color="000000"/>
              <w:right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Sign:</w:t>
            </w:r>
          </w:p>
        </w:tc>
        <w:tc>
          <w:tcPr>
            <w:tcW w:w="2070" w:type="dxa"/>
            <w:tcBorders>
              <w:top w:val="double" w:sz="6" w:space="0" w:color="000000"/>
              <w:bottom w:val="double" w:sz="6" w:space="0" w:color="000000"/>
              <w:right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Date:</w:t>
            </w:r>
          </w:p>
        </w:tc>
      </w:tr>
      <w:tr>
        <w:trPr>
          <w:cantSplit w:val="true"/>
        </w:trPr>
        <w:tc>
          <w:tcPr>
            <w:tcW w:w="4142" w:type="dxa"/>
            <w:tcBorders>
              <w:left w:val="double" w:sz="6" w:space="0" w:color="000000"/>
              <w:bottom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Agreed correct by Supervisor/Manager:</w:t>
            </w:r>
          </w:p>
        </w:tc>
        <w:tc>
          <w:tcPr>
            <w:tcW w:w="3331" w:type="dxa"/>
            <w:tcBorders>
              <w:top w:val="double" w:sz="6" w:space="0" w:color="000000"/>
              <w:left w:val="double" w:sz="6" w:space="0" w:color="000000"/>
              <w:bottom w:val="double" w:sz="6" w:space="0" w:color="000000"/>
              <w:right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Sign:</w:t>
            </w:r>
          </w:p>
        </w:tc>
        <w:tc>
          <w:tcPr>
            <w:tcW w:w="2070" w:type="dxa"/>
            <w:tcBorders>
              <w:top w:val="double" w:sz="6" w:space="0" w:color="000000"/>
              <w:bottom w:val="double" w:sz="6" w:space="0" w:color="000000"/>
              <w:right w:val="double" w:sz="6" w:space="0" w:color="000000"/>
            </w:tcBorders>
          </w:tcPr>
          <w:p>
            <w:pPr>
              <w:pStyle w:val="Normal"/>
              <w:spacing w:before="120" w:after="60"/>
              <w:jc w:val="both"/>
              <w:rPr>
                <w:rFonts w:ascii="Verdana" w:hAnsi="Verdana" w:cs="Verdana"/>
                <w:sz w:val="22"/>
                <w:szCs w:val="22"/>
                <w:u w:val="none"/>
              </w:rPr>
            </w:pPr>
            <w:r>
              <w:rPr>
                <w:rFonts w:cs="Verdana" w:ascii="Verdana" w:hAnsi="Verdana"/>
                <w:sz w:val="22"/>
                <w:szCs w:val="22"/>
                <w:u w:val="none"/>
              </w:rPr>
              <w:t>Date:</w:t>
            </w:r>
          </w:p>
        </w:tc>
      </w:tr>
    </w:tbl>
    <w:p>
      <w:pPr>
        <w:pStyle w:val="Normal"/>
        <w:rPr>
          <w:rFonts w:ascii="Verdana" w:hAnsi="Verdana" w:cs="Verdana"/>
          <w:b w:val="false"/>
          <w:sz w:val="22"/>
          <w:szCs w:val="22"/>
          <w:u w:val="none"/>
        </w:rPr>
      </w:pPr>
      <w:r>
        <w:rPr>
          <w:rFonts w:cs="Verdana" w:ascii="Verdana" w:hAnsi="Verdana"/>
          <w:b w:val="false"/>
          <w:sz w:val="22"/>
          <w:szCs w:val="22"/>
          <w:u w:val="none"/>
        </w:rPr>
      </w:r>
    </w:p>
    <w:p>
      <w:pPr>
        <w:pStyle w:val="Normal"/>
        <w:rPr>
          <w:rFonts w:ascii="Verdana" w:hAnsi="Verdana" w:cs="Verdana"/>
          <w:b w:val="false"/>
          <w:sz w:val="22"/>
          <w:szCs w:val="22"/>
          <w:u w:val="none"/>
        </w:rPr>
      </w:pPr>
      <w:r>
        <w:rPr>
          <w:rFonts w:cs="Verdana" w:ascii="Verdana" w:hAnsi="Verdana"/>
          <w:b w:val="false"/>
          <w:sz w:val="22"/>
          <w:szCs w:val="22"/>
          <w:u w:val="none"/>
        </w:rPr>
      </w:r>
    </w:p>
    <w:p>
      <w:pPr>
        <w:pStyle w:val="Normal"/>
        <w:rPr>
          <w:rFonts w:ascii="Verdana" w:hAnsi="Verdana" w:cs="Verdana"/>
          <w:b w:val="false"/>
          <w:sz w:val="22"/>
          <w:szCs w:val="22"/>
          <w:u w:val="none"/>
        </w:rPr>
      </w:pPr>
      <w:r>
        <w:rPr>
          <w:rFonts w:cs="Verdana" w:ascii="Verdana" w:hAnsi="Verdana"/>
          <w:b w:val="false"/>
          <w:sz w:val="22"/>
          <w:szCs w:val="22"/>
          <w:u w:val="none"/>
        </w:rPr>
      </w:r>
    </w:p>
    <w:p>
      <w:pPr>
        <w:pStyle w:val="Normal"/>
        <w:rPr>
          <w:rFonts w:ascii="Verdana" w:hAnsi="Verdana" w:cs="Verdana"/>
          <w:b w:val="false"/>
          <w:sz w:val="22"/>
          <w:szCs w:val="22"/>
          <w:u w:val="none"/>
        </w:rPr>
      </w:pPr>
      <w:r>
        <w:rPr>
          <w:rFonts w:cs="Verdana" w:ascii="Verdana" w:hAnsi="Verdana"/>
          <w:b w:val="false"/>
          <w:sz w:val="22"/>
          <w:szCs w:val="22"/>
          <w:u w:val="none"/>
        </w:rPr>
      </w:r>
    </w:p>
    <w:p>
      <w:pPr>
        <w:pStyle w:val="Normal"/>
        <w:rPr>
          <w:rFonts w:ascii="Verdana" w:hAnsi="Verdana" w:cs="Verdana"/>
          <w:b w:val="false"/>
          <w:sz w:val="22"/>
          <w:szCs w:val="22"/>
          <w:u w:val="none"/>
        </w:rPr>
      </w:pPr>
      <w:r>
        <w:rPr>
          <w:rFonts w:cs="Verdana" w:ascii="Verdana" w:hAnsi="Verdana"/>
          <w:b w:val="false"/>
          <w:sz w:val="22"/>
          <w:szCs w:val="22"/>
          <w:u w:val="none"/>
        </w:rPr>
      </w:r>
    </w:p>
    <w:p>
      <w:pPr>
        <w:pStyle w:val="Normal"/>
        <w:rPr>
          <w:rFonts w:ascii="Verdana" w:hAnsi="Verdana" w:cs="Verdana"/>
          <w:b w:val="false"/>
          <w:sz w:val="22"/>
          <w:szCs w:val="22"/>
          <w:u w:val="none"/>
        </w:rPr>
      </w:pPr>
      <w:r>
        <w:rPr>
          <w:rFonts w:cs="Verdana" w:ascii="Verdana" w:hAnsi="Verdana"/>
          <w:b w:val="false"/>
          <w:sz w:val="22"/>
          <w:szCs w:val="22"/>
          <w:u w:val="none"/>
        </w:rPr>
      </w:r>
    </w:p>
    <w:p>
      <w:pPr>
        <w:pStyle w:val="Normal"/>
        <w:ind w:firstLine="720" w:left="7200" w:right="0"/>
        <w:rPr>
          <w:rFonts w:ascii="Verdana" w:hAnsi="Verdana" w:cs="Verdana"/>
          <w:sz w:val="22"/>
          <w:szCs w:val="22"/>
        </w:rPr>
      </w:pPr>
      <w:r>
        <w:rPr/>
        <w:drawing>
          <wp:inline distT="0" distB="0" distL="0" distR="0">
            <wp:extent cx="1485265" cy="60706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4" t="-59" r="-24" b="-59"/>
                    <a:stretch>
                      <a:fillRect/>
                    </a:stretch>
                  </pic:blipFill>
                  <pic:spPr bwMode="auto">
                    <a:xfrm>
                      <a:off x="0" y="0"/>
                      <a:ext cx="1485265" cy="607060"/>
                    </a:xfrm>
                    <a:prstGeom prst="rect">
                      <a:avLst/>
                    </a:prstGeom>
                  </pic:spPr>
                </pic:pic>
              </a:graphicData>
            </a:graphic>
          </wp:inline>
        </w:drawing>
      </w:r>
    </w:p>
    <w:p>
      <w:pPr>
        <w:pStyle w:val="Normal"/>
        <w:jc w:val="center"/>
        <w:rPr>
          <w:rFonts w:ascii="Verdana" w:hAnsi="Verdana" w:cs="Verdana"/>
          <w:sz w:val="22"/>
          <w:szCs w:val="22"/>
        </w:rPr>
      </w:pPr>
      <w:r>
        <w:rPr>
          <w:rFonts w:cs="Verdana" w:ascii="Verdana" w:hAnsi="Verdana"/>
          <w:sz w:val="22"/>
          <w:szCs w:val="22"/>
        </w:rPr>
        <w:t>DEPARTMENT FOR CHILDREN &amp; YOUNG PEOPLE</w:t>
      </w:r>
    </w:p>
    <w:p>
      <w:pPr>
        <w:pStyle w:val="Normal"/>
        <w:jc w:val="center"/>
        <w:rPr>
          <w:rFonts w:ascii="Verdana" w:hAnsi="Verdana" w:cs="Verdana"/>
          <w:sz w:val="22"/>
          <w:szCs w:val="22"/>
        </w:rPr>
      </w:pPr>
      <w:r>
        <w:rPr>
          <w:rFonts w:cs="Verdana" w:ascii="Verdana" w:hAnsi="Verdana"/>
          <w:sz w:val="22"/>
          <w:szCs w:val="22"/>
        </w:rPr>
        <w:t>Head of Service (Social Care)</w:t>
      </w:r>
    </w:p>
    <w:p>
      <w:pPr>
        <w:pStyle w:val="Normal"/>
        <w:jc w:val="center"/>
        <w:rPr>
          <w:rFonts w:ascii="Verdana" w:hAnsi="Verdana" w:cs="Verdana"/>
          <w:sz w:val="22"/>
          <w:szCs w:val="22"/>
        </w:rPr>
      </w:pPr>
      <w:r>
        <w:rPr>
          <w:rFonts w:cs="Verdana" w:ascii="Verdana" w:hAnsi="Verdana"/>
          <w:sz w:val="22"/>
          <w:szCs w:val="22"/>
        </w:rPr>
      </w:r>
    </w:p>
    <w:tbl>
      <w:tblPr>
        <w:tblW w:w="5000" w:type="pct"/>
        <w:jc w:val="left"/>
        <w:tblInd w:w="108" w:type="dxa"/>
        <w:tblLayout w:type="fixed"/>
        <w:tblCellMar>
          <w:top w:w="0" w:type="dxa"/>
          <w:left w:w="108" w:type="dxa"/>
          <w:bottom w:w="0" w:type="dxa"/>
          <w:right w:w="108" w:type="dxa"/>
        </w:tblCellMar>
      </w:tblPr>
      <w:tblGrid>
        <w:gridCol w:w="6648"/>
        <w:gridCol w:w="1851"/>
        <w:gridCol w:w="1705"/>
      </w:tblGrid>
      <w:tr>
        <w:trPr/>
        <w:tc>
          <w:tcPr>
            <w:tcW w:w="6648" w:type="dxa"/>
            <w:tcBorders>
              <w:top w:val="single" w:sz="4" w:space="0" w:color="000000"/>
              <w:left w:val="single" w:sz="4" w:space="0" w:color="000000"/>
              <w:right w:val="single" w:sz="4" w:space="0" w:color="000000"/>
            </w:tcBorders>
          </w:tcPr>
          <w:p>
            <w:pPr>
              <w:pStyle w:val="Normal"/>
              <w:spacing w:before="120" w:after="120"/>
              <w:rPr>
                <w:rFonts w:ascii="Verdana" w:hAnsi="Verdana" w:cs="Verdana"/>
                <w:b w:val="false"/>
                <w:sz w:val="22"/>
                <w:szCs w:val="22"/>
              </w:rPr>
            </w:pPr>
            <w:r>
              <w:rPr>
                <w:rFonts w:cs="Verdana" w:ascii="Verdana" w:hAnsi="Verdana"/>
                <w:b w:val="false"/>
                <w:sz w:val="22"/>
                <w:szCs w:val="22"/>
              </w:rPr>
              <w:t>SHORT LISTING CRITERIA</w:t>
            </w:r>
          </w:p>
        </w:tc>
        <w:tc>
          <w:tcPr>
            <w:tcW w:w="1851"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Verdana" w:hAnsi="Verdana" w:cs="Verdana"/>
                <w:b w:val="false"/>
                <w:sz w:val="22"/>
                <w:szCs w:val="22"/>
              </w:rPr>
            </w:pPr>
            <w:r>
              <w:rPr>
                <w:rFonts w:cs="Verdana" w:ascii="Verdana" w:hAnsi="Verdana"/>
                <w:b w:val="false"/>
                <w:sz w:val="22"/>
                <w:szCs w:val="22"/>
              </w:rPr>
              <w:t>ESSENTIAL</w:t>
            </w:r>
          </w:p>
        </w:tc>
        <w:tc>
          <w:tcPr>
            <w:tcW w:w="1705"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Verdana" w:hAnsi="Verdana" w:cs="Verdana"/>
                <w:b w:val="false"/>
                <w:sz w:val="22"/>
                <w:szCs w:val="22"/>
              </w:rPr>
            </w:pPr>
            <w:r>
              <w:rPr>
                <w:rFonts w:cs="Verdana" w:ascii="Verdana" w:hAnsi="Verdana"/>
                <w:b w:val="false"/>
                <w:sz w:val="22"/>
                <w:szCs w:val="22"/>
              </w:rPr>
              <w:t>DESIRABLE</w:t>
            </w:r>
          </w:p>
        </w:tc>
      </w:tr>
      <w:tr>
        <w:trPr>
          <w:trHeight w:val="611" w:hRule="atLeast"/>
          <w:cantSplit w:val="true"/>
        </w:trPr>
        <w:tc>
          <w:tcPr>
            <w:tcW w:w="66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QUALIFICATIONS</w:t>
            </w:r>
          </w:p>
        </w:tc>
        <w:tc>
          <w:tcPr>
            <w:tcW w:w="185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r>
      <w:tr>
        <w:trPr>
          <w:trHeight w:val="611" w:hRule="atLeast"/>
          <w:cantSplit w:val="true"/>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pacing w:before="120" w:after="120"/>
              <w:rPr>
                <w:rFonts w:ascii="Verdana" w:hAnsi="Verdana" w:cs="Verdana"/>
                <w:b w:val="false"/>
                <w:sz w:val="22"/>
                <w:szCs w:val="22"/>
                <w:u w:val="none"/>
              </w:rPr>
            </w:pPr>
            <w:r>
              <w:rPr>
                <w:rFonts w:cs="Verdana" w:ascii="Verdana" w:hAnsi="Verdana"/>
                <w:b w:val="false"/>
                <w:sz w:val="22"/>
                <w:szCs w:val="22"/>
                <w:u w:val="none"/>
              </w:rPr>
              <w:t>Good general standard of education</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r>
      <w:tr>
        <w:trPr>
          <w:trHeight w:val="611" w:hRule="atLeast"/>
          <w:cantSplit w:val="true"/>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pacing w:before="120" w:after="120"/>
              <w:rPr>
                <w:rFonts w:ascii="Verdana" w:hAnsi="Verdana" w:cs="Verdana"/>
                <w:b w:val="false"/>
                <w:sz w:val="22"/>
                <w:szCs w:val="22"/>
                <w:u w:val="none"/>
              </w:rPr>
            </w:pPr>
            <w:r>
              <w:rPr>
                <w:rFonts w:cs="Verdana" w:ascii="Verdana" w:hAnsi="Verdana"/>
                <w:b w:val="false"/>
                <w:sz w:val="22"/>
                <w:szCs w:val="22"/>
                <w:u w:val="none"/>
              </w:rPr>
              <w:t>Management qualification</w:t>
            </w:r>
          </w:p>
        </w:tc>
        <w:tc>
          <w:tcPr>
            <w:tcW w:w="185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r>
      <w:tr>
        <w:trPr>
          <w:trHeight w:val="611" w:hRule="atLeast"/>
          <w:cantSplit w:val="true"/>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pacing w:before="120" w:after="120"/>
              <w:rPr>
                <w:rFonts w:ascii="Verdana" w:hAnsi="Verdana" w:cs="Verdana"/>
                <w:b w:val="false"/>
                <w:sz w:val="22"/>
                <w:szCs w:val="22"/>
                <w:u w:val="none"/>
              </w:rPr>
            </w:pPr>
            <w:r>
              <w:rPr>
                <w:rFonts w:cs="Verdana" w:ascii="Verdana" w:hAnsi="Verdana"/>
                <w:b w:val="false"/>
                <w:sz w:val="22"/>
                <w:szCs w:val="22"/>
                <w:u w:val="none"/>
              </w:rPr>
              <w:t>Recogniced registered professional qualification required for service area (Social Care)</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r>
      <w:tr>
        <w:trPr>
          <w:trHeight w:val="611" w:hRule="atLeast"/>
          <w:cantSplit w:val="true"/>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pacing w:before="120" w:after="120"/>
              <w:rPr>
                <w:rFonts w:ascii="Verdana" w:hAnsi="Verdana" w:cs="Verdana"/>
                <w:b w:val="false"/>
                <w:sz w:val="22"/>
                <w:szCs w:val="22"/>
                <w:u w:val="none"/>
              </w:rPr>
            </w:pPr>
            <w:r>
              <w:rPr>
                <w:rFonts w:cs="Verdana" w:ascii="Verdana" w:hAnsi="Verdana"/>
                <w:b w:val="false"/>
                <w:sz w:val="22"/>
                <w:szCs w:val="22"/>
                <w:u w:val="none"/>
              </w:rPr>
              <w:t>Evidence of continued professional, managerial, and personal development acquired through degree/diploma, specialist training, management qualifications or equivalent</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r>
      <w:tr>
        <w:trPr>
          <w:trHeight w:val="611" w:hRule="atLeast"/>
          <w:cantSplit w:val="true"/>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pacing w:before="120" w:after="120"/>
              <w:rPr>
                <w:rFonts w:ascii="Verdana" w:hAnsi="Verdana" w:cs="Verdana"/>
                <w:b w:val="false"/>
                <w:sz w:val="22"/>
                <w:szCs w:val="22"/>
                <w:u w:val="none"/>
              </w:rPr>
            </w:pPr>
            <w:r>
              <w:rPr>
                <w:rFonts w:cs="Verdana" w:ascii="Verdana" w:hAnsi="Verdana"/>
                <w:b w:val="false"/>
                <w:sz w:val="22"/>
                <w:szCs w:val="22"/>
                <w:u w:val="none"/>
              </w:rPr>
              <w:t xml:space="preserve">Relevant post graduate diploma or equivalent experience </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r>
      <w:tr>
        <w:trPr/>
        <w:tc>
          <w:tcPr>
            <w:tcW w:w="66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EXPERIENCE</w:t>
            </w:r>
          </w:p>
        </w:tc>
        <w:tc>
          <w:tcPr>
            <w:tcW w:w="185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5"/>
              </w:numPr>
              <w:spacing w:before="120" w:after="120"/>
              <w:rPr>
                <w:rFonts w:ascii="Verdana" w:hAnsi="Verdana" w:cs="Verdana"/>
                <w:b w:val="false"/>
                <w:sz w:val="22"/>
                <w:szCs w:val="22"/>
                <w:u w:val="none"/>
              </w:rPr>
            </w:pPr>
            <w:r>
              <w:rPr>
                <w:rFonts w:cs="Verdana" w:ascii="Verdana" w:hAnsi="Verdana"/>
                <w:b w:val="false"/>
                <w:sz w:val="22"/>
                <w:szCs w:val="22"/>
                <w:u w:val="none"/>
              </w:rPr>
              <w:t>Substantial experience of the management and leadership of fostering and adoption services, quality assurance, strategic planning and HR processes in a local authority or large complex organisation.</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5"/>
              </w:numPr>
              <w:spacing w:before="120" w:after="120"/>
              <w:rPr>
                <w:rFonts w:ascii="Verdana" w:hAnsi="Verdana" w:cs="Verdana"/>
                <w:b w:val="false"/>
                <w:sz w:val="22"/>
                <w:szCs w:val="22"/>
                <w:u w:val="none"/>
              </w:rPr>
            </w:pPr>
            <w:r>
              <w:rPr>
                <w:rFonts w:cs="Verdana" w:ascii="Verdana" w:hAnsi="Verdana"/>
                <w:b w:val="false"/>
                <w:sz w:val="22"/>
                <w:szCs w:val="22"/>
                <w:u w:val="none"/>
              </w:rPr>
              <w:t>Experience in effectively managing change initiatives, exploiting new opportunities, and gaining commitment.</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5"/>
              </w:numPr>
              <w:spacing w:before="120" w:after="120"/>
              <w:rPr>
                <w:rFonts w:ascii="Verdana" w:hAnsi="Verdana" w:cs="Verdana"/>
                <w:b w:val="false"/>
                <w:sz w:val="22"/>
                <w:szCs w:val="22"/>
                <w:u w:val="none"/>
              </w:rPr>
            </w:pPr>
            <w:r>
              <w:rPr>
                <w:rFonts w:cs="Verdana" w:ascii="Verdana" w:hAnsi="Verdana"/>
                <w:b w:val="false"/>
                <w:sz w:val="22"/>
                <w:szCs w:val="22"/>
                <w:u w:val="none"/>
              </w:rPr>
              <w:t>Evidence of success in establishing a performance culture including service planning, target setting, performance appraisal and the management and motivation of diverse staff groups.</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5"/>
              </w:numPr>
              <w:spacing w:before="120" w:after="120"/>
              <w:rPr>
                <w:rFonts w:ascii="Verdana" w:hAnsi="Verdana" w:cs="Verdana"/>
                <w:b w:val="false"/>
                <w:sz w:val="22"/>
                <w:szCs w:val="22"/>
                <w:u w:val="none"/>
              </w:rPr>
            </w:pPr>
            <w:r>
              <w:rPr>
                <w:rFonts w:cs="Verdana" w:ascii="Verdana" w:hAnsi="Verdana"/>
                <w:b w:val="false"/>
                <w:sz w:val="22"/>
                <w:szCs w:val="22"/>
                <w:u w:val="none"/>
              </w:rPr>
              <w:t>Experience of successfully leading and sustaining effective partnerships with a wide range of internal and external bodies, including governmental and non-governmental organisations, the private and voluntary sectors.</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tcPr>
          <w:p>
            <w:pPr>
              <w:pStyle w:val="ListParagraph"/>
              <w:numPr>
                <w:ilvl w:val="0"/>
                <w:numId w:val="5"/>
              </w:numPr>
              <w:spacing w:before="120" w:after="120"/>
              <w:rPr>
                <w:rFonts w:ascii="Verdana" w:hAnsi="Verdana" w:cs="Verdana"/>
                <w:b w:val="false"/>
                <w:sz w:val="22"/>
                <w:szCs w:val="22"/>
                <w:u w:val="none"/>
              </w:rPr>
            </w:pPr>
            <w:r>
              <w:rPr>
                <w:rFonts w:cs="Verdana" w:ascii="Verdana" w:hAnsi="Verdana"/>
                <w:b w:val="false"/>
                <w:sz w:val="22"/>
                <w:szCs w:val="22"/>
                <w:u w:val="none"/>
              </w:rPr>
              <w:t>Significant experience of managing financial budgets.</w:t>
            </w:r>
          </w:p>
        </w:tc>
        <w:tc>
          <w:tcPr>
            <w:tcW w:w="1851" w:type="dxa"/>
            <w:tcBorders>
              <w:top w:val="single" w:sz="4" w:space="0" w:color="000000"/>
              <w:left w:val="single" w:sz="4" w:space="0" w:color="000000"/>
              <w:bottom w:val="single" w:sz="4" w:space="0" w:color="000000"/>
              <w:right w:val="single" w:sz="4" w:space="0" w:color="000000"/>
            </w:tcBorders>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rFonts w:ascii="Verdana" w:hAnsi="Verdana" w:cs="Verdana"/>
                <w:i w:val="false"/>
                <w:i w:val="false"/>
                <w:sz w:val="22"/>
                <w:szCs w:val="22"/>
                <w:u w:val="single"/>
              </w:rPr>
            </w:pPr>
            <w:r>
              <w:rPr>
                <w:rFonts w:cs="Verdana" w:ascii="Verdana" w:hAnsi="Verdana"/>
                <w:i w:val="false"/>
                <w:sz w:val="22"/>
                <w:szCs w:val="22"/>
                <w:u w:val="single"/>
              </w:rPr>
              <w:t>SKILLS &amp; ABILITIES</w:t>
            </w:r>
          </w:p>
        </w:tc>
        <w:tc>
          <w:tcPr>
            <w:tcW w:w="18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b w:val="false"/>
                <w:sz w:val="22"/>
                <w:szCs w:val="22"/>
                <w:u w:val="none"/>
              </w:rPr>
            </w:pPr>
            <w:r>
              <w:rPr>
                <w:rFonts w:cs="Verdana" w:ascii="Verdana" w:hAnsi="Verdana"/>
                <w:b w:val="false"/>
                <w:sz w:val="22"/>
                <w:szCs w:val="22"/>
                <w:u w:val="none"/>
              </w:rPr>
            </w:r>
          </w:p>
        </w:tc>
      </w:tr>
      <w:tr>
        <w:trPr/>
        <w:tc>
          <w:tcPr>
            <w:tcW w:w="664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spacing w:before="120" w:after="120"/>
              <w:rPr>
                <w:rFonts w:ascii="Verdana" w:hAnsi="Verdana" w:cs="Verdana"/>
                <w:b w:val="false"/>
                <w:sz w:val="22"/>
                <w:szCs w:val="22"/>
                <w:u w:val="none"/>
              </w:rPr>
            </w:pPr>
            <w:r>
              <w:rPr>
                <w:rFonts w:cs="Verdana" w:ascii="Verdana" w:hAnsi="Verdana"/>
                <w:b w:val="false"/>
                <w:sz w:val="22"/>
                <w:szCs w:val="22"/>
                <w:u w:val="none"/>
              </w:rPr>
              <w:t xml:space="preserve">Demonstrate a coherent vision for Children’s and Young People’s Services. </w:t>
            </w:r>
          </w:p>
        </w:tc>
        <w:tc>
          <w:tcPr>
            <w:tcW w:w="185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snapToGrid w:val="false"/>
              <w:spacing w:before="120" w:after="120"/>
              <w:rPr>
                <w:rFonts w:ascii="Verdana" w:hAnsi="Verdana" w:cs="Verdana"/>
                <w:b w:val="false"/>
                <w:sz w:val="22"/>
                <w:szCs w:val="22"/>
                <w:u w:val="none"/>
              </w:rPr>
            </w:pPr>
            <w:r>
              <w:rPr>
                <w:rFonts w:cs="Verdana" w:ascii="Verdana" w:hAnsi="Verdana"/>
                <w:b w:val="false"/>
                <w:sz w:val="22"/>
                <w:szCs w:val="22"/>
                <w:u w:val="none"/>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ListParagraph"/>
              <w:snapToGrid w:val="false"/>
              <w:spacing w:before="120" w:after="120"/>
              <w:rPr>
                <w:rFonts w:ascii="Verdana" w:hAnsi="Verdana" w:cs="Verdana"/>
                <w:b w:val="false"/>
                <w:sz w:val="22"/>
                <w:szCs w:val="22"/>
                <w:u w:val="none"/>
              </w:rPr>
            </w:pPr>
            <w:r>
              <w:rPr>
                <w:rFonts w:cs="Verdana" w:ascii="Verdana" w:hAnsi="Verdana"/>
                <w:b w:val="false"/>
                <w:sz w:val="22"/>
                <w:szCs w:val="22"/>
                <w:u w:val="none"/>
              </w:rPr>
            </w:r>
          </w:p>
        </w:tc>
      </w:tr>
      <w:tr>
        <w:trPr/>
        <w:tc>
          <w:tcPr>
            <w:tcW w:w="6648"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rFonts w:ascii="Verdana" w:hAnsi="Verdana" w:cs="Verdana"/>
                <w:i w:val="false"/>
                <w:i w:val="false"/>
                <w:sz w:val="22"/>
                <w:szCs w:val="22"/>
                <w:u w:val="single"/>
              </w:rPr>
            </w:pPr>
            <w:r>
              <w:rPr>
                <w:rFonts w:cs="Verdana" w:ascii="Verdana" w:hAnsi="Verdana"/>
                <w:i w:val="false"/>
                <w:sz w:val="22"/>
                <w:szCs w:val="22"/>
                <w:u w:val="single"/>
              </w:rPr>
              <w:t>PERSONAL STYLE &amp; BEHAVIOUR</w:t>
            </w:r>
          </w:p>
        </w:tc>
        <w:tc>
          <w:tcPr>
            <w:tcW w:w="18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spacing w:before="120" w:after="120"/>
              <w:rPr>
                <w:rFonts w:ascii="Verdana" w:hAnsi="Verdana" w:cs="Verdana"/>
                <w:b w:val="false"/>
                <w:sz w:val="22"/>
                <w:szCs w:val="22"/>
                <w:u w:val="none"/>
              </w:rPr>
            </w:pPr>
            <w:r>
              <w:rPr>
                <w:rFonts w:cs="Verdana" w:ascii="Verdana" w:hAnsi="Verdana"/>
                <w:b w:val="false"/>
                <w:sz w:val="22"/>
                <w:szCs w:val="22"/>
                <w:u w:val="none"/>
              </w:rPr>
              <w:t>A strong leader with a commitment to public service values and high achievement.</w:t>
            </w:r>
          </w:p>
        </w:tc>
        <w:tc>
          <w:tcPr>
            <w:tcW w:w="185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spacing w:before="120" w:after="120"/>
              <w:rPr>
                <w:rFonts w:ascii="Verdana" w:hAnsi="Verdana" w:cs="Verdana"/>
                <w:b w:val="false"/>
                <w:sz w:val="22"/>
                <w:szCs w:val="22"/>
                <w:u w:val="none"/>
              </w:rPr>
            </w:pPr>
            <w:r>
              <w:rPr>
                <w:rFonts w:cs="Verdana" w:ascii="Verdana" w:hAnsi="Verdana"/>
                <w:b w:val="false"/>
                <w:sz w:val="22"/>
                <w:szCs w:val="22"/>
                <w:u w:val="none"/>
              </w:rPr>
              <w:t>Demonstrates strong commitment to the promotion of equal opportunities.</w:t>
            </w:r>
          </w:p>
        </w:tc>
        <w:tc>
          <w:tcPr>
            <w:tcW w:w="185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spacing w:before="120" w:after="120"/>
              <w:rPr>
                <w:rFonts w:ascii="Verdana" w:hAnsi="Verdana" w:cs="Verdana"/>
                <w:b w:val="false"/>
                <w:sz w:val="22"/>
                <w:szCs w:val="22"/>
                <w:u w:val="none"/>
              </w:rPr>
            </w:pPr>
            <w:r>
              <w:rPr>
                <w:rFonts w:cs="Verdana" w:ascii="Verdana" w:hAnsi="Verdana"/>
                <w:b w:val="false"/>
                <w:sz w:val="22"/>
                <w:szCs w:val="22"/>
                <w:u w:val="none"/>
              </w:rPr>
              <w:t>An enthusiastic and effective leader able to show resilience and tenacity when under pressure and be an effective decision maker in a complex and challenging environment</w:t>
            </w:r>
          </w:p>
        </w:tc>
        <w:tc>
          <w:tcPr>
            <w:tcW w:w="185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r>
        <w:trPr/>
        <w:tc>
          <w:tcPr>
            <w:tcW w:w="664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spacing w:before="120" w:after="120"/>
              <w:rPr>
                <w:rFonts w:ascii="Verdana" w:hAnsi="Verdana" w:cs="Verdana"/>
                <w:b w:val="false"/>
                <w:sz w:val="22"/>
                <w:szCs w:val="22"/>
                <w:u w:val="none"/>
              </w:rPr>
            </w:pPr>
            <w:r>
              <w:rPr>
                <w:rFonts w:cs="Verdana" w:ascii="Verdana" w:hAnsi="Verdana"/>
                <w:b w:val="false"/>
                <w:sz w:val="22"/>
                <w:szCs w:val="22"/>
                <w:u w:val="none"/>
              </w:rPr>
              <w:t>A clear commitment to their own professional development</w:t>
            </w:r>
          </w:p>
        </w:tc>
        <w:tc>
          <w:tcPr>
            <w:tcW w:w="185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snapToGrid w:val="false"/>
              <w:spacing w:before="120" w:after="120"/>
              <w:jc w:val="center"/>
              <w:rPr>
                <w:rFonts w:ascii="Verdana" w:hAnsi="Verdana" w:cs="Verdana"/>
                <w:b w:val="false"/>
                <w:sz w:val="22"/>
                <w:szCs w:val="22"/>
              </w:rPr>
            </w:pPr>
            <w:r>
              <w:rPr>
                <w:rFonts w:cs="Verdana" w:ascii="Verdana" w:hAnsi="Verdana"/>
                <w:b w:val="false"/>
                <w:sz w:val="22"/>
                <w:szCs w:val="22"/>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b w:val="false"/>
                <w:sz w:val="22"/>
                <w:szCs w:val="22"/>
              </w:rPr>
            </w:pPr>
            <w:r>
              <w:rPr>
                <w:rFonts w:cs="Verdana" w:ascii="Verdana" w:hAnsi="Verdana"/>
                <w:b w:val="false"/>
                <w:sz w:val="22"/>
                <w:szCs w:val="22"/>
              </w:rPr>
            </w:r>
          </w:p>
        </w:tc>
      </w:tr>
    </w:tbl>
    <w:p>
      <w:pPr>
        <w:pStyle w:val="Normal"/>
        <w:rPr>
          <w:rFonts w:ascii="Verdana" w:hAnsi="Verdana" w:cs="Verdana"/>
          <w:sz w:val="22"/>
          <w:szCs w:val="22"/>
        </w:rPr>
      </w:pPr>
      <w:r>
        <w:rPr>
          <w:rFonts w:cs="Verdana" w:ascii="Verdana" w:hAnsi="Verdana"/>
          <w:sz w:val="22"/>
          <w:szCs w:val="22"/>
        </w:rPr>
      </w:r>
    </w:p>
    <w:p>
      <w:pPr>
        <w:pStyle w:val="Normal"/>
        <w:jc w:val="center"/>
        <w:rPr>
          <w:rFonts w:ascii="Verdana" w:hAnsi="Verdana" w:cs="Verdana"/>
          <w:b w:val="false"/>
          <w:sz w:val="22"/>
          <w:szCs w:val="22"/>
        </w:rPr>
      </w:pPr>
      <w:r>
        <w:rPr>
          <w:rFonts w:cs="Verdana" w:ascii="Verdana" w:hAnsi="Verdana"/>
          <w:b w:val="false"/>
          <w:sz w:val="22"/>
          <w:szCs w:val="22"/>
        </w:rPr>
      </w:r>
    </w:p>
    <w:p>
      <w:pPr>
        <w:pStyle w:val="Normal"/>
        <w:jc w:val="center"/>
        <w:rPr>
          <w:rFonts w:ascii="Verdana" w:hAnsi="Verdana" w:cs="Verdana"/>
          <w:bCs/>
          <w:sz w:val="22"/>
          <w:szCs w:val="22"/>
        </w:rPr>
      </w:pPr>
      <w:r>
        <w:rPr>
          <w:rFonts w:cs="Verdana" w:ascii="Verdana" w:hAnsi="Verdana"/>
          <w:bCs/>
          <w:sz w:val="22"/>
          <w:szCs w:val="22"/>
        </w:rPr>
        <w:t>CRITERIA FOR INTERVIEW AND OTHER ASSESSMENT METHODS</w:t>
      </w:r>
    </w:p>
    <w:p>
      <w:pPr>
        <w:pStyle w:val="Normal"/>
        <w:jc w:val="center"/>
        <w:rPr>
          <w:rFonts w:ascii="Verdana" w:hAnsi="Verdana" w:cs="Verdana"/>
          <w:bCs/>
          <w:sz w:val="22"/>
          <w:szCs w:val="22"/>
        </w:rPr>
      </w:pPr>
      <w:r>
        <w:rPr>
          <w:rFonts w:cs="Verdana" w:ascii="Verdana" w:hAnsi="Verdana"/>
          <w:bCs/>
          <w:sz w:val="22"/>
          <w:szCs w:val="22"/>
        </w:rPr>
        <w:t>The short-listing criteria listed plus the following:</w:t>
      </w:r>
    </w:p>
    <w:p>
      <w:pPr>
        <w:pStyle w:val="Normal"/>
        <w:jc w:val="center"/>
        <w:rPr>
          <w:rFonts w:ascii="Verdana" w:hAnsi="Verdana" w:cs="Verdana"/>
          <w:b w:val="false"/>
          <w:sz w:val="22"/>
          <w:szCs w:val="22"/>
        </w:rPr>
      </w:pPr>
      <w:r>
        <w:rPr>
          <w:rFonts w:cs="Verdana" w:ascii="Verdana" w:hAnsi="Verdana"/>
          <w:b w:val="false"/>
          <w:sz w:val="22"/>
          <w:szCs w:val="22"/>
        </w:rPr>
      </w:r>
    </w:p>
    <w:tbl>
      <w:tblPr>
        <w:tblW w:w="5000" w:type="pct"/>
        <w:jc w:val="left"/>
        <w:tblInd w:w="108" w:type="dxa"/>
        <w:tblLayout w:type="fixed"/>
        <w:tblCellMar>
          <w:top w:w="0" w:type="dxa"/>
          <w:left w:w="108" w:type="dxa"/>
          <w:bottom w:w="0" w:type="dxa"/>
          <w:right w:w="108" w:type="dxa"/>
        </w:tblCellMar>
      </w:tblPr>
      <w:tblGrid>
        <w:gridCol w:w="2228"/>
        <w:gridCol w:w="7976"/>
      </w:tblGrid>
      <w:tr>
        <w:trPr>
          <w:trHeight w:val="345" w:hRule="atLeast"/>
        </w:trPr>
        <w:tc>
          <w:tcPr>
            <w:tcW w:w="22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Verdana" w:hAnsi="Verdana" w:cs="Verdana"/>
                <w:b w:val="false"/>
                <w:sz w:val="22"/>
                <w:szCs w:val="22"/>
              </w:rPr>
            </w:pPr>
            <w:r>
              <w:rPr>
                <w:rFonts w:cs="Verdana" w:ascii="Verdana" w:hAnsi="Verdana"/>
                <w:b w:val="false"/>
                <w:sz w:val="22"/>
                <w:szCs w:val="22"/>
              </w:rPr>
              <w:t>ASSESSMENT</w:t>
            </w:r>
          </w:p>
          <w:p>
            <w:pPr>
              <w:pStyle w:val="Normal"/>
              <w:spacing w:before="120" w:after="120"/>
              <w:jc w:val="center"/>
              <w:rPr>
                <w:rFonts w:ascii="Verdana" w:hAnsi="Verdana" w:cs="Verdana"/>
                <w:b w:val="false"/>
                <w:sz w:val="22"/>
                <w:szCs w:val="22"/>
              </w:rPr>
            </w:pPr>
            <w:r>
              <w:rPr>
                <w:rFonts w:cs="Verdana" w:ascii="Verdana" w:hAnsi="Verdana"/>
                <w:b w:val="false"/>
                <w:sz w:val="22"/>
                <w:szCs w:val="22"/>
              </w:rPr>
              <w:t>METHOD</w:t>
            </w:r>
          </w:p>
        </w:tc>
        <w:tc>
          <w:tcPr>
            <w:tcW w:w="797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Verdana" w:hAnsi="Verdana" w:cs="Verdana"/>
                <w:b w:val="false"/>
                <w:sz w:val="22"/>
                <w:szCs w:val="22"/>
              </w:rPr>
            </w:pPr>
            <w:r>
              <w:rPr>
                <w:rFonts w:cs="Verdana" w:ascii="Verdana" w:hAnsi="Verdana"/>
                <w:b w:val="false"/>
                <w:sz w:val="22"/>
                <w:szCs w:val="22"/>
              </w:rPr>
              <w:t>CRITERIA</w:t>
            </w:r>
          </w:p>
        </w:tc>
      </w:tr>
      <w:tr>
        <w:trPr>
          <w:trHeight w:val="567" w:hRule="atLeast"/>
          <w:cantSplit w:val="true"/>
        </w:trPr>
        <w:tc>
          <w:tcPr>
            <w:tcW w:w="22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Verdana" w:hAnsi="Verdana" w:cs="Verdana"/>
                <w:b w:val="false"/>
                <w:sz w:val="22"/>
                <w:szCs w:val="22"/>
                <w:u w:val="none"/>
              </w:rPr>
            </w:pPr>
            <w:r>
              <w:rPr>
                <w:rFonts w:cs="Verdana" w:ascii="Verdana" w:hAnsi="Verdana"/>
                <w:b w:val="false"/>
                <w:sz w:val="22"/>
                <w:szCs w:val="22"/>
                <w:u w:val="none"/>
              </w:rPr>
              <w:t>Interview / Assessment</w:t>
            </w:r>
          </w:p>
        </w:tc>
        <w:tc>
          <w:tcPr>
            <w:tcW w:w="797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Verdana" w:hAnsi="Verdana" w:cs="Verdana"/>
                <w:b w:val="false"/>
                <w:sz w:val="22"/>
                <w:szCs w:val="22"/>
                <w:u w:val="none"/>
              </w:rPr>
            </w:pPr>
            <w:r>
              <w:rPr>
                <w:rFonts w:cs="Verdana" w:ascii="Verdana" w:hAnsi="Verdana"/>
                <w:b w:val="false"/>
                <w:sz w:val="22"/>
                <w:szCs w:val="22"/>
                <w:u w:val="none"/>
              </w:rPr>
              <w:t>Highly developed interpersonal and communication skills, including the ability to negotiate and influence and establish positive relationships with a range of professionals and organisations.</w:t>
            </w:r>
          </w:p>
        </w:tc>
      </w:tr>
      <w:tr>
        <w:trPr>
          <w:trHeight w:val="567" w:hRule="atLeast"/>
        </w:trPr>
        <w:tc>
          <w:tcPr>
            <w:tcW w:w="22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Verdana" w:hAnsi="Verdana" w:cs="Verdana"/>
                <w:b w:val="false"/>
                <w:sz w:val="22"/>
                <w:szCs w:val="22"/>
                <w:u w:val="none"/>
              </w:rPr>
            </w:pPr>
            <w:r>
              <w:rPr>
                <w:rFonts w:cs="Verdana" w:ascii="Verdana" w:hAnsi="Verdana"/>
                <w:b w:val="false"/>
                <w:sz w:val="22"/>
                <w:szCs w:val="22"/>
                <w:u w:val="none"/>
              </w:rPr>
              <w:t>Interview / Assessment</w:t>
            </w:r>
          </w:p>
        </w:tc>
        <w:tc>
          <w:tcPr>
            <w:tcW w:w="797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Verdana" w:hAnsi="Verdana" w:cs="Verdana"/>
                <w:b w:val="false"/>
                <w:sz w:val="22"/>
                <w:szCs w:val="22"/>
                <w:u w:val="none"/>
              </w:rPr>
            </w:pPr>
            <w:r>
              <w:rPr>
                <w:rFonts w:cs="Verdana" w:ascii="Verdana" w:hAnsi="Verdana"/>
                <w:b w:val="false"/>
                <w:sz w:val="22"/>
                <w:szCs w:val="22"/>
                <w:u w:val="none"/>
              </w:rPr>
              <w:t>Ability to develop effective strategies in response to new legislation and central government priorities and initiatives.</w:t>
            </w:r>
          </w:p>
        </w:tc>
      </w:tr>
      <w:tr>
        <w:trPr>
          <w:trHeight w:val="567" w:hRule="atLeast"/>
        </w:trPr>
        <w:tc>
          <w:tcPr>
            <w:tcW w:w="22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Verdana" w:hAnsi="Verdana" w:cs="Verdana"/>
                <w:b w:val="false"/>
                <w:sz w:val="22"/>
                <w:szCs w:val="22"/>
                <w:u w:val="none"/>
              </w:rPr>
            </w:pPr>
            <w:r>
              <w:rPr>
                <w:rFonts w:cs="Verdana" w:ascii="Verdana" w:hAnsi="Verdana"/>
                <w:b w:val="false"/>
                <w:sz w:val="22"/>
                <w:szCs w:val="22"/>
                <w:u w:val="none"/>
              </w:rPr>
              <w:t>Interview / Assessment</w:t>
            </w:r>
          </w:p>
        </w:tc>
        <w:tc>
          <w:tcPr>
            <w:tcW w:w="797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 w:right="0"/>
              <w:rPr>
                <w:rFonts w:ascii="Verdana" w:hAnsi="Verdana" w:cs="Verdana"/>
                <w:b w:val="false"/>
                <w:sz w:val="22"/>
                <w:szCs w:val="22"/>
                <w:u w:val="none"/>
              </w:rPr>
            </w:pPr>
            <w:r>
              <w:rPr>
                <w:rFonts w:cs="Verdana" w:ascii="Verdana" w:hAnsi="Verdana"/>
                <w:b w:val="false"/>
                <w:sz w:val="22"/>
                <w:szCs w:val="22"/>
                <w:u w:val="none"/>
              </w:rPr>
              <w:t>Ability to provide visible and supportive leadership in a complex environment.</w:t>
            </w:r>
          </w:p>
        </w:tc>
      </w:tr>
      <w:tr>
        <w:trPr>
          <w:trHeight w:val="567" w:hRule="atLeast"/>
        </w:trPr>
        <w:tc>
          <w:tcPr>
            <w:tcW w:w="222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Verdana" w:hAnsi="Verdana" w:cs="Verdana"/>
                <w:b w:val="false"/>
                <w:sz w:val="22"/>
                <w:szCs w:val="22"/>
                <w:u w:val="none"/>
              </w:rPr>
            </w:pPr>
            <w:r>
              <w:rPr>
                <w:rFonts w:cs="Verdana" w:ascii="Verdana" w:hAnsi="Verdana"/>
                <w:b w:val="false"/>
                <w:sz w:val="22"/>
                <w:szCs w:val="22"/>
                <w:u w:val="none"/>
              </w:rPr>
              <w:t>Interview / Assessment</w:t>
            </w:r>
          </w:p>
        </w:tc>
        <w:tc>
          <w:tcPr>
            <w:tcW w:w="797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Verdana" w:hAnsi="Verdana" w:cs="Verdana"/>
                <w:b w:val="false"/>
                <w:sz w:val="22"/>
                <w:szCs w:val="22"/>
                <w:u w:val="none"/>
              </w:rPr>
            </w:pPr>
            <w:r>
              <w:rPr>
                <w:rFonts w:cs="Verdana" w:ascii="Verdana" w:hAnsi="Verdana"/>
                <w:b w:val="false"/>
                <w:sz w:val="22"/>
                <w:szCs w:val="22"/>
                <w:u w:val="none"/>
              </w:rPr>
              <w:t>Ability to lead, motivate and develop the service’s management team and ensure they maintain a culture of change that is team based, performance driven and maintains the motivation of staff.</w:t>
            </w:r>
          </w:p>
        </w:tc>
      </w:tr>
    </w:tbl>
    <w:p>
      <w:pPr>
        <w:pStyle w:val="Normal"/>
        <w:rPr/>
      </w:pPr>
      <w:r>
        <w:rPr/>
      </w:r>
    </w:p>
    <w:p>
      <w:pPr>
        <w:pStyle w:val="Normal"/>
        <w:rPr/>
      </w:pPr>
      <w:r>
        <w:rPr/>
      </w:r>
    </w:p>
    <w:sectPr>
      <w:footerReference w:type="default" r:id="rId3"/>
      <w:type w:val="nextPage"/>
      <w:pgSz w:w="11906" w:h="16838"/>
      <w:pgMar w:left="851" w:right="851" w:gutter="0" w:header="0" w:top="851" w:footer="706" w:bottom="851"/>
      <w:pgNumType w:fmt="decimal"/>
      <w:formProt w:val="false"/>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Gill Sans Light">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2"/>
      <w:tabs>
        <w:tab w:val="clear" w:pos="720"/>
        <w:tab w:val="right" w:pos="10440" w:leader="none"/>
      </w:tabs>
      <w:ind w:hanging="0" w:left="0" w:right="36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85"/>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b/>
      <w:color w:val="auto"/>
      <w:kern w:val="0"/>
      <w:sz w:val="20"/>
      <w:szCs w:val="20"/>
      <w:u w:val="single"/>
      <w:lang w:val="en-GB" w:eastAsia="en-US" w:bidi="ar-SA"/>
    </w:rPr>
  </w:style>
  <w:style w:type="paragraph" w:styleId="Heading1">
    <w:name w:val="Heading 1"/>
    <w:basedOn w:val="Normal"/>
    <w:next w:val="Normal"/>
    <w:qFormat/>
    <w:pPr>
      <w:keepNext w:val="true"/>
      <w:numPr>
        <w:ilvl w:val="0"/>
        <w:numId w:val="1"/>
      </w:numPr>
      <w:spacing w:before="120" w:after="120"/>
      <w:jc w:val="center"/>
      <w:outlineLvl w:val="0"/>
    </w:pPr>
    <w:rPr>
      <w:sz w:val="24"/>
      <w:u w:val="none"/>
    </w:rPr>
  </w:style>
  <w:style w:type="paragraph" w:styleId="Heading2">
    <w:name w:val="Heading 2"/>
    <w:basedOn w:val="Normal"/>
    <w:next w:val="Normal"/>
    <w:qFormat/>
    <w:pPr>
      <w:keepNext w:val="true"/>
      <w:numPr>
        <w:ilvl w:val="1"/>
        <w:numId w:val="1"/>
      </w:numPr>
      <w:jc w:val="center"/>
      <w:outlineLvl w:val="1"/>
    </w:pPr>
    <w:rPr>
      <w:b w:val="false"/>
      <w:u w:val="none"/>
    </w:rPr>
  </w:style>
  <w:style w:type="paragraph" w:styleId="Heading3">
    <w:name w:val="Heading 3"/>
    <w:basedOn w:val="Normal"/>
    <w:next w:val="Normal"/>
    <w:qFormat/>
    <w:pPr>
      <w:keepNext w:val="true"/>
      <w:numPr>
        <w:ilvl w:val="2"/>
        <w:numId w:val="1"/>
      </w:numPr>
      <w:outlineLvl w:val="2"/>
    </w:pPr>
    <w:rPr>
      <w:i/>
      <w:sz w:val="24"/>
      <w:u w:val="none"/>
    </w:rPr>
  </w:style>
  <w:style w:type="paragraph" w:styleId="Heading4">
    <w:name w:val="Heading 4"/>
    <w:basedOn w:val="Normal"/>
    <w:next w:val="Normal"/>
    <w:qFormat/>
    <w:pPr>
      <w:keepNext w:val="true"/>
      <w:numPr>
        <w:ilvl w:val="3"/>
        <w:numId w:val="1"/>
      </w:numPr>
      <w:spacing w:before="240" w:after="60"/>
      <w:outlineLvl w:val="3"/>
    </w:pPr>
    <w:rPr>
      <w:bCs/>
      <w:sz w:val="28"/>
      <w:szCs w:val="28"/>
      <w:u w:val="none"/>
      <w:lang w:eastAsia="en-GB"/>
    </w:rPr>
  </w:style>
  <w:style w:type="paragraph" w:styleId="Heading6">
    <w:name w:val="Heading 6"/>
    <w:basedOn w:val="Normal"/>
    <w:next w:val="Normal"/>
    <w:qFormat/>
    <w:pPr>
      <w:numPr>
        <w:ilvl w:val="5"/>
        <w:numId w:val="1"/>
      </w:numPr>
      <w:spacing w:before="240" w:after="60"/>
      <w:outlineLvl w:val="5"/>
    </w:pPr>
    <w:rPr>
      <w:rFonts w:ascii="Calibri" w:hAnsi="Calibri" w:eastAsia="" w:cs=""/>
      <w:b w:val="false"/>
      <w:bCs/>
      <w:sz w:val="22"/>
      <w:szCs w:val="2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Wingdings" w:hAnsi="Wingdings" w:cs="Wingdings"/>
    </w:rPr>
  </w:style>
  <w:style w:type="character" w:styleId="WW8Num7z1">
    <w:name w:val="WW8Num7z1"/>
    <w:qFormat/>
    <w:rPr>
      <w:rFonts w:ascii="Courier New" w:hAnsi="Courier New" w:cs="Courier New"/>
    </w:rPr>
  </w:style>
  <w:style w:type="character" w:styleId="WW8Num7z3">
    <w:name w:val="WW8Num7z3"/>
    <w:qFormat/>
    <w:rPr>
      <w:rFonts w:ascii="Symbol" w:hAnsi="Symbol" w:cs="Symbol"/>
    </w:rPr>
  </w:style>
  <w:style w:type="character" w:styleId="DefaultParagraphFont">
    <w:name w:val="Default Paragraph Font"/>
    <w:qFormat/>
    <w:rPr/>
  </w:style>
  <w:style w:type="character" w:styleId="pagenumber">
    <w:name w:val="page number"/>
    <w:basedOn w:val="DefaultParagraphFont"/>
    <w:qFormat/>
    <w:rPr/>
  </w:style>
  <w:style w:type="character" w:styleId="Heading6Char">
    <w:name w:val="Heading 6 Char"/>
    <w:basedOn w:val="DefaultParagraphFont"/>
    <w:qFormat/>
    <w:rPr>
      <w:rFonts w:ascii="Calibri" w:hAnsi="Calibri" w:eastAsia="" w:cs=""/>
      <w:bCs/>
      <w:sz w:val="22"/>
      <w:szCs w:val="22"/>
      <w:u w:val="single"/>
      <w:lang w:eastAsia="en-US"/>
    </w:rPr>
  </w:style>
  <w:style w:type="character" w:styleId="BalloonTextChar">
    <w:name w:val="Balloon Text Char"/>
    <w:basedOn w:val="DefaultParagraphFont"/>
    <w:qFormat/>
    <w:rPr>
      <w:rFonts w:ascii="Segoe UI" w:hAnsi="Segoe UI" w:cs="Segoe UI"/>
      <w:b/>
      <w:sz w:val="18"/>
      <w:szCs w:val="18"/>
      <w:u w:val="single"/>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120" w:after="0"/>
      <w:jc w:val="both"/>
    </w:pPr>
    <w:rPr>
      <w:rFonts w:ascii="Arial" w:hAnsi="Arial" w:cs="Arial"/>
      <w:u w:val="none"/>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jc w:val="center"/>
    </w:pPr>
    <w:rPr>
      <w:sz w:val="24"/>
      <w:u w:val="none"/>
    </w:rPr>
  </w:style>
  <w:style w:type="paragraph" w:styleId="Subtitle">
    <w:name w:val="Subtitle"/>
    <w:basedOn w:val="Normal"/>
    <w:next w:val="BodyText"/>
    <w:qFormat/>
    <w:pPr>
      <w:jc w:val="center"/>
    </w:pPr>
    <w:rPr>
      <w:w w:val="150"/>
      <w:sz w:val="32"/>
      <w:u w:val="none"/>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caption1">
    <w:name w:val="caption1"/>
    <w:basedOn w:val="Normal"/>
    <w:next w:val="Normal"/>
    <w:qFormat/>
    <w:pPr>
      <w:spacing w:before="120" w:after="0"/>
      <w:jc w:val="both"/>
    </w:pPr>
    <w:rPr>
      <w:sz w:val="16"/>
      <w:u w:val="none"/>
    </w:rPr>
  </w:style>
  <w:style w:type="paragraph" w:styleId="TableText">
    <w:name w:val="Table Text"/>
    <w:basedOn w:val="Normal"/>
    <w:qFormat/>
    <w:pPr>
      <w:tabs>
        <w:tab w:val="clear" w:pos="720"/>
        <w:tab w:val="decimal" w:pos="0" w:leader="none"/>
      </w:tabs>
    </w:pPr>
    <w:rPr>
      <w:b w:val="false"/>
      <w:sz w:val="24"/>
      <w:u w:val="none"/>
      <w:lang w:eastAsia="en-GB"/>
    </w:rPr>
  </w:style>
  <w:style w:type="paragraph" w:styleId="ListParagraph">
    <w:name w:val="List Paragraph"/>
    <w:basedOn w:val="Normal"/>
    <w:qFormat/>
    <w:pPr>
      <w:ind w:hanging="0" w:left="720" w:right="0"/>
    </w:pPr>
    <w:rPr/>
  </w:style>
  <w:style w:type="paragraph" w:styleId="body">
    <w:name w:val="body"/>
    <w:qFormat/>
    <w:pPr>
      <w:widowControl/>
      <w:suppressAutoHyphens w:val="true"/>
      <w:bidi w:val="0"/>
      <w:spacing w:lineRule="exact" w:line="400" w:before="0" w:after="100"/>
      <w:jc w:val="both"/>
    </w:pPr>
    <w:rPr>
      <w:rFonts w:ascii="Gill Sans Light" w:hAnsi="Gill Sans Light" w:eastAsia="Times New Roman" w:cs="Times New Roman"/>
      <w:color w:val="auto"/>
      <w:kern w:val="0"/>
      <w:sz w:val="22"/>
      <w:szCs w:val="20"/>
      <w:lang w:val="en-US" w:eastAsia="en-US" w:bidi="ar-SA"/>
    </w:rPr>
  </w:style>
  <w:style w:type="paragraph" w:styleId="BalloonText">
    <w:name w:val="Balloon Text"/>
    <w:basedOn w:val="Normal"/>
    <w:qFormat/>
    <w:pPr/>
    <w:rPr>
      <w:rFonts w:ascii="Segoe UI" w:hAnsi="Segoe UI" w:cs="Segoe UI"/>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