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ind w:left="8157" w:right="0" w:hanging="0"/>
        <w:rPr>
          <w:b/>
          <w:b/>
        </w:rPr>
      </w:pPr>
      <w:r>
        <w:rPr/>
        <w:drawing>
          <wp:inline distT="0" distB="0" distL="0" distR="0">
            <wp:extent cx="1456690" cy="60769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2" t="-28" r="-12" b="-28"/>
                    <a:stretch>
                      <a:fillRect/>
                    </a:stretch>
                  </pic:blipFill>
                  <pic:spPr bwMode="auto">
                    <a:xfrm>
                      <a:off x="0" y="0"/>
                      <a:ext cx="1456690" cy="607695"/>
                    </a:xfrm>
                    <a:prstGeom prst="rect">
                      <a:avLst/>
                    </a:prstGeom>
                  </pic:spPr>
                </pic:pic>
              </a:graphicData>
            </a:graphic>
          </wp:inline>
        </w:drawing>
      </w:r>
    </w:p>
    <w:p>
      <w:pPr>
        <w:pStyle w:val="Normal"/>
        <w:spacing w:before="241" w:after="0"/>
        <w:ind w:left="3" w:right="0" w:hanging="0"/>
        <w:jc w:val="center"/>
        <w:rPr/>
      </w:pPr>
      <w:r>
        <w:rPr>
          <w:b/>
        </w:rPr>
        <w:t>JOB</w:t>
      </w:r>
      <w:r>
        <w:rPr>
          <w:b/>
          <w:spacing w:val="-2"/>
        </w:rPr>
        <w:t xml:space="preserve"> DESCRIPTION</w:t>
      </w:r>
    </w:p>
    <w:p>
      <w:pPr>
        <w:pStyle w:val="TextBody"/>
        <w:ind w:left="0" w:right="0" w:hanging="0"/>
        <w:rPr>
          <w:b/>
          <w:b/>
          <w:sz w:val="20"/>
        </w:rPr>
      </w:pPr>
      <w:r>
        <w:rPr>
          <w:b/>
          <w:sz w:val="20"/>
        </w:rPr>
      </w:r>
    </w:p>
    <w:p>
      <w:pPr>
        <w:pStyle w:val="TextBody"/>
        <w:ind w:left="0" w:right="0" w:hanging="0"/>
        <w:rPr>
          <w:b/>
          <w:b/>
          <w:sz w:val="20"/>
        </w:rPr>
      </w:pPr>
      <w:r>
        <w:rPr>
          <w:b/>
          <w:sz w:val="20"/>
        </w:rPr>
      </w:r>
    </w:p>
    <w:p>
      <w:pPr>
        <w:pStyle w:val="TextBody"/>
        <w:spacing w:before="19" w:after="0"/>
        <w:ind w:left="0" w:right="0" w:hanging="0"/>
        <w:rPr>
          <w:b/>
          <w:b/>
          <w:sz w:val="20"/>
        </w:rPr>
      </w:pPr>
      <w:r>
        <w:rPr>
          <w:b/>
          <w:sz w:val="20"/>
        </w:rPr>
      </w:r>
    </w:p>
    <w:p>
      <w:pPr>
        <w:sectPr>
          <w:type w:val="nextPage"/>
          <w:pgSz w:w="11906" w:h="16850"/>
          <w:pgMar w:left="500" w:right="500" w:header="0" w:top="720" w:footer="0" w:bottom="280" w:gutter="0"/>
          <w:pgNumType w:fmt="decimal"/>
          <w:formProt w:val="false"/>
          <w:textDirection w:val="lrTb"/>
          <w:docGrid w:type="default" w:linePitch="360" w:charSpace="0"/>
        </w:sectPr>
      </w:pPr>
    </w:p>
    <w:tbl>
      <w:tblPr>
        <w:tblW w:w="10698" w:type="dxa"/>
        <w:jc w:val="left"/>
        <w:tblInd w:w="112" w:type="dxa"/>
        <w:tblCellMar>
          <w:top w:w="0" w:type="dxa"/>
          <w:left w:w="7" w:type="dxa"/>
          <w:bottom w:w="0" w:type="dxa"/>
          <w:right w:w="7" w:type="dxa"/>
        </w:tblCellMar>
      </w:tblPr>
      <w:tblGrid>
        <w:gridCol w:w="5269"/>
        <w:gridCol w:w="5429"/>
      </w:tblGrid>
      <w:tr>
        <w:trPr>
          <w:trHeight w:val="718" w:hRule="atLeast"/>
        </w:trPr>
        <w:tc>
          <w:tcPr>
            <w:tcW w:w="10698" w:type="dxa"/>
            <w:gridSpan w:val="2"/>
            <w:tcBorders>
              <w:top w:val="single" w:sz="6" w:space="0" w:color="000000"/>
              <w:left w:val="single" w:sz="6" w:space="0" w:color="000000"/>
              <w:bottom w:val="double" w:sz="6" w:space="0" w:color="000000"/>
              <w:right w:val="single" w:sz="6" w:space="0" w:color="000000"/>
            </w:tcBorders>
            <w:shd w:fill="auto" w:val="clear"/>
          </w:tcPr>
          <w:p>
            <w:pPr>
              <w:pStyle w:val="TableParagraph"/>
              <w:spacing w:before="119" w:after="0"/>
              <w:rPr/>
            </w:pPr>
            <w:r>
              <w:rPr>
                <w:b/>
              </w:rPr>
              <w:t>Post</w:t>
            </w:r>
            <w:r>
              <w:rPr>
                <w:b/>
                <w:spacing w:val="-4"/>
              </w:rPr>
              <w:t xml:space="preserve"> </w:t>
            </w:r>
            <w:r>
              <w:rPr>
                <w:b/>
              </w:rPr>
              <w:t>Title</w:t>
            </w:r>
            <w:r>
              <w:rPr/>
              <w:t>:</w:t>
            </w:r>
            <w:r>
              <w:rPr>
                <w:spacing w:val="-4"/>
              </w:rPr>
              <w:t xml:space="preserve"> Procurement Officer</w:t>
            </w:r>
          </w:p>
        </w:tc>
      </w:tr>
      <w:tr>
        <w:trPr>
          <w:trHeight w:val="667" w:hRule="atLeast"/>
        </w:trPr>
        <w:tc>
          <w:tcPr>
            <w:tcW w:w="5269" w:type="dxa"/>
            <w:tcBorders>
              <w:top w:val="double" w:sz="6" w:space="0" w:color="000000"/>
              <w:left w:val="single" w:sz="6" w:space="0" w:color="000000"/>
              <w:bottom w:val="double" w:sz="6" w:space="0" w:color="000000"/>
            </w:tcBorders>
            <w:shd w:fill="auto" w:val="clear"/>
          </w:tcPr>
          <w:p>
            <w:pPr>
              <w:pStyle w:val="TableParagraph"/>
              <w:spacing w:before="121" w:after="0"/>
              <w:rPr/>
            </w:pPr>
            <w:r>
              <w:rPr>
                <w:b/>
              </w:rPr>
              <w:t>Department</w:t>
            </w:r>
            <w:r>
              <w:rPr/>
              <w:t>:</w:t>
            </w:r>
            <w:r>
              <w:rPr>
                <w:spacing w:val="-9"/>
              </w:rPr>
              <w:t xml:space="preserve"> </w:t>
            </w:r>
            <w:r>
              <w:rPr>
                <w:spacing w:val="-2"/>
              </w:rPr>
              <w:t>Procurement</w:t>
            </w:r>
          </w:p>
        </w:tc>
        <w:tc>
          <w:tcPr>
            <w:tcW w:w="542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Post</w:t>
            </w:r>
            <w:r>
              <w:rPr>
                <w:b/>
                <w:spacing w:val="-5"/>
              </w:rPr>
              <w:t xml:space="preserve"> No</w:t>
            </w:r>
            <w:r>
              <w:rPr>
                <w:spacing w:val="-5"/>
              </w:rPr>
              <w:t>:</w:t>
            </w:r>
          </w:p>
        </w:tc>
      </w:tr>
      <w:tr>
        <w:trPr>
          <w:trHeight w:val="975" w:hRule="atLeast"/>
        </w:trPr>
        <w:tc>
          <w:tcPr>
            <w:tcW w:w="5269" w:type="dxa"/>
            <w:tcBorders>
              <w:top w:val="double" w:sz="6" w:space="0" w:color="000000"/>
              <w:left w:val="single" w:sz="6" w:space="0" w:color="000000"/>
              <w:bottom w:val="double" w:sz="6" w:space="0" w:color="000000"/>
            </w:tcBorders>
            <w:shd w:fill="auto" w:val="clear"/>
          </w:tcPr>
          <w:p>
            <w:pPr>
              <w:pStyle w:val="TableParagraph"/>
              <w:spacing w:lineRule="auto" w:line="276" w:before="121" w:after="0"/>
              <w:rPr/>
            </w:pPr>
            <w:r>
              <w:rPr>
                <w:b/>
              </w:rPr>
              <w:t>Division/Section</w:t>
            </w:r>
            <w:r>
              <w:rPr/>
              <w:t>:</w:t>
            </w:r>
            <w:r>
              <w:rPr>
                <w:spacing w:val="-16"/>
              </w:rPr>
              <w:t xml:space="preserve"> </w:t>
            </w:r>
            <w:r>
              <w:rPr/>
              <w:t>Finance</w:t>
            </w:r>
          </w:p>
        </w:tc>
        <w:tc>
          <w:tcPr>
            <w:tcW w:w="542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Post</w:t>
            </w:r>
            <w:r>
              <w:rPr>
                <w:b/>
                <w:spacing w:val="-5"/>
              </w:rPr>
              <w:t xml:space="preserve"> </w:t>
            </w:r>
            <w:r>
              <w:rPr>
                <w:b/>
              </w:rPr>
              <w:t>Grade</w:t>
            </w:r>
            <w:r>
              <w:rPr/>
              <w:t>:</w:t>
            </w:r>
            <w:r>
              <w:rPr>
                <w:spacing w:val="-4"/>
              </w:rPr>
              <w:t xml:space="preserve"> </w:t>
            </w:r>
          </w:p>
          <w:p>
            <w:pPr>
              <w:pStyle w:val="TableParagraph"/>
              <w:spacing w:before="121" w:after="0"/>
              <w:rPr>
                <w:bCs/>
              </w:rPr>
            </w:pPr>
            <w:r>
              <w:rPr>
                <w:bCs/>
              </w:rPr>
              <w:t>13</w:t>
            </w:r>
          </w:p>
        </w:tc>
      </w:tr>
      <w:tr>
        <w:trPr>
          <w:trHeight w:val="720" w:hRule="atLeast"/>
        </w:trPr>
        <w:tc>
          <w:tcPr>
            <w:tcW w:w="5269" w:type="dxa"/>
            <w:tcBorders>
              <w:top w:val="double" w:sz="6" w:space="0" w:color="000000"/>
              <w:left w:val="single" w:sz="6" w:space="0" w:color="000000"/>
              <w:bottom w:val="double" w:sz="6" w:space="0" w:color="000000"/>
            </w:tcBorders>
            <w:shd w:fill="auto" w:val="clear"/>
          </w:tcPr>
          <w:p>
            <w:pPr>
              <w:pStyle w:val="TableParagraph"/>
              <w:spacing w:before="121" w:after="0"/>
              <w:rPr/>
            </w:pPr>
            <w:r>
              <w:rPr>
                <w:b/>
              </w:rPr>
              <w:t>Location</w:t>
            </w:r>
            <w:r>
              <w:rPr/>
              <w:t>:</w:t>
            </w:r>
            <w:r>
              <w:rPr>
                <w:spacing w:val="-10"/>
              </w:rPr>
              <w:t xml:space="preserve"> </w:t>
            </w:r>
            <w:r>
              <w:rPr>
                <w:rFonts w:cs="Arial"/>
              </w:rPr>
              <w:t>Hybrid (Based out of the Town Hall)</w:t>
            </w:r>
          </w:p>
        </w:tc>
        <w:tc>
          <w:tcPr>
            <w:tcW w:w="542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Post</w:t>
            </w:r>
            <w:r>
              <w:rPr>
                <w:b/>
                <w:spacing w:val="-5"/>
              </w:rPr>
              <w:t xml:space="preserve"> </w:t>
            </w:r>
            <w:r>
              <w:rPr>
                <w:b/>
              </w:rPr>
              <w:t>Hours</w:t>
            </w:r>
            <w:r>
              <w:rPr/>
              <w:t>:</w:t>
            </w:r>
            <w:r>
              <w:rPr>
                <w:spacing w:val="-3"/>
              </w:rPr>
              <w:t xml:space="preserve"> </w:t>
            </w:r>
            <w:r>
              <w:rPr>
                <w:spacing w:val="-5"/>
              </w:rPr>
              <w:t>37</w:t>
            </w:r>
          </w:p>
        </w:tc>
      </w:tr>
      <w:tr>
        <w:trPr>
          <w:trHeight w:val="1525" w:hRule="atLeast"/>
        </w:trPr>
        <w:tc>
          <w:tcPr>
            <w:tcW w:w="10698" w:type="dxa"/>
            <w:gridSpan w:val="2"/>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Special</w:t>
            </w:r>
            <w:r>
              <w:rPr>
                <w:b/>
                <w:spacing w:val="-7"/>
              </w:rPr>
              <w:t xml:space="preserve"> </w:t>
            </w:r>
            <w:r>
              <w:rPr>
                <w:b/>
              </w:rPr>
              <w:t>Conditions</w:t>
            </w:r>
            <w:r>
              <w:rPr>
                <w:b/>
                <w:spacing w:val="-6"/>
              </w:rPr>
              <w:t xml:space="preserve"> </w:t>
            </w:r>
            <w:r>
              <w:rPr>
                <w:b/>
              </w:rPr>
              <w:t>of</w:t>
            </w:r>
            <w:r>
              <w:rPr>
                <w:b/>
                <w:spacing w:val="-5"/>
              </w:rPr>
              <w:t xml:space="preserve"> </w:t>
            </w:r>
            <w:r>
              <w:rPr>
                <w:b/>
                <w:spacing w:val="-2"/>
              </w:rPr>
              <w:t>Service</w:t>
            </w:r>
            <w:r>
              <w:rPr>
                <w:spacing w:val="-2"/>
              </w:rPr>
              <w:t>:</w:t>
            </w:r>
          </w:p>
          <w:p>
            <w:pPr>
              <w:pStyle w:val="TableParagraph"/>
              <w:spacing w:before="12" w:after="0"/>
              <w:ind w:left="0" w:right="0" w:hanging="0"/>
              <w:rPr>
                <w:b/>
                <w:b/>
              </w:rPr>
            </w:pPr>
            <w:r>
              <w:rPr>
                <w:b/>
              </w:rPr>
            </w:r>
          </w:p>
          <w:p>
            <w:pPr>
              <w:pStyle w:val="Normal"/>
              <w:ind w:left="25" w:right="152" w:hanging="0"/>
              <w:jc w:val="both"/>
              <w:rPr>
                <w:rFonts w:cs="Arial"/>
              </w:rPr>
            </w:pPr>
            <w:r>
              <w:rPr>
                <w:rFonts w:cs="Arial"/>
              </w:rPr>
              <w:t>The nature of the post will require the post holder to work flexibly dependent on the needs of the job. This can mean working outside of standard working hours.</w:t>
            </w:r>
          </w:p>
          <w:p>
            <w:pPr>
              <w:pStyle w:val="TableParagraph"/>
              <w:spacing w:lineRule="auto" w:line="276"/>
              <w:ind w:left="107" w:right="185" w:hanging="0"/>
              <w:rPr/>
            </w:pPr>
            <w:r>
              <w:rPr/>
            </w:r>
          </w:p>
        </w:tc>
      </w:tr>
    </w:tbl>
    <w:p>
      <w:pPr>
        <w:sectPr>
          <w:type w:val="continuous"/>
          <w:pgSz w:w="11906" w:h="16850"/>
          <w:pgMar w:left="500" w:right="500" w:header="0" w:top="720" w:footer="0" w:bottom="280" w:gutter="0"/>
          <w:formProt w:val="false"/>
          <w:textDirection w:val="lrTb"/>
          <w:docGrid w:type="default" w:linePitch="360" w:charSpace="0"/>
        </w:sectPr>
      </w:pPr>
    </w:p>
    <w:tbl>
      <w:tblPr>
        <w:tblW w:w="10699" w:type="dxa"/>
        <w:jc w:val="left"/>
        <w:tblInd w:w="112" w:type="dxa"/>
        <w:tblCellMar>
          <w:top w:w="0" w:type="dxa"/>
          <w:left w:w="7" w:type="dxa"/>
          <w:bottom w:w="0" w:type="dxa"/>
          <w:right w:w="7" w:type="dxa"/>
        </w:tblCellMar>
      </w:tblPr>
      <w:tblGrid>
        <w:gridCol w:w="10699"/>
      </w:tblGrid>
      <w:tr>
        <w:trPr>
          <w:trHeight w:val="7745"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Normal"/>
              <w:widowControl/>
              <w:spacing w:lineRule="auto" w:line="276" w:before="120" w:after="240"/>
              <w:ind w:left="25" w:right="0" w:hanging="0"/>
              <w:rPr>
                <w:rFonts w:eastAsia="Calibri" w:cs="Arial"/>
                <w:b/>
                <w:b/>
                <w:bCs/>
                <w:lang w:val="en-GB"/>
              </w:rPr>
            </w:pPr>
            <w:r>
              <w:rPr>
                <w:rFonts w:eastAsia="Calibri" w:cs="Arial"/>
                <w:b/>
                <w:bCs/>
                <w:lang w:val="en-GB"/>
              </w:rPr>
              <w:t>Purpose and Objectives of Post:</w:t>
            </w:r>
          </w:p>
          <w:p>
            <w:pPr>
              <w:pStyle w:val="Normal"/>
              <w:widowControl/>
              <w:spacing w:lineRule="auto" w:line="276" w:before="120" w:after="240"/>
              <w:ind w:left="25" w:right="0" w:hanging="0"/>
              <w:rPr>
                <w:rFonts w:eastAsia="Calibri" w:cs="Arial"/>
                <w:lang w:val="en-GB"/>
              </w:rPr>
            </w:pPr>
            <w:r>
              <w:rPr>
                <w:rFonts w:eastAsia="Calibri" w:cs="Arial"/>
                <w:lang w:val="en-GB"/>
              </w:rPr>
              <w:t>The Procurement Officer is a professional delivery role within the Corporate Procurement Service, supporting the Council’s category management approach across a range of service areas. Procurement Officers are allocated to work with Senior Procurement Managers on defined portfolios, which may include Corporate Core, Place, Health and Care, or Children and Young People, and contribute to the delivery of procurement activity across these areas.</w:t>
            </w:r>
          </w:p>
          <w:p>
            <w:pPr>
              <w:pStyle w:val="Normal"/>
              <w:widowControl/>
              <w:spacing w:lineRule="auto" w:line="276" w:before="120" w:after="240"/>
              <w:ind w:left="25" w:right="0" w:hanging="0"/>
              <w:rPr>
                <w:rFonts w:eastAsia="Calibri" w:cs="Arial"/>
                <w:lang w:val="en-GB"/>
              </w:rPr>
            </w:pPr>
            <w:r>
              <w:rPr>
                <w:rFonts w:eastAsia="Calibri" w:cs="Arial"/>
                <w:lang w:val="en-GB"/>
              </w:rPr>
              <w:t>The role focuses on the practical delivery of procurement exercises, supporting the planning, coordination and completion of sourcing activity for goods, works and services. Procurement Officers manage low to medium value or complexity procurements and support higher value or more complex activity led by Senior Procurement Managers. The role requires a sound understanding of procurement processes, legislation and internal governance, with an emphasis on accuracy, consistency and compliance.</w:t>
            </w:r>
          </w:p>
          <w:p>
            <w:pPr>
              <w:pStyle w:val="Normal"/>
              <w:widowControl/>
              <w:spacing w:lineRule="auto" w:line="276" w:before="120" w:after="240"/>
              <w:ind w:left="25" w:right="0" w:hanging="0"/>
              <w:rPr>
                <w:rFonts w:eastAsia="Calibri" w:cs="Arial"/>
                <w:lang w:val="en-GB"/>
              </w:rPr>
            </w:pPr>
            <w:r>
              <w:rPr>
                <w:rFonts w:eastAsia="Calibri" w:cs="Arial"/>
                <w:lang w:val="en-GB"/>
              </w:rPr>
              <w:t>Working closely with service commissioners, budget holders, contract managers and service officers, Procurement Officers provide clear and practical advice on procurement processes and requirements, helping services to progress activity efficiently and compliantly. They support the preparation of procurement documentation, evaluation activity, approvals and contract award processes.</w:t>
            </w:r>
          </w:p>
          <w:p>
            <w:pPr>
              <w:pStyle w:val="Normal"/>
              <w:widowControl/>
              <w:spacing w:lineRule="auto" w:line="276" w:before="120" w:after="240"/>
              <w:ind w:left="25" w:right="0" w:hanging="0"/>
              <w:rPr>
                <w:rFonts w:eastAsia="Calibri" w:cs="Arial"/>
                <w:lang w:val="en-GB"/>
              </w:rPr>
            </w:pPr>
            <w:r>
              <w:rPr>
                <w:rFonts w:eastAsia="Calibri" w:cs="Arial"/>
                <w:lang w:val="en-GB"/>
              </w:rPr>
              <w:t>Procurement Officers also support contract mobilisation and supplier management activity by ensuring records, documentation and system data are accurate and complete. Effective use of the Council’s procurement and financial systems — including Unit4 ERP, Scanmarket and Proactis — is a core requirement of the role. Procurement Officers are expected to engage in ongoing professional development and contribute to the continuous improvement of procurement practice across the Council.</w:t>
            </w:r>
          </w:p>
        </w:tc>
      </w:tr>
      <w:tr>
        <w:trPr>
          <w:trHeight w:val="667"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Accountable</w:t>
            </w:r>
            <w:r>
              <w:rPr>
                <w:b/>
                <w:spacing w:val="-6"/>
              </w:rPr>
              <w:t xml:space="preserve"> </w:t>
            </w:r>
            <w:r>
              <w:rPr>
                <w:b/>
              </w:rPr>
              <w:t>to</w:t>
            </w:r>
            <w:r>
              <w:rPr/>
              <w:t>:</w:t>
            </w:r>
            <w:r>
              <w:rPr>
                <w:spacing w:val="-4"/>
              </w:rPr>
              <w:t xml:space="preserve"> Head of Procurement</w:t>
            </w:r>
          </w:p>
        </w:tc>
      </w:tr>
      <w:tr>
        <w:trPr>
          <w:trHeight w:val="836"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18" w:after="0"/>
              <w:rPr/>
            </w:pPr>
            <w:r>
              <w:rPr>
                <w:b/>
              </w:rPr>
              <w:t>Immediately</w:t>
            </w:r>
            <w:r>
              <w:rPr>
                <w:b/>
                <w:spacing w:val="-8"/>
              </w:rPr>
              <w:t xml:space="preserve"> </w:t>
            </w:r>
            <w:r>
              <w:rPr>
                <w:b/>
              </w:rPr>
              <w:t>Responsible</w:t>
            </w:r>
            <w:r>
              <w:rPr>
                <w:b/>
                <w:spacing w:val="-6"/>
              </w:rPr>
              <w:t xml:space="preserve"> </w:t>
            </w:r>
            <w:r>
              <w:rPr>
                <w:b/>
              </w:rPr>
              <w:t>to</w:t>
            </w:r>
            <w:r>
              <w:rPr/>
              <w:t>:</w:t>
            </w:r>
            <w:r>
              <w:rPr>
                <w:spacing w:val="-4"/>
              </w:rPr>
              <w:t xml:space="preserve"> Senior Procurement Manager</w:t>
            </w:r>
          </w:p>
        </w:tc>
      </w:tr>
      <w:tr>
        <w:trPr>
          <w:trHeight w:val="975"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lineRule="auto" w:line="276" w:before="121" w:after="0"/>
              <w:rPr/>
            </w:pPr>
            <w:r>
              <w:rPr>
                <w:b/>
              </w:rPr>
              <w:t>Immediately</w:t>
            </w:r>
            <w:r>
              <w:rPr>
                <w:b/>
                <w:spacing w:val="-4"/>
              </w:rPr>
              <w:t xml:space="preserve"> </w:t>
            </w:r>
            <w:r>
              <w:rPr>
                <w:b/>
              </w:rPr>
              <w:t>Responsible</w:t>
            </w:r>
            <w:r>
              <w:rPr>
                <w:b/>
                <w:spacing w:val="-5"/>
              </w:rPr>
              <w:t xml:space="preserve"> </w:t>
            </w:r>
            <w:r>
              <w:rPr>
                <w:b/>
              </w:rPr>
              <w:t>for</w:t>
            </w:r>
            <w:r>
              <w:rPr/>
              <w:t>:</w:t>
            </w:r>
            <w:r>
              <w:rPr>
                <w:spacing w:val="-6"/>
              </w:rPr>
              <w:t xml:space="preserve"> Apprentices as allocated</w:t>
            </w:r>
          </w:p>
        </w:tc>
      </w:tr>
      <w:tr>
        <w:trPr>
          <w:trHeight w:val="1798"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Relationships:</w:t>
            </w:r>
            <w:r>
              <w:rPr>
                <w:b/>
                <w:spacing w:val="-9"/>
              </w:rPr>
              <w:t xml:space="preserve"> </w:t>
            </w:r>
            <w:r>
              <w:rPr>
                <w:b/>
              </w:rPr>
              <w:t>(Internal</w:t>
            </w:r>
            <w:r>
              <w:rPr>
                <w:b/>
                <w:spacing w:val="-10"/>
              </w:rPr>
              <w:t xml:space="preserve"> </w:t>
            </w:r>
            <w:r>
              <w:rPr>
                <w:b/>
              </w:rPr>
              <w:t>and</w:t>
            </w:r>
            <w:r>
              <w:rPr>
                <w:b/>
                <w:spacing w:val="-9"/>
              </w:rPr>
              <w:t xml:space="preserve"> </w:t>
            </w:r>
            <w:r>
              <w:rPr>
                <w:b/>
                <w:spacing w:val="-2"/>
              </w:rPr>
              <w:t>External)</w:t>
            </w:r>
          </w:p>
          <w:p>
            <w:pPr>
              <w:pStyle w:val="TableParagraph"/>
              <w:spacing w:lineRule="auto" w:line="276" w:before="160" w:after="0"/>
              <w:ind w:left="107" w:right="152" w:hanging="0"/>
              <w:jc w:val="both"/>
              <w:rPr>
                <w:lang w:val="en-GB"/>
              </w:rPr>
            </w:pPr>
            <w:r>
              <w:rPr>
                <w:lang w:val="en-GB"/>
              </w:rPr>
              <w:t>Finance leadership team, Directors and Assistant Directors, Service Heads and Managers, commissioning and operational teams, Legal Services, Internal Audit, suppliers and market partners, collaborative procurement bodies, regional and national procurement networks.</w:t>
            </w:r>
          </w:p>
          <w:p>
            <w:pPr>
              <w:pStyle w:val="TableParagraph"/>
              <w:spacing w:lineRule="auto" w:line="276" w:before="160" w:after="0"/>
              <w:ind w:left="107" w:right="152" w:hanging="0"/>
              <w:jc w:val="both"/>
              <w:rPr/>
            </w:pPr>
            <w:r>
              <w:rPr/>
            </w:r>
          </w:p>
        </w:tc>
      </w:tr>
      <w:tr>
        <w:trPr>
          <w:trHeight w:val="954" w:hRule="atLeast"/>
        </w:trPr>
        <w:tc>
          <w:tcPr>
            <w:tcW w:w="10699" w:type="dxa"/>
            <w:tcBorders>
              <w:top w:val="double" w:sz="6" w:space="0" w:color="000000"/>
              <w:left w:val="single" w:sz="6" w:space="0" w:color="000000"/>
              <w:bottom w:val="single" w:sz="6" w:space="0" w:color="000000"/>
              <w:right w:val="single" w:sz="6" w:space="0" w:color="000000"/>
            </w:tcBorders>
            <w:shd w:fill="auto" w:val="clear"/>
          </w:tcPr>
          <w:p>
            <w:pPr>
              <w:pStyle w:val="TableParagraph"/>
              <w:spacing w:before="121" w:after="0"/>
              <w:rPr/>
            </w:pPr>
            <w:r>
              <w:rPr>
                <w:b/>
              </w:rPr>
              <w:t>Control</w:t>
            </w:r>
            <w:r>
              <w:rPr>
                <w:b/>
                <w:spacing w:val="-8"/>
              </w:rPr>
              <w:t xml:space="preserve"> </w:t>
            </w:r>
            <w:r>
              <w:rPr>
                <w:b/>
              </w:rPr>
              <w:t>of</w:t>
            </w:r>
            <w:r>
              <w:rPr>
                <w:b/>
                <w:spacing w:val="-6"/>
              </w:rPr>
              <w:t xml:space="preserve"> </w:t>
            </w:r>
            <w:r>
              <w:rPr>
                <w:b/>
              </w:rPr>
              <w:t>Resources</w:t>
            </w:r>
            <w:r>
              <w:rPr/>
              <w:t>:</w:t>
            </w:r>
            <w:r>
              <w:rPr>
                <w:spacing w:val="-5"/>
              </w:rPr>
              <w:t xml:space="preserve"> </w:t>
            </w:r>
            <w:r>
              <w:rPr>
                <w:lang w:val="en-GB"/>
              </w:rPr>
              <w:t>Responsible for managing individual procurement exercises and supporting contract activity within assigned categories, contributing to the effective use of third-party expenditure. Supports the maintenance of accurate procurement and contract records and ensures activity is progressed in line with approved processes, budgets and delegated authority.</w:t>
            </w:r>
          </w:p>
          <w:p>
            <w:pPr>
              <w:pStyle w:val="TableParagraph"/>
              <w:spacing w:before="121" w:after="0"/>
              <w:rPr/>
            </w:pPr>
            <w:r>
              <w:rPr/>
            </w:r>
          </w:p>
        </w:tc>
      </w:tr>
    </w:tbl>
    <w:tbl>
      <w:tblPr>
        <w:tblW w:w="10698" w:type="dxa"/>
        <w:jc w:val="left"/>
        <w:tblInd w:w="112" w:type="dxa"/>
        <w:tblCellMar>
          <w:top w:w="0" w:type="dxa"/>
          <w:left w:w="7" w:type="dxa"/>
          <w:bottom w:w="0" w:type="dxa"/>
          <w:right w:w="7" w:type="dxa"/>
        </w:tblCellMar>
      </w:tblPr>
      <w:tblGrid>
        <w:gridCol w:w="4529"/>
        <w:gridCol w:w="3508"/>
        <w:gridCol w:w="2661"/>
      </w:tblGrid>
      <w:tr>
        <w:trPr>
          <w:trHeight w:val="993" w:hRule="atLeast"/>
        </w:trPr>
        <w:tc>
          <w:tcPr>
            <w:tcW w:w="10698" w:type="dxa"/>
            <w:gridSpan w:val="3"/>
            <w:tcBorders>
              <w:left w:val="single" w:sz="6" w:space="0" w:color="000000"/>
              <w:right w:val="single" w:sz="6" w:space="0" w:color="000000"/>
            </w:tcBorders>
            <w:shd w:fill="auto" w:val="clear"/>
          </w:tcPr>
          <w:p>
            <w:pPr>
              <w:pStyle w:val="TableParagraph"/>
              <w:tabs>
                <w:tab w:val="clear" w:pos="720"/>
                <w:tab w:val="left" w:pos="467" w:leader="none"/>
              </w:tabs>
              <w:spacing w:lineRule="auto" w:line="268" w:before="243" w:after="0"/>
              <w:ind w:left="107" w:right="152" w:hanging="0"/>
              <w:jc w:val="both"/>
              <w:rPr>
                <w:b/>
                <w:b/>
                <w:lang w:val="en-GB"/>
              </w:rPr>
            </w:pPr>
            <w:r>
              <w:rPr>
                <w:b/>
                <w:lang w:val="en-GB"/>
              </w:rPr>
              <w:t>Qualifications and Development</w:t>
            </w:r>
          </w:p>
          <w:p>
            <w:pPr>
              <w:pStyle w:val="TableParagraph"/>
              <w:tabs>
                <w:tab w:val="clear" w:pos="720"/>
                <w:tab w:val="left" w:pos="467" w:leader="none"/>
              </w:tabs>
              <w:spacing w:lineRule="auto" w:line="268" w:before="243" w:after="0"/>
              <w:ind w:left="107" w:right="152" w:hanging="0"/>
              <w:jc w:val="both"/>
              <w:rPr>
                <w:b/>
                <w:b/>
                <w:bCs/>
                <w:lang w:val="en-GB"/>
              </w:rPr>
            </w:pPr>
            <w:r>
              <w:rPr>
                <w:b/>
                <w:bCs/>
                <w:lang w:val="en-GB"/>
              </w:rPr>
              <w:t>Minimum qualification requirement</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Relevant qualification or equivalent professional experience.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Ability to demonstrate knowledge of procurement processes and governance.</w:t>
            </w:r>
          </w:p>
          <w:p>
            <w:pPr>
              <w:pStyle w:val="TableParagraph"/>
              <w:tabs>
                <w:tab w:val="clear" w:pos="720"/>
                <w:tab w:val="left" w:pos="467" w:leader="none"/>
              </w:tabs>
              <w:spacing w:lineRule="auto" w:line="268" w:before="243" w:after="0"/>
              <w:ind w:left="107" w:right="152" w:hanging="0"/>
              <w:jc w:val="both"/>
              <w:rPr>
                <w:b/>
                <w:b/>
                <w:bCs/>
                <w:lang w:val="en-GB"/>
              </w:rPr>
            </w:pPr>
            <w:r>
              <w:rPr>
                <w:b/>
                <w:bCs/>
                <w:lang w:val="en-GB"/>
              </w:rPr>
              <w:t>Expected professional standing</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Working towards or holding a professional procurement qualification (such as CIPS) is desirable.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Experience in public sector procurement or a regulated commercial environment is desirable but not essential at entry level.</w:t>
            </w:r>
          </w:p>
          <w:p>
            <w:pPr>
              <w:pStyle w:val="TableParagraph"/>
              <w:tabs>
                <w:tab w:val="clear" w:pos="720"/>
                <w:tab w:val="left" w:pos="467" w:leader="none"/>
              </w:tabs>
              <w:spacing w:lineRule="auto" w:line="268" w:before="243" w:after="0"/>
              <w:ind w:left="107" w:right="152" w:hanging="0"/>
              <w:jc w:val="both"/>
              <w:rPr>
                <w:b/>
                <w:b/>
                <w:bCs/>
                <w:lang w:val="en-GB"/>
              </w:rPr>
            </w:pPr>
            <w:r>
              <w:rPr>
                <w:b/>
                <w:bCs/>
                <w:lang w:val="en-GB"/>
              </w:rPr>
              <w:t>Development expectation</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Progression towards a recognised procurement qualification (typically CIPS).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Engagement in structured learning and development aligned to the procurement career pathway.</w:t>
            </w:r>
          </w:p>
        </w:tc>
      </w:tr>
      <w:tr>
        <w:trPr>
          <w:trHeight w:val="993" w:hRule="atLeast"/>
        </w:trPr>
        <w:tc>
          <w:tcPr>
            <w:tcW w:w="10698" w:type="dxa"/>
            <w:gridSpan w:val="3"/>
            <w:tcBorders>
              <w:left w:val="single" w:sz="6" w:space="0" w:color="000000"/>
              <w:right w:val="single" w:sz="6" w:space="0" w:color="000000"/>
            </w:tcBorders>
            <w:shd w:fill="auto" w:val="clear"/>
          </w:tcPr>
          <w:p>
            <w:pPr>
              <w:pStyle w:val="TableParagraph"/>
              <w:tabs>
                <w:tab w:val="clear" w:pos="720"/>
                <w:tab w:val="left" w:pos="467" w:leader="none"/>
              </w:tabs>
              <w:spacing w:lineRule="auto" w:line="268" w:before="243" w:after="0"/>
              <w:ind w:left="107" w:right="152" w:hanging="0"/>
              <w:jc w:val="both"/>
              <w:rPr>
                <w:b/>
                <w:b/>
                <w:lang w:val="en-GB"/>
              </w:rPr>
            </w:pPr>
            <w:r>
              <w:rPr>
                <w:b/>
                <w:lang w:val="en-GB"/>
              </w:rPr>
              <w:t>Functional Duties and Responsibilities</w:t>
            </w:r>
          </w:p>
          <w:p>
            <w:pPr>
              <w:pStyle w:val="TableParagraph"/>
              <w:tabs>
                <w:tab w:val="clear" w:pos="720"/>
                <w:tab w:val="left" w:pos="467" w:leader="none"/>
              </w:tabs>
              <w:spacing w:lineRule="auto" w:line="268" w:before="243" w:after="0"/>
              <w:ind w:left="107" w:right="152" w:hanging="0"/>
              <w:jc w:val="both"/>
              <w:rPr>
                <w:b/>
                <w:b/>
                <w:lang w:val="en-GB"/>
              </w:rPr>
            </w:pPr>
            <w:r>
              <w:rPr>
                <w:b/>
                <w:lang w:val="en-GB"/>
              </w:rPr>
              <w:t>Category Strategy and Planning</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Support Senior Procurement Managers in the delivery of agreed category plans and procurement pipelines by contributing data, documentation and practical input.</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Develop a working understanding of assigned categories, including key spend areas, contracts and service requirements, to support effective procurement delivery.</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Assist with spend analysis, market research and preparation for early market engagement activity.</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Highlight emerging issues, risks or opportunities within assigned procurement activity to the Senior Procurement Manager.</w:t>
            </w:r>
          </w:p>
          <w:p>
            <w:pPr>
              <w:pStyle w:val="TableParagraph"/>
              <w:tabs>
                <w:tab w:val="clear" w:pos="720"/>
                <w:tab w:val="left" w:pos="467" w:leader="none"/>
              </w:tabs>
              <w:spacing w:lineRule="auto" w:line="268" w:before="243" w:after="0"/>
              <w:ind w:left="107" w:right="152" w:hanging="0"/>
              <w:jc w:val="both"/>
              <w:rPr>
                <w:b/>
                <w:b/>
                <w:lang w:val="en-GB"/>
              </w:rPr>
            </w:pPr>
            <w:r>
              <w:rPr>
                <w:b/>
                <w:lang w:val="en-GB"/>
              </w:rPr>
              <w:t>Procurement Delivery and Commercial Management</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Deliver low to medium value and complexity procurement exercises within assigned categories, managing tasks and timescales under the direction of the Senior Procurement Manager.</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Prepare procurement documentation, including specifications, tender packs, evaluation materials and reports, ensuring accuracy and compliance.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Support evaluation processes, clarification activity and contract award documentation.</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Assist with contract mobilisation activity, ensuring documentation and system records are completed and handed over appropriately.</w:t>
            </w:r>
          </w:p>
          <w:p>
            <w:pPr>
              <w:pStyle w:val="TableParagraph"/>
              <w:tabs>
                <w:tab w:val="clear" w:pos="720"/>
                <w:tab w:val="left" w:pos="467" w:leader="none"/>
              </w:tabs>
              <w:spacing w:lineRule="auto" w:line="268" w:before="243" w:after="0"/>
              <w:ind w:left="107" w:right="152" w:hanging="0"/>
              <w:jc w:val="both"/>
              <w:rPr>
                <w:b/>
                <w:b/>
                <w:lang w:val="en-GB"/>
              </w:rPr>
            </w:pPr>
            <w:r>
              <w:rPr>
                <w:b/>
                <w:lang w:val="en-GB"/>
              </w:rPr>
              <w:t>Stakeholder Engagement and Influence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Act as a day-to-day point of contact for services on assigned procurement activity, providing clear and practical guidance on processes and requirements.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Work with commissioners, budget holders and service officers to gather information and support timely progression of procurement exercises.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Maintain professional, constructive working relationships with internal stakeholders and suppliers.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Escalate issues, delays or risks to the Senior Procurement Manager as appropriate.</w:t>
            </w:r>
          </w:p>
          <w:p>
            <w:pPr>
              <w:pStyle w:val="TableParagraph"/>
              <w:tabs>
                <w:tab w:val="clear" w:pos="720"/>
                <w:tab w:val="left" w:pos="467" w:leader="none"/>
              </w:tabs>
              <w:spacing w:lineRule="auto" w:line="268" w:before="243" w:after="0"/>
              <w:ind w:left="107" w:right="152" w:hanging="0"/>
              <w:jc w:val="both"/>
              <w:rPr>
                <w:b/>
                <w:b/>
                <w:lang w:val="en-GB"/>
              </w:rPr>
            </w:pPr>
            <w:r>
              <w:rPr>
                <w:b/>
                <w:lang w:val="en-GB"/>
              </w:rPr>
              <w:t>People, Performance and Capability</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Work collaboratively within the procurement team, supporting colleagues and sharing knowledge and good practice.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Provide informal support to Apprentices where required, helping them understand processes and systems.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Actively engage in learning and development activities to build procurement skills and professional confidence.</w:t>
            </w:r>
          </w:p>
          <w:p>
            <w:pPr>
              <w:pStyle w:val="TableParagraph"/>
              <w:tabs>
                <w:tab w:val="clear" w:pos="720"/>
                <w:tab w:val="left" w:pos="467" w:leader="none"/>
              </w:tabs>
              <w:spacing w:lineRule="auto" w:line="268" w:before="243" w:after="0"/>
              <w:ind w:left="107" w:right="152" w:hanging="0"/>
              <w:jc w:val="both"/>
              <w:rPr>
                <w:b/>
                <w:b/>
                <w:lang w:val="en-GB"/>
              </w:rPr>
            </w:pPr>
            <w:r>
              <w:rPr>
                <w:b/>
                <w:lang w:val="en-GB"/>
              </w:rPr>
              <w:t>Governance, Compliance and Reporting</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Ensure all procurement activity undertaken complies with legislation, Contract Procedure Rules and internal guidance.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Maintain accurate records of procurement activity, decisions and contracts to support audit and transparency requirements.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Identify and flag compliance risks or process issues to the Senior Procurement Manager and/or Head of Procurement.</w:t>
            </w:r>
          </w:p>
          <w:p>
            <w:pPr>
              <w:pStyle w:val="TableParagraph"/>
              <w:tabs>
                <w:tab w:val="clear" w:pos="720"/>
                <w:tab w:val="left" w:pos="467" w:leader="none"/>
              </w:tabs>
              <w:spacing w:lineRule="auto" w:line="268" w:before="243" w:after="0"/>
              <w:ind w:left="107" w:right="152" w:hanging="0"/>
              <w:jc w:val="both"/>
              <w:rPr>
                <w:b/>
                <w:b/>
                <w:lang w:val="en-GB"/>
              </w:rPr>
            </w:pPr>
            <w:r>
              <w:rPr>
                <w:b/>
                <w:lang w:val="en-GB"/>
              </w:rPr>
              <w:t>Digital and Improvement</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Use Unit4 ERP, Scanmarket and Proactis to manage procurement activity, documentation and records accurately and consistently.</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Support the consistent use of e-procurement systems across services by providing guidance and assistance.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Identify opportunities to improve processes, templates or ways of working and feed these back to the Senior Procurement Manager.</w:t>
            </w:r>
          </w:p>
        </w:tc>
      </w:tr>
      <w:tr>
        <w:trPr>
          <w:trHeight w:val="993" w:hRule="atLeast"/>
        </w:trPr>
        <w:tc>
          <w:tcPr>
            <w:tcW w:w="10698" w:type="dxa"/>
            <w:gridSpan w:val="3"/>
            <w:tcBorders>
              <w:left w:val="single" w:sz="6" w:space="0" w:color="000000"/>
              <w:right w:val="single" w:sz="6" w:space="0" w:color="000000"/>
            </w:tcBorders>
            <w:shd w:fill="auto" w:val="clear"/>
          </w:tcPr>
          <w:p>
            <w:pPr>
              <w:pStyle w:val="TableParagraph"/>
              <w:tabs>
                <w:tab w:val="clear" w:pos="720"/>
                <w:tab w:val="left" w:pos="467" w:leader="none"/>
              </w:tabs>
              <w:spacing w:lineRule="auto" w:line="268" w:before="243" w:after="0"/>
              <w:ind w:left="107" w:right="152" w:hanging="0"/>
              <w:jc w:val="both"/>
              <w:rPr/>
            </w:pPr>
            <w:r>
              <w:rPr>
                <w:b/>
              </w:rPr>
              <w:t xml:space="preserve">Health and Wellbeing </w:t>
            </w:r>
            <w:r>
              <w:rPr/>
              <w:t>As an employee of Bury Council you should contribute to a culture</w:t>
            </w:r>
            <w:r>
              <w:rPr>
                <w:spacing w:val="-1"/>
              </w:rPr>
              <w:t xml:space="preserve"> </w:t>
            </w:r>
            <w:r>
              <w:rPr/>
              <w:t>that</w:t>
            </w:r>
            <w:r>
              <w:rPr>
                <w:spacing w:val="-3"/>
              </w:rPr>
              <w:t xml:space="preserve"> </w:t>
            </w:r>
            <w:r>
              <w:rPr/>
              <w:t>values</w:t>
            </w:r>
            <w:r>
              <w:rPr>
                <w:spacing w:val="-2"/>
              </w:rPr>
              <w:t xml:space="preserve"> </w:t>
            </w:r>
            <w:r>
              <w:rPr/>
              <w:t>and</w:t>
            </w:r>
            <w:r>
              <w:rPr>
                <w:spacing w:val="-3"/>
              </w:rPr>
              <w:t xml:space="preserve"> </w:t>
            </w:r>
            <w:r>
              <w:rPr/>
              <w:t>supports</w:t>
            </w:r>
            <w:r>
              <w:rPr>
                <w:spacing w:val="-2"/>
              </w:rPr>
              <w:t xml:space="preserve"> </w:t>
            </w:r>
            <w:r>
              <w:rPr/>
              <w:t>the</w:t>
            </w:r>
            <w:r>
              <w:rPr>
                <w:spacing w:val="-1"/>
              </w:rPr>
              <w:t xml:space="preserve"> </w:t>
            </w:r>
            <w:r>
              <w:rPr/>
              <w:t>physical</w:t>
            </w:r>
            <w:r>
              <w:rPr>
                <w:spacing w:val="-3"/>
              </w:rPr>
              <w:t xml:space="preserve"> </w:t>
            </w:r>
            <w:r>
              <w:rPr/>
              <w:t>and</w:t>
            </w:r>
            <w:r>
              <w:rPr>
                <w:spacing w:val="-3"/>
              </w:rPr>
              <w:t xml:space="preserve"> </w:t>
            </w:r>
            <w:r>
              <w:rPr/>
              <w:t>emotional</w:t>
            </w:r>
            <w:r>
              <w:rPr>
                <w:spacing w:val="-3"/>
              </w:rPr>
              <w:t xml:space="preserve"> </w:t>
            </w:r>
            <w:r>
              <w:rPr/>
              <w:t>wellbeing</w:t>
            </w:r>
            <w:r>
              <w:rPr>
                <w:spacing w:val="-3"/>
              </w:rPr>
              <w:t xml:space="preserve"> </w:t>
            </w:r>
            <w:r>
              <w:rPr/>
              <w:t>of</w:t>
            </w:r>
            <w:r>
              <w:rPr>
                <w:spacing w:val="-3"/>
              </w:rPr>
              <w:t xml:space="preserve"> </w:t>
            </w:r>
            <w:r>
              <w:rPr/>
              <w:t>your</w:t>
            </w:r>
            <w:r>
              <w:rPr>
                <w:spacing w:val="-3"/>
              </w:rPr>
              <w:t xml:space="preserve"> </w:t>
            </w:r>
            <w:r>
              <w:rPr/>
              <w:t>colleagues.</w:t>
            </w:r>
          </w:p>
        </w:tc>
      </w:tr>
      <w:tr>
        <w:trPr>
          <w:trHeight w:val="547" w:hRule="atLeast"/>
        </w:trPr>
        <w:tc>
          <w:tcPr>
            <w:tcW w:w="10698" w:type="dxa"/>
            <w:gridSpan w:val="3"/>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18" w:after="0"/>
              <w:ind w:left="92" w:right="0" w:hanging="0"/>
              <w:rPr/>
            </w:pPr>
            <w:r>
              <w:rPr/>
              <w:t>As an employee of Bury Council you have a responsibility for, and must be committed to, safeguarding and promoting the welfare of children, young people, and vulnerable adults and for ensuring that they are protected from harm.</w:t>
            </w:r>
          </w:p>
          <w:p>
            <w:pPr>
              <w:pStyle w:val="TableParagraph"/>
              <w:spacing w:before="118" w:after="0"/>
              <w:ind w:left="92" w:right="0" w:hanging="0"/>
              <w:rPr/>
            </w:pPr>
            <w:r>
              <w:rPr/>
              <w:t>Bury Council is committed to equality, diversity and inclusion, and expects all staff to comply with its equality-related policies and procedures and to treat others with fairness and respect.</w:t>
            </w:r>
          </w:p>
          <w:p>
            <w:pPr>
              <w:pStyle w:val="TableParagraph"/>
              <w:spacing w:before="118" w:after="0"/>
              <w:ind w:left="92" w:right="0" w:hanging="0"/>
              <w:rPr/>
            </w:pPr>
            <w:r>
              <w:rPr/>
              <w:t>The post holder is responsible for employee duties as specified within Corporate and Departmental Health and Safety policies.</w:t>
            </w:r>
          </w:p>
          <w:p>
            <w:pPr>
              <w:pStyle w:val="TableParagraph"/>
              <w:spacing w:before="118" w:after="0"/>
              <w:ind w:left="92" w:right="0" w:hanging="0"/>
              <w:rPr/>
            </w:pPr>
            <w:r>
              <w:rPr/>
              <w:t>Where</w:t>
            </w:r>
            <w:r>
              <w:rPr>
                <w:spacing w:val="-2"/>
              </w:rPr>
              <w:t xml:space="preserve"> </w:t>
            </w:r>
            <w:r>
              <w:rPr/>
              <w:t>an</w:t>
            </w:r>
            <w:r>
              <w:rPr>
                <w:spacing w:val="-4"/>
              </w:rPr>
              <w:t xml:space="preserve"> </w:t>
            </w:r>
            <w:r>
              <w:rPr/>
              <w:t>employee</w:t>
            </w:r>
            <w:r>
              <w:rPr>
                <w:spacing w:val="-3"/>
              </w:rPr>
              <w:t xml:space="preserve"> </w:t>
            </w:r>
            <w:r>
              <w:rPr/>
              <w:t>is</w:t>
            </w:r>
            <w:r>
              <w:rPr>
                <w:spacing w:val="-3"/>
              </w:rPr>
              <w:t xml:space="preserve"> </w:t>
            </w:r>
            <w:r>
              <w:rPr/>
              <w:t>asked</w:t>
            </w:r>
            <w:r>
              <w:rPr>
                <w:spacing w:val="-3"/>
              </w:rPr>
              <w:t xml:space="preserve"> </w:t>
            </w:r>
            <w:r>
              <w:rPr/>
              <w:t>to</w:t>
            </w:r>
            <w:r>
              <w:rPr>
                <w:spacing w:val="-3"/>
              </w:rPr>
              <w:t xml:space="preserve"> </w:t>
            </w:r>
            <w:r>
              <w:rPr/>
              <w:t>undertake</w:t>
            </w:r>
            <w:r>
              <w:rPr>
                <w:spacing w:val="-2"/>
              </w:rPr>
              <w:t xml:space="preserve"> </w:t>
            </w:r>
            <w:r>
              <w:rPr/>
              <w:t>duties</w:t>
            </w:r>
            <w:r>
              <w:rPr>
                <w:spacing w:val="-2"/>
              </w:rPr>
              <w:t xml:space="preserve"> </w:t>
            </w:r>
            <w:r>
              <w:rPr/>
              <w:t>other</w:t>
            </w:r>
            <w:r>
              <w:rPr>
                <w:spacing w:val="-3"/>
              </w:rPr>
              <w:t xml:space="preserve"> </w:t>
            </w:r>
            <w:r>
              <w:rPr/>
              <w:t>than</w:t>
            </w:r>
            <w:r>
              <w:rPr>
                <w:spacing w:val="-4"/>
              </w:rPr>
              <w:t xml:space="preserve"> </w:t>
            </w:r>
            <w:r>
              <w:rPr/>
              <w:t>those</w:t>
            </w:r>
            <w:r>
              <w:rPr>
                <w:spacing w:val="-2"/>
              </w:rPr>
              <w:t xml:space="preserve"> </w:t>
            </w:r>
            <w:r>
              <w:rPr/>
              <w:t>specified</w:t>
            </w:r>
            <w:r>
              <w:rPr>
                <w:spacing w:val="-3"/>
              </w:rPr>
              <w:t xml:space="preserve"> </w:t>
            </w:r>
            <w:r>
              <w:rPr/>
              <w:t>directly</w:t>
            </w:r>
            <w:r>
              <w:rPr>
                <w:spacing w:val="-4"/>
              </w:rPr>
              <w:t xml:space="preserve"> </w:t>
            </w:r>
            <w:r>
              <w:rPr/>
              <w:t>in</w:t>
            </w:r>
            <w:r>
              <w:rPr>
                <w:spacing w:val="-4"/>
              </w:rPr>
              <w:t xml:space="preserve"> </w:t>
            </w:r>
            <w:r>
              <w:rPr/>
              <w:t>his/her job description, such duties shall be discussed with the employee concerned who may have his/her Trade Union Representative present if so desired. (See paragraph 203 of supplemental Conditions of Service)</w:t>
            </w:r>
          </w:p>
          <w:p>
            <w:pPr>
              <w:pStyle w:val="TableParagraph"/>
              <w:spacing w:before="118" w:after="0"/>
              <w:ind w:left="92" w:right="0" w:hanging="0"/>
              <w:rPr>
                <w:b/>
                <w:b/>
                <w:spacing w:val="-2"/>
              </w:rPr>
            </w:pPr>
            <w:r>
              <w:rPr>
                <w:b/>
                <w:spacing w:val="-2"/>
              </w:rPr>
            </w:r>
          </w:p>
        </w:tc>
      </w:tr>
      <w:tr>
        <w:trPr>
          <w:trHeight w:val="547" w:hRule="atLeast"/>
        </w:trPr>
        <w:tc>
          <w:tcPr>
            <w:tcW w:w="4529" w:type="dxa"/>
            <w:tcBorders>
              <w:top w:val="double" w:sz="6" w:space="0" w:color="000000"/>
              <w:left w:val="single" w:sz="6" w:space="0" w:color="000000"/>
              <w:bottom w:val="double" w:sz="6" w:space="0" w:color="000000"/>
            </w:tcBorders>
            <w:shd w:fill="auto" w:val="clear"/>
          </w:tcPr>
          <w:p>
            <w:pPr>
              <w:pStyle w:val="TableParagraph"/>
              <w:spacing w:before="118" w:after="0"/>
              <w:ind w:left="0" w:right="0" w:hanging="0"/>
              <w:rPr/>
            </w:pPr>
            <w:r>
              <w:rPr>
                <w:rFonts w:eastAsia="Verdana" w:cs="Verdana"/>
                <w:b/>
              </w:rPr>
              <w:t xml:space="preserve">  </w:t>
            </w:r>
            <w:r>
              <w:rPr>
                <w:b/>
              </w:rPr>
              <w:t>Job</w:t>
            </w:r>
            <w:r>
              <w:rPr>
                <w:b/>
                <w:spacing w:val="-9"/>
              </w:rPr>
              <w:t xml:space="preserve"> </w:t>
            </w:r>
            <w:r>
              <w:rPr>
                <w:b/>
              </w:rPr>
              <w:t>Description</w:t>
            </w:r>
            <w:r>
              <w:rPr>
                <w:b/>
                <w:spacing w:val="-7"/>
              </w:rPr>
              <w:t xml:space="preserve"> </w:t>
            </w:r>
            <w:r>
              <w:rPr>
                <w:b/>
              </w:rPr>
              <w:t>prepared</w:t>
            </w:r>
            <w:r>
              <w:rPr>
                <w:b/>
                <w:spacing w:val="-6"/>
              </w:rPr>
              <w:t xml:space="preserve"> </w:t>
            </w:r>
            <w:r>
              <w:rPr>
                <w:b/>
                <w:spacing w:val="-5"/>
              </w:rPr>
              <w:t>by:</w:t>
            </w:r>
          </w:p>
        </w:tc>
        <w:tc>
          <w:tcPr>
            <w:tcW w:w="3508" w:type="dxa"/>
            <w:tcBorders>
              <w:top w:val="double" w:sz="6" w:space="0" w:color="000000"/>
              <w:left w:val="double" w:sz="6" w:space="0" w:color="000000"/>
              <w:bottom w:val="double" w:sz="6" w:space="0" w:color="000000"/>
            </w:tcBorders>
            <w:shd w:fill="auto" w:val="clear"/>
          </w:tcPr>
          <w:p>
            <w:pPr>
              <w:pStyle w:val="TableParagraph"/>
              <w:spacing w:before="118" w:after="0"/>
              <w:ind w:left="92" w:right="0" w:hanging="0"/>
              <w:rPr>
                <w:b/>
                <w:b/>
                <w:spacing w:val="-4"/>
              </w:rPr>
            </w:pPr>
            <w:r>
              <w:rPr>
                <w:b/>
                <w:spacing w:val="-4"/>
              </w:rPr>
              <w:t>Sign:</w:t>
            </w:r>
          </w:p>
        </w:tc>
        <w:tc>
          <w:tcPr>
            <w:tcW w:w="2661" w:type="dxa"/>
            <w:tcBorders>
              <w:top w:val="double" w:sz="6" w:space="0" w:color="000000"/>
              <w:left w:val="double" w:sz="6" w:space="0" w:color="000000"/>
              <w:bottom w:val="double" w:sz="6" w:space="0" w:color="000000"/>
              <w:right w:val="single" w:sz="6" w:space="0" w:color="000000"/>
            </w:tcBorders>
            <w:shd w:fill="auto" w:val="clear"/>
          </w:tcPr>
          <w:p>
            <w:pPr>
              <w:pStyle w:val="TableParagraph"/>
              <w:spacing w:before="118" w:after="0"/>
              <w:ind w:left="92" w:right="0" w:hanging="0"/>
              <w:rPr>
                <w:b/>
                <w:b/>
                <w:spacing w:val="-2"/>
              </w:rPr>
            </w:pPr>
            <w:r>
              <w:rPr>
                <w:b/>
                <w:spacing w:val="-2"/>
              </w:rPr>
              <w:t>Date:</w:t>
            </w:r>
          </w:p>
        </w:tc>
      </w:tr>
      <w:tr>
        <w:trPr>
          <w:trHeight w:val="545" w:hRule="atLeast"/>
        </w:trPr>
        <w:tc>
          <w:tcPr>
            <w:tcW w:w="4529" w:type="dxa"/>
            <w:tcBorders>
              <w:top w:val="double" w:sz="6" w:space="0" w:color="000000"/>
              <w:left w:val="single" w:sz="6" w:space="0" w:color="000000"/>
              <w:bottom w:val="double" w:sz="6" w:space="0" w:color="000000"/>
            </w:tcBorders>
            <w:shd w:fill="auto" w:val="clear"/>
          </w:tcPr>
          <w:p>
            <w:pPr>
              <w:pStyle w:val="TableParagraph"/>
              <w:spacing w:before="118" w:after="0"/>
              <w:rPr/>
            </w:pPr>
            <w:r>
              <w:rPr>
                <w:b/>
              </w:rPr>
              <w:t>Agreed</w:t>
            </w:r>
            <w:r>
              <w:rPr>
                <w:b/>
                <w:spacing w:val="-5"/>
              </w:rPr>
              <w:t xml:space="preserve"> </w:t>
            </w:r>
            <w:r>
              <w:rPr>
                <w:b/>
              </w:rPr>
              <w:t>correct</w:t>
            </w:r>
            <w:r>
              <w:rPr>
                <w:b/>
                <w:spacing w:val="-4"/>
              </w:rPr>
              <w:t xml:space="preserve"> </w:t>
            </w:r>
            <w:r>
              <w:rPr>
                <w:b/>
              </w:rPr>
              <w:t>by</w:t>
            </w:r>
            <w:r>
              <w:rPr>
                <w:b/>
                <w:spacing w:val="-3"/>
              </w:rPr>
              <w:t xml:space="preserve"> </w:t>
            </w:r>
            <w:r>
              <w:rPr>
                <w:b/>
                <w:spacing w:val="-2"/>
              </w:rPr>
              <w:t>Postholder:</w:t>
            </w:r>
          </w:p>
        </w:tc>
        <w:tc>
          <w:tcPr>
            <w:tcW w:w="3508" w:type="dxa"/>
            <w:tcBorders>
              <w:top w:val="double" w:sz="6" w:space="0" w:color="000000"/>
              <w:left w:val="double" w:sz="6" w:space="0" w:color="000000"/>
              <w:bottom w:val="double" w:sz="6" w:space="0" w:color="000000"/>
            </w:tcBorders>
            <w:shd w:fill="auto" w:val="clear"/>
          </w:tcPr>
          <w:p>
            <w:pPr>
              <w:pStyle w:val="TableParagraph"/>
              <w:spacing w:before="118" w:after="0"/>
              <w:ind w:left="92" w:right="0" w:hanging="0"/>
              <w:rPr>
                <w:b/>
                <w:b/>
                <w:spacing w:val="-4"/>
              </w:rPr>
            </w:pPr>
            <w:r>
              <w:rPr>
                <w:b/>
                <w:spacing w:val="-4"/>
              </w:rPr>
              <w:t>Sign:</w:t>
            </w:r>
          </w:p>
        </w:tc>
        <w:tc>
          <w:tcPr>
            <w:tcW w:w="2661" w:type="dxa"/>
            <w:tcBorders>
              <w:top w:val="double" w:sz="6" w:space="0" w:color="000000"/>
              <w:left w:val="double" w:sz="6" w:space="0" w:color="000000"/>
              <w:bottom w:val="double" w:sz="6" w:space="0" w:color="000000"/>
              <w:right w:val="single" w:sz="6" w:space="0" w:color="000000"/>
            </w:tcBorders>
            <w:shd w:fill="auto" w:val="clear"/>
          </w:tcPr>
          <w:p>
            <w:pPr>
              <w:pStyle w:val="TableParagraph"/>
              <w:spacing w:before="118" w:after="0"/>
              <w:ind w:left="92" w:right="0" w:hanging="0"/>
              <w:rPr>
                <w:b/>
                <w:b/>
                <w:spacing w:val="-2"/>
              </w:rPr>
            </w:pPr>
            <w:r>
              <w:rPr>
                <w:b/>
                <w:spacing w:val="-2"/>
              </w:rPr>
              <w:t>Date:</w:t>
            </w:r>
          </w:p>
        </w:tc>
      </w:tr>
      <w:tr>
        <w:trPr>
          <w:trHeight w:val="858" w:hRule="atLeast"/>
        </w:trPr>
        <w:tc>
          <w:tcPr>
            <w:tcW w:w="4529" w:type="dxa"/>
            <w:tcBorders>
              <w:top w:val="double" w:sz="6" w:space="0" w:color="000000"/>
              <w:left w:val="single" w:sz="6" w:space="0" w:color="000000"/>
              <w:bottom w:val="single" w:sz="6" w:space="0" w:color="000000"/>
            </w:tcBorders>
            <w:shd w:fill="auto" w:val="clear"/>
          </w:tcPr>
          <w:p>
            <w:pPr>
              <w:pStyle w:val="TableParagraph"/>
              <w:spacing w:lineRule="auto" w:line="276" w:before="121" w:after="0"/>
              <w:rPr/>
            </w:pPr>
            <w:r>
              <w:rPr>
                <w:b/>
              </w:rPr>
              <w:t xml:space="preserve">Agreed correct by </w:t>
            </w:r>
            <w:r>
              <w:rPr>
                <w:b/>
                <w:spacing w:val="-2"/>
              </w:rPr>
              <w:t>Supervisor/Manager:</w:t>
            </w:r>
          </w:p>
        </w:tc>
        <w:tc>
          <w:tcPr>
            <w:tcW w:w="3508" w:type="dxa"/>
            <w:tcBorders>
              <w:top w:val="double" w:sz="6" w:space="0" w:color="000000"/>
              <w:left w:val="double" w:sz="6" w:space="0" w:color="000000"/>
              <w:bottom w:val="single" w:sz="6" w:space="0" w:color="000000"/>
            </w:tcBorders>
            <w:shd w:fill="auto" w:val="clear"/>
          </w:tcPr>
          <w:p>
            <w:pPr>
              <w:pStyle w:val="TableParagraph"/>
              <w:spacing w:before="121" w:after="0"/>
              <w:ind w:left="92" w:right="0" w:hanging="0"/>
              <w:rPr>
                <w:b/>
                <w:b/>
                <w:spacing w:val="-4"/>
              </w:rPr>
            </w:pPr>
            <w:r>
              <w:rPr>
                <w:b/>
                <w:spacing w:val="-4"/>
              </w:rPr>
              <w:t>Sign:</w:t>
            </w:r>
          </w:p>
        </w:tc>
        <w:tc>
          <w:tcPr>
            <w:tcW w:w="2661" w:type="dxa"/>
            <w:tcBorders>
              <w:top w:val="double" w:sz="6" w:space="0" w:color="000000"/>
              <w:left w:val="double" w:sz="6" w:space="0" w:color="000000"/>
              <w:bottom w:val="single" w:sz="6" w:space="0" w:color="000000"/>
              <w:right w:val="single" w:sz="6" w:space="0" w:color="000000"/>
            </w:tcBorders>
            <w:shd w:fill="auto" w:val="clear"/>
          </w:tcPr>
          <w:p>
            <w:pPr>
              <w:pStyle w:val="TableParagraph"/>
              <w:spacing w:before="121" w:after="0"/>
              <w:ind w:left="92" w:right="0" w:hanging="0"/>
              <w:rPr>
                <w:b/>
                <w:b/>
                <w:spacing w:val="-2"/>
              </w:rPr>
            </w:pPr>
            <w:r>
              <w:rPr>
                <w:b/>
                <w:spacing w:val="-2"/>
              </w:rPr>
              <w:t>Date:</w:t>
            </w:r>
          </w:p>
        </w:tc>
      </w:tr>
    </w:tbl>
    <w:p>
      <w:pPr>
        <w:sectPr>
          <w:type w:val="continuous"/>
          <w:pgSz w:w="11906" w:h="16850"/>
          <w:pgMar w:left="500" w:right="500" w:header="0" w:top="720" w:footer="0" w:bottom="280" w:gutter="0"/>
          <w:pgNumType w:fmt="decimal"/>
          <w:formProt w:val="false"/>
          <w:textDirection w:val="lrTb"/>
          <w:docGrid w:type="default" w:linePitch="360" w:charSpace="0"/>
        </w:sectPr>
      </w:pPr>
    </w:p>
    <w:p>
      <w:pPr>
        <w:pStyle w:val="TextBody"/>
        <w:ind w:left="8140" w:right="0" w:hanging="0"/>
        <w:rPr/>
      </w:pPr>
      <w:r>
        <w:rPr/>
        <w:drawing>
          <wp:inline distT="0" distB="0" distL="0" distR="0">
            <wp:extent cx="1463040" cy="60769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2" t="-28" r="-12" b="-28"/>
                    <a:stretch>
                      <a:fillRect/>
                    </a:stretch>
                  </pic:blipFill>
                  <pic:spPr bwMode="auto">
                    <a:xfrm>
                      <a:off x="0" y="0"/>
                      <a:ext cx="1463040" cy="607695"/>
                    </a:xfrm>
                    <a:prstGeom prst="rect">
                      <a:avLst/>
                    </a:prstGeom>
                  </pic:spPr>
                </pic:pic>
              </a:graphicData>
            </a:graphic>
          </wp:inline>
        </w:drawing>
      </w:r>
    </w:p>
    <w:sectPr>
      <w:type w:val="nextPage"/>
      <w:pgSz w:w="11906" w:h="16850"/>
      <w:pgMar w:left="500" w:right="500" w:header="0" w:top="64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Cambria">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720" w:hanging="360"/>
      </w:pPr>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Verdana" w:hAnsi="Verdana" w:eastAsia="Verdana" w:cs="Verdana"/>
      <w:color w:val="auto"/>
      <w:kern w:val="0"/>
      <w:sz w:val="22"/>
      <w:szCs w:val="22"/>
      <w:lang w:val="en-US" w:eastAsia="en-US" w:bidi="ar-SA"/>
    </w:rPr>
  </w:style>
  <w:style w:type="paragraph" w:styleId="Heading1">
    <w:name w:val="Heading 1"/>
    <w:basedOn w:val="Normal"/>
    <w:next w:val="Normal"/>
    <w:qFormat/>
    <w:pPr>
      <w:keepNext w:val="true"/>
      <w:keepLines/>
      <w:widowControl/>
      <w:numPr>
        <w:ilvl w:val="0"/>
        <w:numId w:val="1"/>
      </w:numPr>
      <w:spacing w:lineRule="auto" w:line="276" w:before="360" w:after="240"/>
      <w:ind w:left="425" w:right="0" w:hanging="425"/>
      <w:outlineLvl w:val="0"/>
    </w:pPr>
    <w:rPr>
      <w:rFonts w:ascii="Cambria" w:hAnsi="Cambria" w:eastAsia="" w:cs=""/>
      <w:b/>
      <w:bCs/>
      <w:color w:val="365F91"/>
      <w:sz w:val="28"/>
      <w:szCs w:val="28"/>
      <w:lang w:val="en-GB"/>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Heading1Char">
    <w:name w:val="Heading 1 Char"/>
    <w:basedOn w:val="DefaultParagraphFont"/>
    <w:qFormat/>
    <w:rPr>
      <w:rFonts w:ascii="Cambria" w:hAnsi="Cambria" w:eastAsia="" w:cs=""/>
      <w:b/>
      <w:bCs/>
      <w:color w:val="365F91"/>
      <w:sz w:val="28"/>
      <w:szCs w:val="28"/>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ind w:left="940" w:right="0" w:hanging="361"/>
    </w:pPr>
    <w:rPr>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203" w:after="0"/>
      <w:ind w:left="940" w:right="0" w:hanging="361"/>
    </w:pPr>
    <w:rPr/>
  </w:style>
  <w:style w:type="paragraph" w:styleId="TableParagraph">
    <w:name w:val="Table Paragraph"/>
    <w:basedOn w:val="Normal"/>
    <w:qFormat/>
    <w:pPr>
      <w:ind w:left="107"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2026-07-31T11:59:00Z</dcterms:created>
  <dc:creator>a.c.bailey</dc:creator>
  <dc:description/>
  <dc:language>en-US</dc:language>
  <cp:lastModifiedBy>Fletcher, Kevin</cp:lastModifiedBy>
  <cp:lastPrinted>1995-11-21T17:41:00Z</cp:lastPrinted>
  <dcterms:modified xsi:type="dcterms:W3CDTF">2026-08-14T07:31:00Z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0x010100085363A1606BB04B89EFFCB0543EC57A</vt:lpwstr>
  </property>
  <property fmtid="{D5CDD505-2E9C-101B-9397-08002B2CF9AE}" pid="4" name="Created">
    <vt:filetime>2022-08-04T00:00:00Z</vt:filetime>
  </property>
  <property fmtid="{D5CDD505-2E9C-101B-9397-08002B2CF9AE}" pid="5" name="Creator">
    <vt:lpwstr>Microsoft® Word for Microsoft 365</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2024-10-24T00:00:00Z</vt:filetime>
  </property>
  <property fmtid="{D5CDD505-2E9C-101B-9397-08002B2CF9AE}" pid="9" name="LinksUpToDate">
    <vt:bool>0</vt:bool>
  </property>
  <property fmtid="{D5CDD505-2E9C-101B-9397-08002B2CF9AE}" pid="10" name="Producer">
    <vt:lpwstr>Microsoft® Word for Microsoft 365</vt:lpwstr>
  </property>
  <property fmtid="{D5CDD505-2E9C-101B-9397-08002B2CF9AE}" pid="11" name="ScaleCrop">
    <vt:bool>0</vt:bool>
  </property>
  <property fmtid="{D5CDD505-2E9C-101B-9397-08002B2CF9AE}" pid="12" name="ShareDoc">
    <vt:bool>0</vt:bool>
  </property>
</Properties>
</file>