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ptos" w:hAnsi="Aptos" w:cs="Aptos"/>
          <w:b/>
          <w:b/>
          <w:sz w:val="24"/>
          <w:szCs w:val="24"/>
        </w:rPr>
      </w:pPr>
      <w:r>
        <w:rPr>
          <w:rFonts w:cs="Aptos" w:ascii="Aptos" w:hAnsi="Aptos"/>
          <w:b/>
          <w:sz w:val="24"/>
          <w:szCs w:val="24"/>
        </w:rPr>
      </w:r>
    </w:p>
    <w:p>
      <w:pPr>
        <w:pStyle w:val="Normal"/>
        <w:jc w:val="center"/>
        <w:rPr>
          <w:rFonts w:ascii="Aptos" w:hAnsi="Aptos" w:cs="Aptos"/>
          <w:b/>
          <w:b/>
          <w:sz w:val="24"/>
          <w:szCs w:val="24"/>
        </w:rPr>
      </w:pPr>
      <w:r>
        <w:rPr>
          <w:rFonts w:cs="Aptos" w:ascii="Aptos" w:hAnsi="Aptos"/>
          <w:b/>
          <w:sz w:val="24"/>
          <w:szCs w:val="24"/>
        </w:rPr>
        <w:t>JOB DESCRIPTION</w:t>
      </w:r>
    </w:p>
    <w:tbl>
      <w:tblPr>
        <w:tblW w:w="9031" w:type="dxa"/>
        <w:jc w:val="left"/>
        <w:tblInd w:w="-10" w:type="dxa"/>
        <w:tblCellMar>
          <w:top w:w="0" w:type="dxa"/>
          <w:left w:w="108" w:type="dxa"/>
          <w:bottom w:w="0" w:type="dxa"/>
          <w:right w:w="108" w:type="dxa"/>
        </w:tblCellMar>
      </w:tblPr>
      <w:tblGrid>
        <w:gridCol w:w="3005"/>
        <w:gridCol w:w="1439"/>
        <w:gridCol w:w="1566"/>
        <w:gridCol w:w="3021"/>
      </w:tblGrid>
      <w:tr>
        <w:trPr>
          <w:trHeight w:val="589" w:hRule="atLeast"/>
          <w:cantSplit w:val="true"/>
        </w:trPr>
        <w:tc>
          <w:tcPr>
            <w:tcW w:w="9031"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Post Title</w:t>
            </w:r>
            <w:r>
              <w:rPr>
                <w:rFonts w:cs="Aptos" w:ascii="Aptos" w:hAnsi="Aptos"/>
              </w:rPr>
              <w:t>: Public Health Practitioner (Tobacco Control)</w:t>
            </w:r>
          </w:p>
        </w:tc>
      </w:tr>
      <w:tr>
        <w:trPr>
          <w:cantSplit w:val="true"/>
        </w:trPr>
        <w:tc>
          <w:tcPr>
            <w:tcW w:w="4444" w:type="dxa"/>
            <w:gridSpan w:val="2"/>
            <w:tcBorders>
              <w:top w:val="double" w:sz="6" w:space="0" w:color="000000"/>
              <w:left w:val="single" w:sz="6" w:space="0" w:color="000000"/>
              <w:bottom w:val="double" w:sz="6" w:space="0" w:color="000000"/>
            </w:tcBorders>
            <w:shd w:fill="auto" w:val="clear"/>
          </w:tcPr>
          <w:p>
            <w:pPr>
              <w:pStyle w:val="Normal"/>
              <w:spacing w:lineRule="auto" w:line="240" w:before="120" w:after="240"/>
              <w:rPr/>
            </w:pPr>
            <w:r>
              <w:rPr>
                <w:rFonts w:cs="Aptos" w:ascii="Aptos" w:hAnsi="Aptos"/>
                <w:b/>
              </w:rPr>
              <w:t>Department</w:t>
            </w:r>
            <w:r>
              <w:rPr>
                <w:rFonts w:cs="Aptos" w:ascii="Aptos" w:hAnsi="Aptos"/>
              </w:rPr>
              <w:t>: Public Health</w:t>
            </w:r>
          </w:p>
        </w:tc>
        <w:tc>
          <w:tcPr>
            <w:tcW w:w="4587"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Post No</w:t>
            </w:r>
            <w:r>
              <w:rPr>
                <w:rFonts w:cs="Aptos" w:ascii="Aptos" w:hAnsi="Aptos"/>
              </w:rPr>
              <w:t xml:space="preserve">: </w:t>
            </w:r>
          </w:p>
        </w:tc>
      </w:tr>
      <w:tr>
        <w:trPr>
          <w:trHeight w:val="720" w:hRule="atLeast"/>
          <w:cantSplit w:val="true"/>
        </w:trPr>
        <w:tc>
          <w:tcPr>
            <w:tcW w:w="4444" w:type="dxa"/>
            <w:gridSpan w:val="2"/>
            <w:tcBorders>
              <w:top w:val="double" w:sz="6" w:space="0" w:color="000000"/>
              <w:left w:val="single" w:sz="6" w:space="0" w:color="000000"/>
              <w:bottom w:val="single" w:sz="4" w:space="0" w:color="000000"/>
            </w:tcBorders>
            <w:shd w:fill="auto" w:val="clear"/>
          </w:tcPr>
          <w:p>
            <w:pPr>
              <w:pStyle w:val="Normal"/>
              <w:spacing w:lineRule="auto" w:line="240" w:before="120" w:after="240"/>
              <w:rPr/>
            </w:pPr>
            <w:r>
              <w:rPr>
                <w:rFonts w:cs="Aptos" w:ascii="Aptos" w:hAnsi="Aptos"/>
                <w:b/>
              </w:rPr>
              <w:t>Division/Section</w:t>
            </w:r>
            <w:r>
              <w:rPr>
                <w:rFonts w:cs="Aptos" w:ascii="Aptos" w:hAnsi="Aptos"/>
              </w:rPr>
              <w:t>: Public Health</w:t>
            </w:r>
          </w:p>
        </w:tc>
        <w:tc>
          <w:tcPr>
            <w:tcW w:w="4587"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Post Grade</w:t>
            </w:r>
            <w:r>
              <w:rPr>
                <w:rFonts w:cs="Aptos" w:ascii="Aptos" w:hAnsi="Aptos"/>
              </w:rPr>
              <w:t>: 14</w:t>
            </w:r>
          </w:p>
        </w:tc>
      </w:tr>
      <w:tr>
        <w:trPr>
          <w:trHeight w:val="720" w:hRule="atLeast"/>
          <w:cantSplit w:val="true"/>
        </w:trPr>
        <w:tc>
          <w:tcPr>
            <w:tcW w:w="4444" w:type="dxa"/>
            <w:gridSpan w:val="2"/>
            <w:tcBorders>
              <w:top w:val="double" w:sz="6" w:space="0" w:color="000000"/>
              <w:left w:val="single" w:sz="6" w:space="0" w:color="000000"/>
              <w:bottom w:val="double" w:sz="6" w:space="0" w:color="000000"/>
            </w:tcBorders>
            <w:shd w:fill="auto" w:val="clear"/>
          </w:tcPr>
          <w:p>
            <w:pPr>
              <w:pStyle w:val="Normal"/>
              <w:spacing w:lineRule="auto" w:line="240" w:before="120" w:after="240"/>
              <w:rPr/>
            </w:pPr>
            <w:r>
              <w:rPr>
                <w:rFonts w:cs="Aptos" w:ascii="Aptos" w:hAnsi="Aptos"/>
                <w:b/>
              </w:rPr>
              <w:t>Location</w:t>
            </w:r>
            <w:r>
              <w:rPr>
                <w:rFonts w:cs="Aptos" w:ascii="Aptos" w:hAnsi="Aptos"/>
              </w:rPr>
              <w:t>: Bury</w:t>
            </w:r>
          </w:p>
        </w:tc>
        <w:tc>
          <w:tcPr>
            <w:tcW w:w="4587" w:type="dxa"/>
            <w:gridSpan w:val="2"/>
            <w:tcBorders>
              <w:top w:val="single" w:sz="4"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Post Hours</w:t>
            </w:r>
            <w:r>
              <w:rPr>
                <w:rFonts w:cs="Aptos" w:ascii="Aptos" w:hAnsi="Aptos"/>
              </w:rPr>
              <w:t>: 37</w:t>
            </w:r>
          </w:p>
        </w:tc>
      </w:tr>
      <w:tr>
        <w:trPr>
          <w:trHeight w:val="960"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0" w:after="0"/>
              <w:rPr/>
            </w:pPr>
            <w:r>
              <w:rPr>
                <w:rFonts w:cs="Aptos" w:ascii="Aptos" w:hAnsi="Aptos"/>
                <w:b/>
              </w:rPr>
              <w:t>Special Conditions of Service</w:t>
            </w:r>
            <w:r>
              <w:rPr>
                <w:rFonts w:cs="Aptos" w:ascii="Aptos" w:hAnsi="Aptos"/>
              </w:rPr>
              <w:t xml:space="preserve">: </w:t>
            </w:r>
          </w:p>
          <w:p>
            <w:pPr>
              <w:pStyle w:val="Normal"/>
              <w:spacing w:lineRule="auto" w:line="240" w:before="0" w:after="0"/>
              <w:rPr>
                <w:rFonts w:ascii="Aptos" w:hAnsi="Aptos" w:eastAsia="Times New Roman" w:cs="Aptos"/>
                <w:lang w:eastAsia="en-GB"/>
              </w:rPr>
            </w:pPr>
            <w:r>
              <w:rPr>
                <w:rFonts w:eastAsia="Times New Roman" w:cs="Aptos" w:ascii="Aptos" w:hAnsi="Aptos"/>
                <w:lang w:eastAsia="en-GB"/>
              </w:rPr>
              <w:t>Attendance at evening meetings as required</w:t>
            </w:r>
          </w:p>
          <w:p>
            <w:pPr>
              <w:pStyle w:val="Normal"/>
              <w:spacing w:lineRule="auto" w:line="240" w:before="0" w:after="0"/>
              <w:rPr>
                <w:rFonts w:ascii="Aptos" w:hAnsi="Aptos" w:eastAsia="Times New Roman" w:cs="Aptos"/>
                <w:lang w:eastAsia="en-GB"/>
              </w:rPr>
            </w:pPr>
            <w:r>
              <w:rPr>
                <w:rFonts w:eastAsia="Times New Roman" w:cs="Aptos" w:ascii="Aptos" w:hAnsi="Aptos"/>
                <w:lang w:eastAsia="en-GB"/>
              </w:rPr>
            </w:r>
          </w:p>
          <w:p>
            <w:pPr>
              <w:pStyle w:val="Normal"/>
              <w:spacing w:lineRule="auto" w:line="240" w:before="0" w:after="0"/>
              <w:rPr>
                <w:rFonts w:ascii="Aptos" w:hAnsi="Aptos" w:eastAsia="Times New Roman" w:cs="Aptos"/>
                <w:lang w:eastAsia="en-GB"/>
              </w:rPr>
            </w:pPr>
            <w:r>
              <w:rPr>
                <w:rFonts w:eastAsia="Times New Roman" w:cs="Aptos" w:ascii="Aptos" w:hAnsi="Aptos"/>
                <w:lang w:eastAsia="en-GB"/>
              </w:rPr>
              <w:t>Casual Car User Allowance subject to annual review</w:t>
            </w:r>
          </w:p>
          <w:p>
            <w:pPr>
              <w:pStyle w:val="Normal"/>
              <w:spacing w:lineRule="auto" w:line="240" w:before="0" w:after="0"/>
              <w:rPr>
                <w:rFonts w:ascii="Aptos" w:hAnsi="Aptos" w:eastAsia="Times New Roman" w:cs="Aptos"/>
                <w:lang w:eastAsia="en-GB"/>
              </w:rPr>
            </w:pPr>
            <w:r>
              <w:rPr>
                <w:rFonts w:eastAsia="Times New Roman" w:cs="Aptos" w:ascii="Aptos" w:hAnsi="Aptos"/>
                <w:lang w:eastAsia="en-GB"/>
              </w:rPr>
              <w:t>Flexi time scheme in in operation subject to service requirements</w:t>
            </w:r>
          </w:p>
        </w:tc>
      </w:tr>
      <w:tr>
        <w:trPr>
          <w:trHeight w:val="1426"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120"/>
              <w:rPr/>
            </w:pPr>
            <w:r>
              <w:rPr>
                <w:rFonts w:cs="Aptos" w:ascii="Aptos" w:hAnsi="Aptos"/>
                <w:b/>
              </w:rPr>
              <w:t>Purpose and Objectives of Post</w:t>
            </w:r>
            <w:r>
              <w:rPr>
                <w:rFonts w:cs="Aptos" w:ascii="Aptos" w:hAnsi="Aptos"/>
              </w:rPr>
              <w:t>:</w:t>
            </w:r>
          </w:p>
          <w:p>
            <w:pPr>
              <w:pStyle w:val="Normal"/>
              <w:spacing w:lineRule="auto" w:line="240" w:before="120" w:after="120"/>
              <w:rPr>
                <w:rFonts w:ascii="Aptos" w:hAnsi="Aptos" w:cs="Aptos"/>
              </w:rPr>
            </w:pPr>
            <w:r>
              <w:rPr>
                <w:rFonts w:cs="Aptos" w:ascii="Aptos" w:hAnsi="Aptos"/>
              </w:rPr>
              <w:t>The Tobacco Control Officer is a senior public health professional and the Council’s strategic lead for tobacco and nicotine control, with system-wide responsibility for the transformation, commissioning, performance and assurance of Bury’s stop smoking system.</w:t>
            </w:r>
          </w:p>
          <w:p>
            <w:pPr>
              <w:pStyle w:val="Normal"/>
              <w:spacing w:lineRule="auto" w:line="240" w:before="120" w:after="120"/>
              <w:rPr>
                <w:rFonts w:ascii="Aptos" w:hAnsi="Aptos" w:cs="Aptos"/>
              </w:rPr>
            </w:pPr>
            <w:r>
              <w:rPr>
                <w:rFonts w:cs="Aptos" w:ascii="Aptos" w:hAnsi="Aptos"/>
              </w:rPr>
              <w:t>The role provides borough-wide strategic leadership, setting direction, targets and priorities across the local authority, NHS, Integrated Care System, Greater Manchester and voluntary sector partners. The post holder is accountable for translating national legislation and policy, including Smoke-free Generation proposals, into local strategy, commissioning decisions and delivery frameworks.</w:t>
            </w:r>
          </w:p>
          <w:p>
            <w:pPr>
              <w:pStyle w:val="Normal"/>
              <w:spacing w:lineRule="auto" w:line="240" w:before="120" w:after="120"/>
              <w:rPr>
                <w:rFonts w:ascii="Aptos" w:hAnsi="Aptos" w:cs="Aptos"/>
              </w:rPr>
            </w:pPr>
            <w:r>
              <w:rPr>
                <w:rFonts w:cs="Aptos" w:ascii="Aptos" w:hAnsi="Aptos"/>
              </w:rPr>
              <w:t>The post operates with a high degree of professional autonomy, exercising independent judgement in complex, high-risk and politically sensitive environments. The role regularly deputises for Consultants in Public Health, represents the Council and Public Health Directorate at senior internal, regional and national forums, and provides authoritative professional advice to senior officers, elected members and system partners.</w:t>
            </w:r>
          </w:p>
          <w:p>
            <w:pPr>
              <w:pStyle w:val="Normal"/>
              <w:spacing w:lineRule="auto" w:line="240" w:before="120" w:after="120"/>
              <w:rPr>
                <w:rFonts w:ascii="Aptos" w:hAnsi="Aptos" w:cs="Aptos"/>
              </w:rPr>
            </w:pPr>
            <w:r>
              <w:rPr>
                <w:rFonts w:cs="Aptos" w:ascii="Aptos" w:hAnsi="Aptos"/>
              </w:rPr>
              <w:t>The post is responsible for the strategic leadership, management and assurance of the Office for Health Improvement and Disparities Local Stop Smoking Services Grant, ensuring delivery against national conditions, performance milestones and reporting requirements.</w:t>
            </w:r>
          </w:p>
          <w:p>
            <w:pPr>
              <w:pStyle w:val="Normal"/>
              <w:spacing w:lineRule="auto" w:line="240" w:before="120" w:after="120"/>
              <w:rPr>
                <w:rFonts w:ascii="Aptos" w:hAnsi="Aptos" w:cs="Aptos"/>
              </w:rPr>
            </w:pPr>
            <w:r>
              <w:rPr>
                <w:rFonts w:cs="Aptos" w:ascii="Aptos" w:hAnsi="Aptos"/>
              </w:rPr>
              <w:t>The post holds system-level accountability for statutory compliance, regulatory risk, commissioning quality and performance, and is the named budget holder for significant public health investment. The role directly influences system-wide priorities, health inequalities, and population health outcomes.</w:t>
            </w:r>
          </w:p>
          <w:p>
            <w:pPr>
              <w:pStyle w:val="Normal"/>
              <w:spacing w:lineRule="auto" w:line="240" w:before="120" w:after="120"/>
              <w:rPr>
                <w:rFonts w:ascii="Aptos" w:hAnsi="Aptos" w:cs="Aptos"/>
              </w:rPr>
            </w:pPr>
            <w:r>
              <w:rPr>
                <w:rFonts w:cs="Aptos" w:ascii="Aptos" w:hAnsi="Aptos"/>
              </w:rPr>
            </w:r>
          </w:p>
        </w:tc>
      </w:tr>
      <w:tr>
        <w:trPr>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Accountable to</w:t>
            </w:r>
            <w:r>
              <w:rPr>
                <w:rFonts w:cs="Aptos" w:ascii="Aptos" w:hAnsi="Aptos"/>
              </w:rPr>
              <w:t>: Director of Public Health</w:t>
            </w:r>
          </w:p>
        </w:tc>
      </w:tr>
      <w:tr>
        <w:trPr>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Immediately Responsible to</w:t>
            </w:r>
            <w:r>
              <w:rPr>
                <w:rFonts w:cs="Aptos" w:ascii="Aptos" w:hAnsi="Aptos"/>
              </w:rPr>
              <w:t>: Public Health Specialist</w:t>
            </w:r>
          </w:p>
        </w:tc>
      </w:tr>
      <w:tr>
        <w:trPr>
          <w:trHeight w:val="680"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pPr>
            <w:r>
              <w:rPr>
                <w:rFonts w:cs="Aptos" w:ascii="Aptos" w:hAnsi="Aptos"/>
                <w:b/>
              </w:rPr>
              <w:t>Immediately Responsible for</w:t>
            </w:r>
            <w:r>
              <w:rPr>
                <w:rFonts w:cs="Aptos" w:ascii="Aptos" w:hAnsi="Aptos"/>
              </w:rPr>
              <w:t>: N/A</w:t>
            </w:r>
          </w:p>
        </w:tc>
      </w:tr>
      <w:tr>
        <w:trPr>
          <w:trHeight w:val="680"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120" w:after="240"/>
              <w:rPr>
                <w:rFonts w:ascii="Aptos" w:hAnsi="Aptos" w:cs="Aptos"/>
                <w:b/>
                <w:b/>
              </w:rPr>
            </w:pPr>
            <w:r>
              <w:rPr>
                <w:rFonts w:cs="Aptos" w:ascii="Aptos" w:hAnsi="Aptos"/>
                <w:b/>
              </w:rPr>
              <w:t>Control of Resources</w:t>
            </w:r>
          </w:p>
          <w:p>
            <w:pPr>
              <w:pStyle w:val="Normal"/>
              <w:spacing w:lineRule="auto" w:line="240" w:before="120" w:after="240"/>
              <w:rPr>
                <w:rFonts w:ascii="Aptos" w:hAnsi="Aptos" w:cs="Aptos"/>
                <w:bCs/>
              </w:rPr>
            </w:pPr>
            <w:r>
              <w:rPr>
                <w:rFonts w:cs="Aptos" w:ascii="Aptos" w:hAnsi="Aptos"/>
                <w:bCs/>
              </w:rPr>
              <w:t>Named budget holder for multi-year tobacco control and smoking cessation commissioning budgets exceeding £450k</w:t>
            </w:r>
          </w:p>
        </w:tc>
      </w:tr>
      <w:tr>
        <w:trPr>
          <w:trHeight w:val="680"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tabs>
                <w:tab w:val="clear" w:pos="720"/>
                <w:tab w:val="left" w:pos="4320" w:leader="none"/>
              </w:tabs>
              <w:spacing w:lineRule="auto" w:line="240" w:before="120" w:after="120"/>
              <w:rPr>
                <w:rFonts w:ascii="Aptos" w:hAnsi="Aptos" w:cs="Aptos"/>
                <w:b/>
                <w:b/>
              </w:rPr>
            </w:pPr>
            <w:r>
              <w:rPr>
                <w:rFonts w:cs="Aptos" w:ascii="Aptos" w:hAnsi="Aptos"/>
                <w:b/>
              </w:rPr>
              <w:t>Relationships: (Internal and External)</w:t>
            </w:r>
          </w:p>
          <w:p>
            <w:pPr>
              <w:pStyle w:val="Normal"/>
              <w:spacing w:lineRule="auto" w:line="240" w:before="120" w:after="240"/>
              <w:rPr>
                <w:rFonts w:ascii="Aptos" w:hAnsi="Aptos" w:cs="Aptos"/>
              </w:rPr>
            </w:pPr>
            <w:r>
              <w:rPr>
                <w:rFonts w:cs="Aptos" w:ascii="Aptos" w:hAnsi="Aptos"/>
              </w:rPr>
              <w:t>Council teams – Public Health, Adult Social Care, Housing, Trading Standards, Persona, and other relevant services.</w:t>
            </w:r>
          </w:p>
          <w:p>
            <w:pPr>
              <w:pStyle w:val="Normal"/>
              <w:spacing w:lineRule="auto" w:line="240" w:before="120" w:after="240"/>
              <w:rPr>
                <w:rFonts w:ascii="Aptos" w:hAnsi="Aptos" w:cs="Aptos"/>
              </w:rPr>
            </w:pPr>
            <w:r>
              <w:rPr>
                <w:rFonts w:cs="Aptos" w:ascii="Aptos" w:hAnsi="Aptos"/>
              </w:rPr>
              <w:t>NHS partners – Northern Care Alliance, Pennine Care, Primary Care Networks, and specialist services (including Severe Mental Illness)</w:t>
            </w:r>
          </w:p>
          <w:p>
            <w:pPr>
              <w:pStyle w:val="Normal"/>
              <w:spacing w:lineRule="auto" w:line="240" w:before="120" w:after="240"/>
              <w:rPr>
                <w:rFonts w:ascii="Aptos" w:hAnsi="Aptos" w:cs="Aptos"/>
              </w:rPr>
            </w:pPr>
            <w:r>
              <w:rPr>
                <w:rFonts w:cs="Aptos" w:ascii="Aptos" w:hAnsi="Aptos"/>
              </w:rPr>
              <w:t>Greater Manchester Health and Social Care Partnership and Integrated Care Board</w:t>
            </w:r>
          </w:p>
          <w:p>
            <w:pPr>
              <w:pStyle w:val="Normal"/>
              <w:spacing w:lineRule="auto" w:line="240" w:before="120" w:after="240"/>
              <w:rPr>
                <w:rFonts w:ascii="Aptos" w:hAnsi="Aptos" w:cs="Aptos"/>
              </w:rPr>
            </w:pPr>
            <w:r>
              <w:rPr>
                <w:rFonts w:cs="Aptos" w:ascii="Aptos" w:hAnsi="Aptos"/>
              </w:rPr>
              <w:t>Office for Health Improvement and Disparities and national policy bodies</w:t>
            </w:r>
          </w:p>
          <w:p>
            <w:pPr>
              <w:pStyle w:val="Normal"/>
              <w:spacing w:lineRule="auto" w:line="240" w:before="120" w:after="240"/>
              <w:rPr>
                <w:rFonts w:ascii="Aptos" w:hAnsi="Aptos" w:cs="Aptos"/>
              </w:rPr>
            </w:pPr>
            <w:r>
              <w:rPr>
                <w:rFonts w:cs="Aptos" w:ascii="Aptos" w:hAnsi="Aptos"/>
              </w:rPr>
              <w:t>Community and voluntary sector organisations – including Healthwatch and local advocacy groups.</w:t>
            </w:r>
          </w:p>
          <w:p>
            <w:pPr>
              <w:pStyle w:val="Normal"/>
              <w:spacing w:lineRule="auto" w:line="240" w:before="120" w:after="240"/>
              <w:rPr>
                <w:rFonts w:ascii="Aptos" w:hAnsi="Aptos" w:cs="Aptos"/>
              </w:rPr>
            </w:pPr>
            <w:r>
              <w:rPr>
                <w:rFonts w:cs="Aptos" w:ascii="Aptos" w:hAnsi="Aptos"/>
              </w:rPr>
              <w:t>Education and enforcement partners – Bury Adult Learning, Greater Manchester Police, Greater Manchester Fire Rescue Services.</w:t>
            </w:r>
          </w:p>
          <w:p>
            <w:pPr>
              <w:pStyle w:val="Normal"/>
              <w:spacing w:lineRule="auto" w:line="240" w:before="120" w:after="240"/>
              <w:rPr>
                <w:rFonts w:ascii="Aptos" w:hAnsi="Aptos" w:cs="Aptos"/>
              </w:rPr>
            </w:pPr>
            <w:r>
              <w:rPr>
                <w:rFonts w:cs="Aptos" w:ascii="Aptos" w:hAnsi="Aptos"/>
              </w:rPr>
              <w:t>Elected members – Councillors and governance boards.</w:t>
            </w:r>
          </w:p>
        </w:tc>
      </w:tr>
      <w:tr>
        <w:trPr>
          <w:trHeight w:val="680" w:hRule="atLeast"/>
          <w:cantSplit w:val="true"/>
        </w:trPr>
        <w:tc>
          <w:tcPr>
            <w:tcW w:w="9031"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lineRule="auto" w:line="240" w:before="0" w:after="0"/>
              <w:rPr>
                <w:rFonts w:ascii="Aptos" w:hAnsi="Aptos" w:eastAsia="Times New Roman" w:cs="Aptos"/>
                <w:b/>
                <w:b/>
                <w:bCs/>
              </w:rPr>
            </w:pPr>
            <w:r>
              <w:rPr>
                <w:rFonts w:eastAsia="Times New Roman" w:cs="Aptos" w:ascii="Aptos" w:hAnsi="Aptos"/>
                <w:b/>
                <w:bCs/>
              </w:rPr>
              <w:t>Roles and Responsibilities</w:t>
            </w:r>
          </w:p>
          <w:p>
            <w:pPr>
              <w:pStyle w:val="Normal"/>
              <w:spacing w:lineRule="auto" w:line="240" w:before="120" w:after="240"/>
              <w:rPr>
                <w:rFonts w:ascii="Aptos" w:hAnsi="Aptos" w:eastAsia="Times New Roman" w:cs="Aptos"/>
                <w:b/>
                <w:b/>
                <w:bCs/>
              </w:rPr>
            </w:pPr>
            <w:r>
              <w:rPr>
                <w:rFonts w:eastAsia="Times New Roman" w:cs="Aptos" w:ascii="Aptos" w:hAnsi="Aptos"/>
                <w:b/>
                <w:bCs/>
              </w:rPr>
              <w:t>Strategic Leadership, Policy and System Influence</w:t>
            </w:r>
          </w:p>
          <w:p>
            <w:pPr>
              <w:pStyle w:val="Normal"/>
              <w:spacing w:lineRule="auto" w:line="240" w:before="120" w:after="240"/>
              <w:rPr>
                <w:rFonts w:ascii="Aptos" w:hAnsi="Aptos" w:eastAsia="Times New Roman" w:cs="Aptos"/>
              </w:rPr>
            </w:pPr>
            <w:r>
              <w:rPr>
                <w:rFonts w:eastAsia="Times New Roman" w:cs="Aptos" w:ascii="Aptos" w:hAnsi="Aptos"/>
              </w:rPr>
              <w:t>Act as the Council’s strategic lead for the complete transformation of Bury’s stop smoking system, directing multi-agency partners towards statutory, ICS and Greater Manchester milestones.</w:t>
            </w:r>
          </w:p>
          <w:p>
            <w:pPr>
              <w:pStyle w:val="Normal"/>
              <w:spacing w:lineRule="auto" w:line="240" w:before="120" w:after="240"/>
              <w:rPr>
                <w:rFonts w:ascii="Aptos" w:hAnsi="Aptos" w:eastAsia="Times New Roman" w:cs="Aptos"/>
              </w:rPr>
            </w:pPr>
            <w:r>
              <w:rPr>
                <w:rFonts w:eastAsia="Times New Roman" w:cs="Aptos" w:ascii="Aptos" w:hAnsi="Aptos"/>
              </w:rPr>
              <w:t>Set, agree and formally report borough-wide stop smoking targets, including smoking prevalence, GM Making Smoking History milestones and ICS performance metrics.</w:t>
            </w:r>
          </w:p>
          <w:p>
            <w:pPr>
              <w:pStyle w:val="Normal"/>
              <w:spacing w:lineRule="auto" w:line="240" w:before="120" w:after="240"/>
              <w:rPr>
                <w:rFonts w:ascii="Aptos" w:hAnsi="Aptos" w:eastAsia="Times New Roman" w:cs="Aptos"/>
              </w:rPr>
            </w:pPr>
            <w:r>
              <w:rPr>
                <w:rFonts w:eastAsia="Times New Roman" w:cs="Aptos" w:ascii="Aptos" w:hAnsi="Aptos"/>
              </w:rPr>
              <w:t>Lead the development, delivery, and continuous refinement of Bury’s Tobacco Control Plan, ensuring alignment with local, regional and national policy and demonstrable impact on health inequalities.</w:t>
            </w:r>
          </w:p>
          <w:p>
            <w:pPr>
              <w:pStyle w:val="Normal"/>
              <w:spacing w:lineRule="auto" w:line="240" w:before="120" w:after="240"/>
              <w:rPr>
                <w:rFonts w:ascii="Aptos" w:hAnsi="Aptos" w:eastAsia="Times New Roman" w:cs="Aptos"/>
              </w:rPr>
            </w:pPr>
            <w:r>
              <w:rPr>
                <w:rFonts w:eastAsia="Times New Roman" w:cs="Aptos" w:ascii="Aptos" w:hAnsi="Aptos"/>
              </w:rPr>
              <w:t>Serve as the named local lead and interpret and translate complex national legislation, policy and evidence (including Smoke-Free Generation proposals) into system planning, delivery coordination and escalation of risk.</w:t>
            </w:r>
          </w:p>
          <w:p>
            <w:pPr>
              <w:pStyle w:val="Normal"/>
              <w:spacing w:lineRule="auto" w:line="240" w:before="120" w:after="240"/>
              <w:rPr>
                <w:rFonts w:ascii="Aptos" w:hAnsi="Aptos" w:eastAsia="Times New Roman" w:cs="Aptos"/>
              </w:rPr>
            </w:pPr>
            <w:r>
              <w:rPr>
                <w:rFonts w:eastAsia="Times New Roman" w:cs="Aptos" w:ascii="Aptos" w:hAnsi="Aptos"/>
              </w:rPr>
              <w:t xml:space="preserve">Chair the Bury Tobacco Control Alliance, setting system priorities, directing delivery and holding senior partners to account for performance. </w:t>
            </w:r>
          </w:p>
          <w:p>
            <w:pPr>
              <w:pStyle w:val="Normal"/>
              <w:spacing w:lineRule="auto" w:line="240" w:before="120" w:after="240"/>
              <w:rPr>
                <w:rFonts w:ascii="Aptos" w:hAnsi="Aptos" w:eastAsia="Times New Roman" w:cs="Aptos"/>
              </w:rPr>
            </w:pPr>
            <w:r>
              <w:rPr>
                <w:rFonts w:eastAsia="Times New Roman" w:cs="Aptos" w:ascii="Aptos" w:hAnsi="Aptos"/>
              </w:rPr>
              <w:t>Lead strategy development through critical appraisal of evidence, including the use of health needs assessments, health equity audits and system wide intelligence to address inequalities and optimise health outcomes.</w:t>
            </w:r>
          </w:p>
          <w:p>
            <w:pPr>
              <w:pStyle w:val="Normal"/>
              <w:spacing w:lineRule="auto" w:line="240" w:before="120" w:after="240"/>
              <w:rPr>
                <w:rFonts w:ascii="Aptos" w:hAnsi="Aptos" w:eastAsia="Times New Roman" w:cs="Aptos"/>
              </w:rPr>
            </w:pPr>
            <w:r>
              <w:rPr>
                <w:rFonts w:eastAsia="Times New Roman" w:cs="Aptos" w:ascii="Aptos" w:hAnsi="Aptos"/>
              </w:rPr>
              <w:t>Represent Public Health at senior strategic forums, boards, and partnership forums, ensuring tobacco control remains a core system priority.</w:t>
            </w:r>
          </w:p>
          <w:p>
            <w:pPr>
              <w:pStyle w:val="Normal"/>
              <w:spacing w:lineRule="auto" w:line="240" w:before="120" w:after="240"/>
              <w:rPr>
                <w:rFonts w:ascii="Aptos" w:hAnsi="Aptos" w:eastAsia="Times New Roman" w:cs="Aptos"/>
                <w:b/>
                <w:b/>
                <w:bCs/>
              </w:rPr>
            </w:pPr>
            <w:r>
              <w:rPr>
                <w:rFonts w:eastAsia="Times New Roman" w:cs="Aptos" w:ascii="Aptos" w:hAnsi="Aptos"/>
                <w:b/>
                <w:bCs/>
              </w:rPr>
              <w:t>Professional Autonomy, Initiative, and Independent Decision-Making</w:t>
            </w:r>
          </w:p>
          <w:p>
            <w:pPr>
              <w:pStyle w:val="Normal"/>
              <w:spacing w:lineRule="auto" w:line="240" w:before="120" w:after="240"/>
              <w:rPr>
                <w:rFonts w:ascii="Aptos" w:hAnsi="Aptos" w:eastAsia="Times New Roman" w:cs="Aptos"/>
              </w:rPr>
            </w:pPr>
            <w:r>
              <w:rPr>
                <w:rFonts w:eastAsia="Times New Roman" w:cs="Aptos" w:ascii="Aptos" w:hAnsi="Aptos"/>
              </w:rPr>
              <w:t>Operate with a high level of professional autonomy, independently determining priorities, work programmes, and system approaches within agreed public health framework.</w:t>
            </w:r>
          </w:p>
          <w:p>
            <w:pPr>
              <w:pStyle w:val="Normal"/>
              <w:spacing w:lineRule="auto" w:line="240" w:before="120" w:after="240"/>
              <w:rPr>
                <w:rFonts w:ascii="Aptos" w:hAnsi="Aptos" w:eastAsia="Times New Roman" w:cs="Aptos"/>
              </w:rPr>
            </w:pPr>
            <w:r>
              <w:rPr>
                <w:rFonts w:eastAsia="Times New Roman" w:cs="Aptos" w:ascii="Aptos" w:hAnsi="Aptos"/>
              </w:rPr>
              <w:t>Make independent, evidence-based decisions on commissioning priorities, service development, performance improvement, and risk management.</w:t>
            </w:r>
          </w:p>
          <w:p>
            <w:pPr>
              <w:pStyle w:val="Normal"/>
              <w:spacing w:lineRule="auto" w:line="240" w:before="120" w:after="240"/>
              <w:rPr>
                <w:rFonts w:ascii="Aptos" w:hAnsi="Aptos" w:eastAsia="Times New Roman" w:cs="Aptos"/>
              </w:rPr>
            </w:pPr>
            <w:r>
              <w:rPr>
                <w:rFonts w:eastAsia="Times New Roman" w:cs="Aptos" w:ascii="Aptos" w:hAnsi="Aptos"/>
              </w:rPr>
              <w:t>Resolve complex, sensitive, and politically aware issues across multiple organisations, often in the absence of clear precedent.</w:t>
            </w:r>
          </w:p>
          <w:p>
            <w:pPr>
              <w:pStyle w:val="Normal"/>
              <w:spacing w:lineRule="auto" w:line="240" w:before="120" w:after="240"/>
              <w:rPr>
                <w:rFonts w:ascii="Aptos" w:hAnsi="Aptos" w:eastAsia="Times New Roman" w:cs="Aptos"/>
              </w:rPr>
            </w:pPr>
            <w:r>
              <w:rPr>
                <w:rFonts w:eastAsia="Times New Roman" w:cs="Aptos" w:ascii="Aptos" w:hAnsi="Aptos"/>
              </w:rPr>
              <w:t>Provide expert professional advice to senior leaders and partners, influencing strategic direction, investment decisions, and system priorities.</w:t>
            </w:r>
          </w:p>
          <w:p>
            <w:pPr>
              <w:pStyle w:val="Normal"/>
              <w:spacing w:lineRule="auto" w:line="240" w:before="120" w:after="240"/>
              <w:rPr>
                <w:rFonts w:ascii="Aptos" w:hAnsi="Aptos" w:eastAsia="Times New Roman" w:cs="Aptos"/>
              </w:rPr>
            </w:pPr>
            <w:r>
              <w:rPr>
                <w:rFonts w:eastAsia="Times New Roman" w:cs="Aptos" w:ascii="Aptos" w:hAnsi="Aptos"/>
              </w:rPr>
              <w:t>Deputise for Consultants in Public Health, representing the Directorate at senior internal and external meetings and exercising independent professional judgement.</w:t>
            </w:r>
          </w:p>
          <w:p>
            <w:pPr>
              <w:pStyle w:val="Normal"/>
              <w:spacing w:lineRule="auto" w:line="240" w:before="120" w:after="240"/>
              <w:rPr>
                <w:rFonts w:ascii="Aptos" w:hAnsi="Aptos" w:eastAsia="Times New Roman" w:cs="Aptos"/>
                <w:b/>
                <w:b/>
                <w:bCs/>
              </w:rPr>
            </w:pPr>
            <w:r>
              <w:rPr>
                <w:rFonts w:eastAsia="Times New Roman" w:cs="Aptos" w:ascii="Aptos" w:hAnsi="Aptos"/>
                <w:b/>
                <w:bCs/>
              </w:rPr>
              <w:t>Commissioning, Finance and Assurance</w:t>
            </w:r>
          </w:p>
          <w:p>
            <w:pPr>
              <w:pStyle w:val="Normal"/>
              <w:spacing w:lineRule="auto" w:line="240" w:before="120" w:after="240"/>
              <w:rPr>
                <w:rFonts w:ascii="Aptos" w:hAnsi="Aptos" w:eastAsia="Times New Roman" w:cs="Aptos"/>
              </w:rPr>
            </w:pPr>
            <w:r>
              <w:rPr>
                <w:rFonts w:eastAsia="Times New Roman" w:cs="Aptos" w:ascii="Aptos" w:hAnsi="Aptos"/>
              </w:rPr>
              <w:t>Act as the named budget holder for multi-year tobacco control and smoking cessation commissioning budgets exceeding £450k,including financial planning, monitoring spend, managing risk and advising on investment decisions.</w:t>
            </w:r>
          </w:p>
          <w:p>
            <w:pPr>
              <w:pStyle w:val="Normal"/>
              <w:spacing w:lineRule="auto" w:line="240" w:before="120" w:after="240"/>
              <w:rPr>
                <w:rFonts w:ascii="Aptos" w:hAnsi="Aptos" w:eastAsia="Times New Roman" w:cs="Aptos"/>
              </w:rPr>
            </w:pPr>
            <w:r>
              <w:rPr>
                <w:rFonts w:eastAsia="Times New Roman" w:cs="Aptos" w:ascii="Aptos" w:hAnsi="Aptos"/>
              </w:rPr>
              <w:t>Hold responsibility for the strategic management and assurance of the OHID  Local Stop Smoking Services Grant, including multi-year financial planning, performance delivery and compliance with national grant conditions.</w:t>
            </w:r>
          </w:p>
          <w:p>
            <w:pPr>
              <w:pStyle w:val="Normal"/>
              <w:spacing w:lineRule="auto" w:line="240" w:before="120" w:after="240"/>
              <w:rPr>
                <w:rFonts w:ascii="Aptos" w:hAnsi="Aptos" w:eastAsia="Times New Roman" w:cs="Aptos"/>
              </w:rPr>
            </w:pPr>
            <w:r>
              <w:rPr>
                <w:rFonts w:eastAsia="Times New Roman" w:cs="Aptos" w:ascii="Aptos" w:hAnsi="Aptos"/>
              </w:rPr>
              <w:t>Lead grant reporting, performance returns and assurance submissions to OHID, ensuring timely delivery against milestones and mitigation of financial or reputational risk, including potential clawback.</w:t>
            </w:r>
          </w:p>
          <w:p>
            <w:pPr>
              <w:pStyle w:val="Normal"/>
              <w:spacing w:lineRule="auto" w:line="240" w:before="120" w:after="240"/>
              <w:rPr>
                <w:rFonts w:ascii="Aptos" w:hAnsi="Aptos" w:eastAsia="Times New Roman" w:cs="Aptos"/>
              </w:rPr>
            </w:pPr>
            <w:r>
              <w:rPr>
                <w:rFonts w:eastAsia="Times New Roman" w:cs="Aptos" w:ascii="Aptos" w:hAnsi="Aptos"/>
              </w:rPr>
              <w:t>Align LSSS grant delivery with local, Greater Manchester and Integrated Care System priorities, maximising impact and value for money.</w:t>
            </w:r>
          </w:p>
          <w:p>
            <w:pPr>
              <w:pStyle w:val="Normal"/>
              <w:spacing w:lineRule="auto" w:line="240" w:before="120" w:after="240"/>
              <w:rPr>
                <w:rFonts w:ascii="Aptos" w:hAnsi="Aptos" w:eastAsia="Times New Roman" w:cs="Aptos"/>
              </w:rPr>
            </w:pPr>
            <w:r>
              <w:rPr>
                <w:rFonts w:eastAsia="Times New Roman" w:cs="Aptos" w:ascii="Aptos" w:hAnsi="Aptos"/>
              </w:rPr>
              <w:t>Provide strategic leadership for commissioning and performance management of multiple contracted services, ensuring alignment with evidence, policy and population need.</w:t>
            </w:r>
          </w:p>
          <w:p>
            <w:pPr>
              <w:pStyle w:val="Normal"/>
              <w:spacing w:lineRule="auto" w:line="240" w:before="120" w:after="240"/>
              <w:rPr>
                <w:rFonts w:ascii="Aptos" w:hAnsi="Aptos" w:eastAsia="Times New Roman" w:cs="Aptos"/>
              </w:rPr>
            </w:pPr>
            <w:r>
              <w:rPr>
                <w:rFonts w:eastAsia="Times New Roman" w:cs="Aptos" w:ascii="Aptos" w:hAnsi="Aptos"/>
              </w:rPr>
              <w:t>Analyse complex financial, performance and population health data to assess effectiveness, value for money and equity.</w:t>
            </w:r>
          </w:p>
          <w:p>
            <w:pPr>
              <w:pStyle w:val="Normal"/>
              <w:spacing w:lineRule="auto" w:line="240" w:before="120" w:after="240"/>
              <w:rPr>
                <w:rFonts w:ascii="Aptos" w:hAnsi="Aptos" w:eastAsia="Times New Roman" w:cs="Aptos"/>
              </w:rPr>
            </w:pPr>
            <w:r>
              <w:rPr>
                <w:rFonts w:eastAsia="Times New Roman" w:cs="Aptos" w:ascii="Aptos" w:hAnsi="Aptos"/>
              </w:rPr>
              <w:t>Lead commissioning activity across all stages of the commissioning cycle, including needs assessment, service design, procurement, mobilisation, performance management and review, ensuring robust governance and value for money.</w:t>
            </w:r>
          </w:p>
          <w:p>
            <w:pPr>
              <w:pStyle w:val="Normal"/>
              <w:spacing w:lineRule="auto" w:line="240" w:before="120" w:after="240"/>
              <w:rPr>
                <w:rFonts w:ascii="Aptos" w:hAnsi="Aptos" w:eastAsia="Times New Roman" w:cs="Aptos"/>
              </w:rPr>
            </w:pPr>
            <w:r>
              <w:rPr>
                <w:rFonts w:eastAsia="Times New Roman" w:cs="Aptos" w:ascii="Aptos" w:hAnsi="Aptos"/>
              </w:rPr>
              <w:t>Provide formal assurance to the Director of Public Health, Greater Manchester Integrated Care Board and national bodies regarding quality, performance, governance and grant compliance.</w:t>
            </w:r>
          </w:p>
          <w:p>
            <w:pPr>
              <w:pStyle w:val="Normal"/>
              <w:spacing w:lineRule="auto" w:line="240" w:before="120" w:after="240"/>
              <w:rPr>
                <w:rFonts w:ascii="Aptos" w:hAnsi="Aptos" w:eastAsia="Times New Roman" w:cs="Aptos"/>
                <w:b/>
                <w:b/>
                <w:bCs/>
              </w:rPr>
            </w:pPr>
            <w:r>
              <w:rPr>
                <w:rFonts w:eastAsia="Times New Roman" w:cs="Aptos" w:ascii="Aptos" w:hAnsi="Aptos"/>
                <w:b/>
                <w:bCs/>
              </w:rPr>
              <w:t>Greater Manchester, Regional and National Leadership</w:t>
            </w:r>
          </w:p>
          <w:p>
            <w:pPr>
              <w:pStyle w:val="Normal"/>
              <w:spacing w:lineRule="auto" w:line="240" w:before="120" w:after="240"/>
              <w:rPr>
                <w:rFonts w:ascii="Aptos" w:hAnsi="Aptos" w:eastAsia="Times New Roman" w:cs="Aptos"/>
              </w:rPr>
            </w:pPr>
            <w:r>
              <w:rPr>
                <w:rFonts w:eastAsia="Times New Roman" w:cs="Aptos" w:ascii="Aptos" w:hAnsi="Aptos"/>
              </w:rPr>
              <w:t>Provide senior leadership within Greater Manchester tobacco control governance, including co-chairing the GM Tobacco Control Commissioning Group.</w:t>
            </w:r>
          </w:p>
          <w:p>
            <w:pPr>
              <w:pStyle w:val="Normal"/>
              <w:spacing w:lineRule="auto" w:line="240" w:before="120" w:after="240"/>
              <w:rPr>
                <w:rFonts w:ascii="Aptos" w:hAnsi="Aptos" w:eastAsia="Times New Roman" w:cs="Aptos"/>
              </w:rPr>
            </w:pPr>
            <w:r>
              <w:rPr>
                <w:rFonts w:eastAsia="Times New Roman" w:cs="Aptos" w:ascii="Aptos" w:hAnsi="Aptos"/>
              </w:rPr>
              <w:t>Influence regional priorities, pathway design and funding allocations.</w:t>
            </w:r>
          </w:p>
          <w:p>
            <w:pPr>
              <w:pStyle w:val="Normal"/>
              <w:spacing w:lineRule="auto" w:line="240" w:before="120" w:after="240"/>
              <w:rPr>
                <w:rFonts w:ascii="Aptos" w:hAnsi="Aptos" w:eastAsia="Times New Roman" w:cs="Aptos"/>
              </w:rPr>
            </w:pPr>
            <w:r>
              <w:rPr>
                <w:rFonts w:eastAsia="Times New Roman" w:cs="Aptos" w:ascii="Aptos" w:hAnsi="Aptos"/>
              </w:rPr>
              <w:t>Represent Bury in regional and national forums in relation to the delivery and development of the OHID LSSS grant, sharing learning and influencing future national funding models.</w:t>
            </w:r>
          </w:p>
          <w:p>
            <w:pPr>
              <w:pStyle w:val="Normal"/>
              <w:spacing w:lineRule="auto" w:line="240" w:before="120" w:after="240"/>
              <w:rPr>
                <w:rFonts w:ascii="Aptos" w:hAnsi="Aptos" w:eastAsia="Times New Roman" w:cs="Aptos"/>
              </w:rPr>
            </w:pPr>
            <w:r>
              <w:rPr>
                <w:rFonts w:eastAsia="Times New Roman" w:cs="Aptos" w:ascii="Aptos" w:hAnsi="Aptos"/>
              </w:rPr>
              <w:t>Represent Bury in national policy consultations and vanguard activity, including contributions to the Tobacco and Vapes Bill.</w:t>
            </w:r>
          </w:p>
          <w:p>
            <w:pPr>
              <w:pStyle w:val="Normal"/>
              <w:spacing w:lineRule="auto" w:line="240" w:before="120" w:after="240"/>
              <w:rPr>
                <w:rFonts w:ascii="Aptos" w:hAnsi="Aptos" w:eastAsia="Times New Roman" w:cs="Aptos"/>
              </w:rPr>
            </w:pPr>
            <w:r>
              <w:rPr>
                <w:rFonts w:eastAsia="Times New Roman" w:cs="Aptos" w:ascii="Aptos" w:hAnsi="Aptos"/>
              </w:rPr>
              <w:t>To deliver on defined aspects of service redesign and pathway development based on local priorities in Bury, NHS GM Integrated Care priorities, and national priorities (DHSC/ OHID/ UKHSA).</w:t>
            </w:r>
          </w:p>
          <w:p>
            <w:pPr>
              <w:pStyle w:val="Normal"/>
              <w:spacing w:lineRule="auto" w:line="240" w:before="120" w:after="240"/>
              <w:rPr>
                <w:rFonts w:ascii="Aptos" w:hAnsi="Aptos" w:eastAsia="Times New Roman" w:cs="Aptos"/>
              </w:rPr>
            </w:pPr>
            <w:r>
              <w:rPr>
                <w:rFonts w:eastAsia="Times New Roman" w:cs="Aptos" w:ascii="Aptos" w:hAnsi="Aptos"/>
              </w:rPr>
              <w:t>Act as Bury’s authoritative voice on tobacco and nicotine policy at regional and national level through the Greater Manchester Making Smoking History Framework.</w:t>
            </w:r>
          </w:p>
          <w:p>
            <w:pPr>
              <w:pStyle w:val="Normal"/>
              <w:spacing w:lineRule="auto" w:line="240" w:before="120" w:after="240"/>
              <w:rPr>
                <w:rFonts w:ascii="Aptos" w:hAnsi="Aptos" w:eastAsia="Times New Roman" w:cs="Aptos"/>
                <w:b/>
                <w:b/>
                <w:bCs/>
              </w:rPr>
            </w:pPr>
            <w:r>
              <w:rPr>
                <w:rFonts w:eastAsia="Times New Roman" w:cs="Aptos" w:ascii="Aptos" w:hAnsi="Aptos"/>
                <w:b/>
                <w:bCs/>
              </w:rPr>
              <w:t>Statutory, Regulatory and Enforcement Accountability</w:t>
            </w:r>
          </w:p>
          <w:p>
            <w:pPr>
              <w:pStyle w:val="Normal"/>
              <w:spacing w:lineRule="auto" w:line="240" w:before="120" w:after="240"/>
              <w:rPr>
                <w:rFonts w:ascii="Aptos" w:hAnsi="Aptos" w:eastAsia="Times New Roman" w:cs="Aptos"/>
              </w:rPr>
            </w:pPr>
            <w:r>
              <w:rPr>
                <w:rFonts w:eastAsia="Times New Roman" w:cs="Aptos" w:ascii="Aptos" w:hAnsi="Aptos"/>
              </w:rPr>
              <w:t>Hold system-level accountability for ensuring Bury’s compliance with tobacco and vaping legislation.</w:t>
            </w:r>
          </w:p>
          <w:p>
            <w:pPr>
              <w:pStyle w:val="Normal"/>
              <w:spacing w:lineRule="auto" w:line="240" w:before="120" w:after="240"/>
              <w:rPr>
                <w:rFonts w:ascii="Aptos" w:hAnsi="Aptos" w:eastAsia="Times New Roman" w:cs="Aptos"/>
              </w:rPr>
            </w:pPr>
            <w:r>
              <w:rPr>
                <w:rFonts w:eastAsia="Times New Roman" w:cs="Aptos" w:ascii="Aptos" w:hAnsi="Aptos"/>
              </w:rPr>
              <w:t>Provide formal assurance to the Director of Public Health regarding regulatory, enforcement and statutory risk.</w:t>
            </w:r>
          </w:p>
          <w:p>
            <w:pPr>
              <w:pStyle w:val="Normal"/>
              <w:spacing w:lineRule="auto" w:line="240" w:before="120" w:after="240"/>
              <w:rPr>
                <w:rFonts w:ascii="Aptos" w:hAnsi="Aptos" w:eastAsia="Times New Roman" w:cs="Aptos"/>
              </w:rPr>
            </w:pPr>
            <w:r>
              <w:rPr>
                <w:rFonts w:eastAsia="Times New Roman" w:cs="Aptos" w:ascii="Aptos" w:hAnsi="Aptos"/>
              </w:rPr>
              <w:t>Public Health lead for governance of enforcement intelligence and priorities in partnership with Trading Standards and Greater Manchester Police.</w:t>
            </w:r>
          </w:p>
          <w:p>
            <w:pPr>
              <w:pStyle w:val="Normal"/>
              <w:spacing w:lineRule="auto" w:line="240" w:before="120" w:after="240"/>
              <w:rPr>
                <w:rFonts w:ascii="Aptos" w:hAnsi="Aptos" w:eastAsia="Times New Roman" w:cs="Aptos"/>
              </w:rPr>
            </w:pPr>
            <w:r>
              <w:rPr>
                <w:rFonts w:eastAsia="Times New Roman" w:cs="Aptos" w:ascii="Aptos" w:hAnsi="Aptos"/>
              </w:rPr>
              <w:t>Escalate regulatory, compliance and reputational risks through formal governance routes.</w:t>
            </w:r>
          </w:p>
          <w:p>
            <w:pPr>
              <w:pStyle w:val="Normal"/>
              <w:spacing w:lineRule="auto" w:line="240" w:before="120" w:after="240"/>
              <w:rPr>
                <w:rFonts w:ascii="Aptos" w:hAnsi="Aptos" w:eastAsia="Times New Roman" w:cs="Aptos"/>
                <w:b/>
                <w:b/>
                <w:bCs/>
              </w:rPr>
            </w:pPr>
            <w:r>
              <w:rPr>
                <w:rFonts w:eastAsia="Times New Roman" w:cs="Aptos" w:ascii="Aptos" w:hAnsi="Aptos"/>
                <w:b/>
                <w:bCs/>
              </w:rPr>
              <w:t>Complex Pathways, Prevention, and Inequalities</w:t>
            </w:r>
          </w:p>
          <w:p>
            <w:pPr>
              <w:pStyle w:val="Normal"/>
              <w:spacing w:lineRule="auto" w:line="240" w:before="120" w:after="240"/>
              <w:rPr>
                <w:rFonts w:ascii="Aptos" w:hAnsi="Aptos" w:eastAsia="Times New Roman" w:cs="Aptos"/>
              </w:rPr>
            </w:pPr>
            <w:r>
              <w:rPr>
                <w:rFonts w:eastAsia="Times New Roman" w:cs="Aptos" w:ascii="Aptos" w:hAnsi="Aptos"/>
              </w:rPr>
              <w:t>Lead system redesign of smoking cessation pathways across maternity, pregnancy, Severe Mental Illness, primary care and acute settings.</w:t>
            </w:r>
          </w:p>
          <w:p>
            <w:pPr>
              <w:pStyle w:val="Normal"/>
              <w:spacing w:lineRule="auto" w:line="240" w:before="120" w:after="240"/>
              <w:rPr>
                <w:rFonts w:ascii="Aptos" w:hAnsi="Aptos" w:eastAsia="Times New Roman" w:cs="Aptos"/>
              </w:rPr>
            </w:pPr>
            <w:r>
              <w:rPr>
                <w:rFonts w:eastAsia="Times New Roman" w:cs="Aptos" w:ascii="Aptos" w:hAnsi="Aptos"/>
              </w:rPr>
              <w:t>Ensure tobacco control is embedded across life-course prevention, long-term condition and inequalities agendas.</w:t>
            </w:r>
          </w:p>
          <w:p>
            <w:pPr>
              <w:pStyle w:val="Normal"/>
              <w:spacing w:lineRule="auto" w:line="240" w:before="120" w:after="240"/>
              <w:rPr>
                <w:rFonts w:ascii="Aptos" w:hAnsi="Aptos" w:eastAsia="Times New Roman" w:cs="Aptos"/>
              </w:rPr>
            </w:pPr>
            <w:r>
              <w:rPr>
                <w:rFonts w:eastAsia="Times New Roman" w:cs="Aptos" w:ascii="Aptos" w:hAnsi="Aptos"/>
              </w:rPr>
              <w:t>Influence senior leaders across housing, education and employment to embed tobacco control into corporate policy and frontline practice.</w:t>
            </w:r>
          </w:p>
          <w:p>
            <w:pPr>
              <w:pStyle w:val="Normal"/>
              <w:spacing w:lineRule="auto" w:line="240" w:before="120" w:after="240"/>
              <w:rPr>
                <w:rFonts w:ascii="Aptos" w:hAnsi="Aptos" w:eastAsia="Times New Roman" w:cs="Aptos"/>
              </w:rPr>
            </w:pPr>
            <w:r>
              <w:rPr>
                <w:rFonts w:eastAsia="Times New Roman" w:cs="Aptos" w:ascii="Aptos" w:hAnsi="Aptos"/>
              </w:rPr>
              <w:t>Lead system approaches to workforce development, including Very Brief Advice and smoke-free environments, across partner organisations.</w:t>
            </w:r>
          </w:p>
          <w:p>
            <w:pPr>
              <w:pStyle w:val="Normal"/>
              <w:spacing w:lineRule="auto" w:line="240" w:before="120" w:after="240"/>
              <w:rPr>
                <w:rFonts w:ascii="Aptos" w:hAnsi="Aptos" w:eastAsia="Times New Roman" w:cs="Aptos"/>
                <w:b/>
                <w:b/>
                <w:bCs/>
              </w:rPr>
            </w:pPr>
            <w:r>
              <w:rPr>
                <w:rFonts w:eastAsia="Times New Roman" w:cs="Aptos" w:ascii="Aptos" w:hAnsi="Aptos"/>
                <w:b/>
                <w:bCs/>
              </w:rPr>
              <w:t>Workforce Leadership</w:t>
            </w:r>
          </w:p>
          <w:p>
            <w:pPr>
              <w:pStyle w:val="Normal"/>
              <w:spacing w:lineRule="auto" w:line="240" w:before="120" w:after="240"/>
              <w:rPr>
                <w:rFonts w:ascii="Aptos" w:hAnsi="Aptos" w:eastAsia="Times New Roman" w:cs="Aptos"/>
              </w:rPr>
            </w:pPr>
            <w:r>
              <w:rPr>
                <w:rFonts w:eastAsia="Times New Roman" w:cs="Aptos" w:ascii="Aptos" w:hAnsi="Aptos"/>
              </w:rPr>
              <w:t>Provide professional leadership for Bury’s tobacco control workforce across NHS, council and VCSE partners.</w:t>
            </w:r>
          </w:p>
          <w:p>
            <w:pPr>
              <w:pStyle w:val="Normal"/>
              <w:spacing w:lineRule="auto" w:line="240" w:before="120" w:after="240"/>
              <w:rPr>
                <w:rFonts w:ascii="Aptos" w:hAnsi="Aptos" w:eastAsia="Times New Roman" w:cs="Aptos"/>
              </w:rPr>
            </w:pPr>
            <w:r>
              <w:rPr>
                <w:rFonts w:eastAsia="Times New Roman" w:cs="Aptos" w:ascii="Aptos" w:hAnsi="Aptos"/>
              </w:rPr>
              <w:t>Set system-wide competency expectations and professional standards.</w:t>
            </w:r>
          </w:p>
          <w:p>
            <w:pPr>
              <w:pStyle w:val="Normal"/>
              <w:spacing w:lineRule="auto" w:line="240" w:before="120" w:after="240"/>
              <w:rPr>
                <w:rFonts w:ascii="Aptos" w:hAnsi="Aptos" w:eastAsia="Times New Roman" w:cs="Aptos"/>
              </w:rPr>
            </w:pPr>
            <w:r>
              <w:rPr>
                <w:rFonts w:eastAsia="Times New Roman" w:cs="Aptos" w:ascii="Aptos" w:hAnsi="Aptos"/>
              </w:rPr>
              <w:t>Commission and mandate workforce development and training, including Very Brief Advice and smoke-free environments.</w:t>
            </w:r>
          </w:p>
          <w:p>
            <w:pPr>
              <w:pStyle w:val="Normal"/>
              <w:spacing w:lineRule="auto" w:line="240" w:before="120" w:after="240"/>
              <w:rPr>
                <w:rFonts w:ascii="Aptos" w:hAnsi="Aptos" w:eastAsia="Times New Roman" w:cs="Aptos"/>
                <w:b/>
                <w:b/>
                <w:bCs/>
              </w:rPr>
            </w:pPr>
            <w:r>
              <w:rPr>
                <w:rFonts w:eastAsia="Times New Roman" w:cs="Aptos" w:ascii="Aptos" w:hAnsi="Aptos"/>
                <w:b/>
                <w:bCs/>
              </w:rPr>
              <w:t>Risk Management and Governance</w:t>
            </w:r>
          </w:p>
          <w:p>
            <w:pPr>
              <w:pStyle w:val="Normal"/>
              <w:spacing w:lineRule="auto" w:line="240" w:before="120" w:after="240"/>
              <w:rPr>
                <w:rFonts w:ascii="Aptos" w:hAnsi="Aptos" w:eastAsia="Times New Roman" w:cs="Aptos"/>
              </w:rPr>
            </w:pPr>
            <w:r>
              <w:rPr>
                <w:rFonts w:eastAsia="Times New Roman" w:cs="Aptos" w:ascii="Aptos" w:hAnsi="Aptos"/>
              </w:rPr>
              <w:t>Hold system-level responsibility for identifying, escalating and mitigating risks associated with national grant-funded programmes, including delivery failure, financial clawback and reputational risk in relation to the OHID LSSS grant.</w:t>
            </w:r>
          </w:p>
          <w:p>
            <w:pPr>
              <w:pStyle w:val="Normal"/>
              <w:spacing w:lineRule="auto" w:line="240" w:before="120" w:after="240"/>
              <w:rPr>
                <w:rFonts w:ascii="Aptos" w:hAnsi="Aptos" w:eastAsia="Times New Roman" w:cs="Aptos"/>
              </w:rPr>
            </w:pPr>
            <w:r>
              <w:rPr>
                <w:rFonts w:eastAsia="Times New Roman" w:cs="Aptos" w:ascii="Aptos" w:hAnsi="Aptos"/>
              </w:rPr>
              <w:t>Provide formal risk and assurance reports to senior leadership and governance boards.</w:t>
            </w:r>
          </w:p>
          <w:p>
            <w:pPr>
              <w:pStyle w:val="Normal"/>
              <w:spacing w:lineRule="auto" w:line="240" w:before="120" w:after="240"/>
              <w:rPr>
                <w:rFonts w:ascii="Aptos" w:hAnsi="Aptos" w:eastAsia="Times New Roman" w:cs="Aptos"/>
              </w:rPr>
            </w:pPr>
            <w:r>
              <w:rPr>
                <w:rFonts w:eastAsia="Times New Roman" w:cs="Aptos" w:ascii="Aptos" w:hAnsi="Aptos"/>
              </w:rPr>
              <w:t>Lead multi-agency governance groups and task-and-finish programmes to deliver agreed outcomes.</w:t>
            </w:r>
          </w:p>
          <w:p>
            <w:pPr>
              <w:pStyle w:val="Normal"/>
              <w:spacing w:lineRule="auto" w:line="240" w:before="120" w:after="240"/>
              <w:rPr>
                <w:rFonts w:ascii="Aptos" w:hAnsi="Aptos" w:eastAsia="Times New Roman" w:cs="Aptos"/>
                <w:b/>
                <w:b/>
                <w:bCs/>
              </w:rPr>
            </w:pPr>
            <w:r>
              <w:rPr>
                <w:rFonts w:eastAsia="Times New Roman" w:cs="Aptos" w:ascii="Aptos" w:hAnsi="Aptos"/>
                <w:b/>
                <w:bCs/>
              </w:rPr>
              <w:t>Data, Intelligence and Analytical Judgement</w:t>
            </w:r>
          </w:p>
          <w:p>
            <w:pPr>
              <w:pStyle w:val="Normal"/>
              <w:spacing w:lineRule="auto" w:line="240" w:before="120" w:after="240"/>
              <w:rPr>
                <w:rFonts w:ascii="Aptos" w:hAnsi="Aptos" w:eastAsia="Times New Roman" w:cs="Aptos"/>
              </w:rPr>
            </w:pPr>
            <w:r>
              <w:rPr>
                <w:rFonts w:eastAsia="Times New Roman" w:cs="Aptos" w:ascii="Aptos" w:hAnsi="Aptos"/>
              </w:rPr>
              <w:t>Interpret and synthesise complex epidemiological, performance and financial intelligence.</w:t>
            </w:r>
          </w:p>
          <w:p>
            <w:pPr>
              <w:pStyle w:val="Normal"/>
              <w:spacing w:lineRule="auto" w:line="240" w:before="120" w:after="240"/>
              <w:rPr>
                <w:rFonts w:ascii="Aptos" w:hAnsi="Aptos" w:eastAsia="Times New Roman" w:cs="Aptos"/>
              </w:rPr>
            </w:pPr>
            <w:r>
              <w:rPr>
                <w:rFonts w:eastAsia="Times New Roman" w:cs="Aptos" w:ascii="Aptos" w:hAnsi="Aptos"/>
              </w:rPr>
              <w:t>Use a wide range of intelligence sources, including the Joint Strategic Needs Assessment, local datasets and national evidence, to inform programme design, commissioning decisions and system priorities.</w:t>
            </w:r>
          </w:p>
          <w:p>
            <w:pPr>
              <w:pStyle w:val="Normal"/>
              <w:spacing w:lineRule="auto" w:line="240" w:before="120" w:after="240"/>
              <w:rPr>
                <w:rFonts w:ascii="Aptos" w:hAnsi="Aptos" w:eastAsia="Times New Roman" w:cs="Aptos"/>
              </w:rPr>
            </w:pPr>
            <w:r>
              <w:rPr>
                <w:rFonts w:eastAsia="Times New Roman" w:cs="Aptos" w:ascii="Aptos" w:hAnsi="Aptos"/>
              </w:rPr>
              <w:t>Produce high-level analytical outputs, dashboards and impact modelling to inform senior decision-making.</w:t>
            </w:r>
          </w:p>
          <w:p>
            <w:pPr>
              <w:pStyle w:val="Normal"/>
              <w:spacing w:lineRule="auto" w:line="240" w:before="120" w:after="240"/>
              <w:rPr>
                <w:rFonts w:ascii="Aptos" w:hAnsi="Aptos" w:eastAsia="Times New Roman" w:cs="Aptos"/>
              </w:rPr>
            </w:pPr>
            <w:r>
              <w:rPr>
                <w:rFonts w:eastAsia="Times New Roman" w:cs="Aptos" w:ascii="Aptos" w:hAnsi="Aptos"/>
              </w:rPr>
              <w:t>Use insight to identify emerging risks, trends and opportunities and translate these into system-wide action.</w:t>
            </w:r>
          </w:p>
          <w:p>
            <w:pPr>
              <w:pStyle w:val="Normal"/>
              <w:spacing w:lineRule="auto" w:line="240" w:before="120" w:after="240"/>
              <w:rPr>
                <w:rFonts w:ascii="Aptos" w:hAnsi="Aptos" w:eastAsia="Times New Roman" w:cs="Aptos"/>
                <w:b/>
                <w:b/>
                <w:bCs/>
              </w:rPr>
            </w:pPr>
            <w:r>
              <w:rPr>
                <w:rFonts w:eastAsia="Times New Roman" w:cs="Aptos" w:ascii="Aptos" w:hAnsi="Aptos"/>
                <w:b/>
                <w:bCs/>
              </w:rPr>
              <w:t>Corporate Contribution</w:t>
            </w:r>
          </w:p>
          <w:p>
            <w:pPr>
              <w:pStyle w:val="Normal"/>
              <w:spacing w:lineRule="auto" w:line="240" w:before="120" w:after="240"/>
              <w:rPr>
                <w:rFonts w:ascii="Aptos" w:hAnsi="Aptos" w:eastAsia="Times New Roman" w:cs="Aptos"/>
              </w:rPr>
            </w:pPr>
            <w:r>
              <w:rPr>
                <w:rFonts w:eastAsia="Times New Roman" w:cs="Aptos" w:ascii="Aptos" w:hAnsi="Aptos"/>
              </w:rPr>
              <w:t>Contribute to the strategic development of the Public Health Directorate, working across portfolios where required.</w:t>
            </w:r>
          </w:p>
          <w:p>
            <w:pPr>
              <w:pStyle w:val="Normal"/>
              <w:spacing w:lineRule="auto" w:line="240" w:before="120" w:after="240"/>
              <w:rPr>
                <w:rFonts w:ascii="Aptos" w:hAnsi="Aptos" w:eastAsia="Times New Roman" w:cs="Aptos"/>
              </w:rPr>
            </w:pPr>
            <w:r>
              <w:rPr>
                <w:rFonts w:eastAsia="Times New Roman" w:cs="Aptos" w:ascii="Aptos" w:hAnsi="Aptos"/>
              </w:rPr>
              <w:t>Uphold high standards of professional practice, data governance, equality, and safeguarding.</w:t>
            </w:r>
          </w:p>
          <w:p>
            <w:pPr>
              <w:pStyle w:val="Normal"/>
              <w:spacing w:lineRule="auto" w:line="240" w:before="120" w:after="240"/>
              <w:rPr>
                <w:rFonts w:ascii="Aptos" w:hAnsi="Aptos" w:cs="Aptos"/>
                <w:b/>
                <w:b/>
                <w:bCs/>
              </w:rPr>
            </w:pPr>
            <w:r>
              <w:rPr>
                <w:rFonts w:cs="Aptos" w:ascii="Aptos" w:hAnsi="Aptos"/>
                <w:b/>
                <w:bCs/>
              </w:rPr>
              <w:t xml:space="preserve">Additional responsibilities </w:t>
            </w:r>
          </w:p>
          <w:p>
            <w:pPr>
              <w:pStyle w:val="Normal"/>
              <w:spacing w:lineRule="auto" w:line="240" w:before="0" w:after="0"/>
              <w:rPr>
                <w:rFonts w:ascii="Aptos" w:hAnsi="Aptos" w:eastAsia="Times New Roman" w:cs="Aptos"/>
              </w:rPr>
            </w:pPr>
            <w:r>
              <w:rPr>
                <w:rFonts w:eastAsia="Times New Roman" w:cs="Aptos" w:ascii="Aptos" w:hAnsi="Aptos"/>
              </w:rPr>
              <w:t>To support the Consultant in Public Health and deputise for the Public Health Specialist and represent the directorate at a senior level in both internal and external settings around their lead areas e.g. Tobacco Control, Smoking Cessation</w:t>
            </w:r>
          </w:p>
          <w:p>
            <w:pPr>
              <w:pStyle w:val="Normal"/>
              <w:spacing w:lineRule="auto" w:line="240" w:before="120" w:after="240"/>
              <w:rPr>
                <w:rFonts w:ascii="Aptos" w:hAnsi="Aptos" w:cs="Aptos"/>
              </w:rPr>
            </w:pPr>
            <w:r>
              <w:rPr>
                <w:rFonts w:cs="Aptos" w:ascii="Aptos" w:hAnsi="Aptos"/>
              </w:rPr>
              <w:t>Provide assurance to the Consultant in Public Health/ Public Health Specialist on the commissioning and management for their relevant area of public health.</w:t>
            </w:r>
          </w:p>
          <w:p>
            <w:pPr>
              <w:pStyle w:val="Normal"/>
              <w:spacing w:lineRule="auto" w:line="240" w:before="120" w:after="240"/>
              <w:rPr>
                <w:rFonts w:ascii="Aptos" w:hAnsi="Aptos" w:cs="Aptos"/>
              </w:rPr>
            </w:pPr>
            <w:r>
              <w:rPr>
                <w:rFonts w:cs="Aptos" w:ascii="Aptos" w:hAnsi="Aptos"/>
              </w:rPr>
              <w:t>As an employee of Bury Council you have a responsibility for, and must be committed to, safeguarding and promoting the welfare of children, young people, and vulnerable adults and for ensuring that they are protected from harm.</w:t>
            </w:r>
          </w:p>
          <w:p>
            <w:pPr>
              <w:pStyle w:val="Normal"/>
              <w:spacing w:lineRule="auto" w:line="240" w:before="120" w:after="240"/>
              <w:rPr>
                <w:rFonts w:ascii="Aptos" w:hAnsi="Aptos" w:cs="Aptos"/>
              </w:rPr>
            </w:pPr>
            <w:r>
              <w:rPr>
                <w:rFonts w:cs="Aptos" w:ascii="Aptos" w:hAnsi="Aptos"/>
              </w:rPr>
              <w:t>Bury Council is committed to equality, diversity and inclusion, and expects all staff to comply with its equality related policies/procedures, and to treat others with fairness and respect.</w:t>
            </w:r>
          </w:p>
          <w:p>
            <w:pPr>
              <w:pStyle w:val="Normal"/>
              <w:spacing w:lineRule="auto" w:line="240" w:before="120" w:after="240"/>
              <w:rPr>
                <w:rFonts w:ascii="Aptos" w:hAnsi="Aptos" w:cs="Aptos"/>
              </w:rPr>
            </w:pPr>
            <w:r>
              <w:rPr>
                <w:rFonts w:cs="Aptos" w:ascii="Aptos" w:hAnsi="Aptos"/>
              </w:rPr>
              <w:t>The post holder is responsible for Employees Duties as specified with the Corporate and Departmental Health and Safety Policies.</w:t>
            </w:r>
          </w:p>
          <w:p>
            <w:pPr>
              <w:pStyle w:val="Normal"/>
              <w:spacing w:lineRule="auto" w:line="240" w:before="120" w:after="240"/>
              <w:rPr>
                <w:rFonts w:ascii="Aptos" w:hAnsi="Aptos" w:cs="Aptos"/>
              </w:rPr>
            </w:pPr>
            <w:r>
              <w:rPr>
                <w:rFonts w:cs="Aptos" w:ascii="Aptos" w:hAnsi="Aptos"/>
              </w:rPr>
              <w:t>Health and Wellbeing -As an employee of Bury Council you should contribute to a culture that values and supports the physical and emotional wellbeing of your colleagues.</w:t>
            </w:r>
          </w:p>
          <w:p>
            <w:pPr>
              <w:pStyle w:val="Normal"/>
              <w:spacing w:lineRule="auto" w:line="240" w:before="120" w:after="240"/>
              <w:rPr>
                <w:rFonts w:ascii="Aptos" w:hAnsi="Aptos" w:cs="Aptos"/>
              </w:rPr>
            </w:pPr>
            <w:r>
              <w:rPr>
                <w:rFonts w:cs="Aptos" w:ascii="Aptos" w:hAnsi="Aptos"/>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c>
          <w:tcPr>
            <w:tcW w:w="3005" w:type="dxa"/>
            <w:tcBorders>
              <w:top w:val="single" w:sz="6" w:space="0" w:color="000000"/>
              <w:left w:val="single" w:sz="6" w:space="0" w:color="000000"/>
              <w:bottom w:val="double" w:sz="6" w:space="0" w:color="000000"/>
            </w:tcBorders>
            <w:shd w:fill="auto" w:val="clear"/>
          </w:tcPr>
          <w:p>
            <w:pPr>
              <w:pStyle w:val="Normal"/>
              <w:spacing w:lineRule="auto" w:line="240" w:before="120" w:after="120"/>
              <w:rPr/>
            </w:pPr>
            <w:r>
              <w:rPr>
                <w:rFonts w:cs="Aptos" w:ascii="Aptos" w:hAnsi="Aptos"/>
                <w:b/>
              </w:rPr>
              <w:t xml:space="preserve">Job Description prepared by: </w:t>
            </w:r>
            <w:r>
              <w:rPr>
                <w:rFonts w:cs="Aptos" w:ascii="Aptos" w:hAnsi="Aptos"/>
                <w:bCs/>
              </w:rPr>
              <w:t xml:space="preserve">Lee Buggie </w:t>
            </w:r>
          </w:p>
        </w:tc>
        <w:tc>
          <w:tcPr>
            <w:tcW w:w="3005" w:type="dxa"/>
            <w:gridSpan w:val="2"/>
            <w:tcBorders>
              <w:top w:val="single" w:sz="6" w:space="0" w:color="000000"/>
              <w:left w:val="double" w:sz="6" w:space="0" w:color="000000"/>
              <w:bottom w:val="double" w:sz="6" w:space="0" w:color="000000"/>
            </w:tcBorders>
            <w:shd w:fill="auto" w:val="clear"/>
          </w:tcPr>
          <w:p>
            <w:pPr>
              <w:pStyle w:val="Normal"/>
              <w:spacing w:lineRule="auto" w:line="240" w:before="0" w:after="0"/>
              <w:rPr>
                <w:rFonts w:ascii="Aptos" w:hAnsi="Aptos" w:cs="Aptos"/>
                <w:b/>
                <w:b/>
              </w:rPr>
            </w:pPr>
            <w:r>
              <w:rPr>
                <w:rFonts w:cs="Aptos" w:ascii="Aptos" w:hAnsi="Aptos"/>
                <w:b/>
              </w:rPr>
              <w:t xml:space="preserve">Sign: </w:t>
            </w:r>
            <w:r>
              <w:rPr/>
              <w:drawing>
                <wp:inline distT="0" distB="0" distL="0" distR="0">
                  <wp:extent cx="1333500" cy="523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36" r="-14" b="-36"/>
                          <a:stretch>
                            <a:fillRect/>
                          </a:stretch>
                        </pic:blipFill>
                        <pic:spPr bwMode="auto">
                          <a:xfrm>
                            <a:off x="0" y="0"/>
                            <a:ext cx="1333500" cy="523875"/>
                          </a:xfrm>
                          <a:prstGeom prst="rect">
                            <a:avLst/>
                          </a:prstGeom>
                        </pic:spPr>
                      </pic:pic>
                    </a:graphicData>
                  </a:graphic>
                </wp:inline>
              </w:drawing>
            </w:r>
          </w:p>
        </w:tc>
        <w:tc>
          <w:tcPr>
            <w:tcW w:w="3021" w:type="dxa"/>
            <w:tcBorders>
              <w:top w:val="single" w:sz="6" w:space="0" w:color="000000"/>
              <w:left w:val="double" w:sz="6" w:space="0" w:color="000000"/>
              <w:bottom w:val="double" w:sz="6" w:space="0" w:color="000000"/>
              <w:right w:val="single" w:sz="6" w:space="0" w:color="000000"/>
            </w:tcBorders>
            <w:shd w:fill="auto" w:val="clear"/>
          </w:tcPr>
          <w:p>
            <w:pPr>
              <w:pStyle w:val="Normal"/>
              <w:spacing w:lineRule="auto" w:line="240" w:before="0" w:after="0"/>
              <w:rPr/>
            </w:pPr>
            <w:r>
              <w:rPr>
                <w:rFonts w:cs="Aptos" w:ascii="Aptos" w:hAnsi="Aptos"/>
                <w:b/>
              </w:rPr>
              <w:t xml:space="preserve">Date: </w:t>
            </w:r>
            <w:r>
              <w:rPr>
                <w:rFonts w:cs="Aptos" w:ascii="Aptos" w:hAnsi="Aptos"/>
                <w:b/>
                <w:highlight w:val="yellow"/>
              </w:rPr>
              <w:t>01-12-25</w:t>
            </w:r>
          </w:p>
        </w:tc>
      </w:tr>
      <w:tr>
        <w:trPr/>
        <w:tc>
          <w:tcPr>
            <w:tcW w:w="3005" w:type="dxa"/>
            <w:tcBorders>
              <w:top w:val="double" w:sz="6" w:space="0" w:color="000000"/>
              <w:left w:val="single" w:sz="6" w:space="0" w:color="000000"/>
              <w:bottom w:val="double" w:sz="6" w:space="0" w:color="000000"/>
            </w:tcBorders>
            <w:shd w:fill="auto" w:val="clear"/>
          </w:tcPr>
          <w:p>
            <w:pPr>
              <w:pStyle w:val="Normal"/>
              <w:spacing w:lineRule="auto" w:line="240" w:before="0" w:after="0"/>
              <w:rPr>
                <w:rFonts w:ascii="Aptos" w:hAnsi="Aptos" w:cs="Aptos"/>
                <w:b/>
                <w:b/>
              </w:rPr>
            </w:pPr>
            <w:r>
              <w:rPr>
                <w:rFonts w:cs="Aptos" w:ascii="Aptos" w:hAnsi="Aptos"/>
                <w:b/>
              </w:rPr>
              <w:t xml:space="preserve">Agreed correct by Postholder: </w:t>
            </w:r>
          </w:p>
        </w:tc>
        <w:tc>
          <w:tcPr>
            <w:tcW w:w="3005" w:type="dxa"/>
            <w:gridSpan w:val="2"/>
            <w:tcBorders>
              <w:top w:val="double" w:sz="6" w:space="0" w:color="000000"/>
              <w:left w:val="double" w:sz="6" w:space="0" w:color="000000"/>
              <w:bottom w:val="double" w:sz="6" w:space="0" w:color="000000"/>
            </w:tcBorders>
            <w:shd w:fill="auto" w:val="clear"/>
          </w:tcPr>
          <w:p>
            <w:pPr>
              <w:pStyle w:val="Normal"/>
              <w:spacing w:lineRule="auto" w:line="240" w:before="0" w:after="0"/>
              <w:rPr>
                <w:rFonts w:ascii="Aptos" w:hAnsi="Aptos" w:cs="Aptos"/>
                <w:b/>
                <w:b/>
              </w:rPr>
            </w:pPr>
            <w:r>
              <w:rPr>
                <w:rFonts w:cs="Aptos" w:ascii="Aptos" w:hAnsi="Aptos"/>
                <w:b/>
              </w:rPr>
              <w:t>Sign:</w:t>
            </w:r>
          </w:p>
        </w:tc>
        <w:tc>
          <w:tcPr>
            <w:tcW w:w="3021" w:type="dxa"/>
            <w:tcBorders>
              <w:top w:val="double" w:sz="6" w:space="0" w:color="000000"/>
              <w:left w:val="double" w:sz="6" w:space="0" w:color="000000"/>
              <w:bottom w:val="double" w:sz="6" w:space="0" w:color="000000"/>
              <w:right w:val="single" w:sz="6" w:space="0" w:color="000000"/>
            </w:tcBorders>
            <w:shd w:fill="auto" w:val="clear"/>
          </w:tcPr>
          <w:p>
            <w:pPr>
              <w:pStyle w:val="Normal"/>
              <w:spacing w:lineRule="auto" w:line="240" w:before="0" w:after="0"/>
              <w:rPr>
                <w:rFonts w:ascii="Aptos" w:hAnsi="Aptos" w:cs="Aptos"/>
                <w:b/>
                <w:b/>
              </w:rPr>
            </w:pPr>
            <w:r>
              <w:rPr>
                <w:rFonts w:cs="Aptos" w:ascii="Aptos" w:hAnsi="Aptos"/>
                <w:b/>
              </w:rPr>
              <w:t>Date:</w:t>
            </w:r>
          </w:p>
        </w:tc>
      </w:tr>
      <w:tr>
        <w:trPr/>
        <w:tc>
          <w:tcPr>
            <w:tcW w:w="3005" w:type="dxa"/>
            <w:tcBorders>
              <w:top w:val="double" w:sz="6" w:space="0" w:color="000000"/>
              <w:left w:val="single" w:sz="6" w:space="0" w:color="000000"/>
              <w:bottom w:val="single" w:sz="6" w:space="0" w:color="000000"/>
            </w:tcBorders>
            <w:shd w:fill="auto" w:val="clear"/>
          </w:tcPr>
          <w:p>
            <w:pPr>
              <w:pStyle w:val="Normal"/>
              <w:spacing w:lineRule="auto" w:line="240" w:before="0" w:after="0"/>
              <w:rPr>
                <w:rFonts w:ascii="Aptos" w:hAnsi="Aptos" w:cs="Aptos"/>
                <w:b/>
                <w:b/>
              </w:rPr>
            </w:pPr>
            <w:r>
              <w:rPr>
                <w:rFonts w:cs="Aptos" w:ascii="Aptos" w:hAnsi="Aptos"/>
                <w:b/>
              </w:rPr>
              <w:t>Agreed correct by Supervisor/Manager:</w:t>
            </w:r>
          </w:p>
        </w:tc>
        <w:tc>
          <w:tcPr>
            <w:tcW w:w="3005" w:type="dxa"/>
            <w:gridSpan w:val="2"/>
            <w:tcBorders>
              <w:top w:val="double" w:sz="6" w:space="0" w:color="000000"/>
              <w:left w:val="double" w:sz="6" w:space="0" w:color="000000"/>
              <w:bottom w:val="single" w:sz="6" w:space="0" w:color="000000"/>
            </w:tcBorders>
            <w:shd w:fill="auto" w:val="clear"/>
          </w:tcPr>
          <w:p>
            <w:pPr>
              <w:pStyle w:val="Normal"/>
              <w:spacing w:lineRule="auto" w:line="240" w:before="0" w:after="0"/>
              <w:rPr>
                <w:rFonts w:ascii="Aptos" w:hAnsi="Aptos" w:cs="Aptos"/>
                <w:b/>
                <w:b/>
              </w:rPr>
            </w:pPr>
            <w:r>
              <w:rPr>
                <w:rFonts w:cs="Aptos" w:ascii="Aptos" w:hAnsi="Aptos"/>
                <w:b/>
              </w:rPr>
              <w:t>Sign:</w:t>
            </w:r>
          </w:p>
        </w:tc>
        <w:tc>
          <w:tcPr>
            <w:tcW w:w="3021" w:type="dxa"/>
            <w:tcBorders>
              <w:top w:val="double" w:sz="6" w:space="0" w:color="000000"/>
              <w:left w:val="double" w:sz="6" w:space="0" w:color="000000"/>
              <w:bottom w:val="single" w:sz="6" w:space="0" w:color="000000"/>
              <w:right w:val="single" w:sz="6" w:space="0" w:color="000000"/>
            </w:tcBorders>
            <w:shd w:fill="auto" w:val="clear"/>
          </w:tcPr>
          <w:p>
            <w:pPr>
              <w:pStyle w:val="Normal"/>
              <w:spacing w:lineRule="auto" w:line="240" w:before="0" w:after="0"/>
              <w:rPr>
                <w:rFonts w:ascii="Aptos" w:hAnsi="Aptos" w:cs="Aptos"/>
                <w:b/>
                <w:b/>
              </w:rPr>
            </w:pPr>
            <w:r>
              <w:rPr>
                <w:rFonts w:cs="Aptos" w:ascii="Aptos" w:hAnsi="Aptos"/>
                <w:b/>
              </w:rPr>
              <w:t>Date:</w:t>
            </w:r>
          </w:p>
        </w:tc>
      </w:tr>
    </w:tbl>
    <w:p>
      <w:pPr>
        <w:pStyle w:val="Normal"/>
        <w:jc w:val="center"/>
        <w:rPr>
          <w:rFonts w:ascii="Aptos" w:hAnsi="Aptos" w:cs="Aptos"/>
          <w:b/>
          <w:b/>
        </w:rPr>
      </w:pPr>
      <w:r>
        <w:rPr>
          <w:rFonts w:cs="Aptos" w:ascii="Aptos" w:hAnsi="Aptos"/>
          <w:b/>
        </w:rPr>
      </w:r>
    </w:p>
    <w:p>
      <w:pPr>
        <w:pStyle w:val="Normal"/>
        <w:jc w:val="center"/>
        <w:rPr>
          <w:rFonts w:ascii="Aptos" w:hAnsi="Aptos" w:cs="Aptos"/>
          <w:b/>
          <w:b/>
        </w:rPr>
      </w:pPr>
      <w:r>
        <w:rPr>
          <w:rFonts w:cs="Aptos" w:ascii="Aptos" w:hAnsi="Aptos"/>
          <w:b/>
        </w:rPr>
      </w:r>
    </w:p>
    <w:p>
      <w:pPr>
        <w:pStyle w:val="Normal"/>
        <w:jc w:val="center"/>
        <w:rPr>
          <w:rFonts w:ascii="Aptos" w:hAnsi="Aptos" w:cs="Aptos"/>
          <w:b/>
          <w:b/>
        </w:rPr>
      </w:pPr>
      <w:r>
        <w:rPr>
          <w:rFonts w:cs="Aptos" w:ascii="Aptos" w:hAnsi="Aptos"/>
          <w:b/>
        </w:rPr>
      </w:r>
    </w:p>
    <w:p>
      <w:pPr>
        <w:pStyle w:val="Normal"/>
        <w:jc w:val="center"/>
        <w:rPr>
          <w:rFonts w:ascii="Aptos" w:hAnsi="Aptos" w:cs="Aptos"/>
          <w:b/>
          <w:b/>
        </w:rPr>
      </w:pPr>
      <w:r>
        <w:rPr>
          <w:rFonts w:cs="Aptos" w:ascii="Aptos" w:hAnsi="Aptos"/>
          <w:b/>
        </w:rPr>
        <w:t>DEPARTMENT FOR .....</w:t>
      </w:r>
    </w:p>
    <w:p>
      <w:pPr>
        <w:pStyle w:val="Normal"/>
        <w:jc w:val="center"/>
        <w:rPr>
          <w:rFonts w:ascii="Aptos" w:hAnsi="Aptos" w:cs="Aptos"/>
          <w:b/>
          <w:b/>
        </w:rPr>
      </w:pPr>
      <w:r>
        <w:rPr>
          <w:rFonts w:cs="Aptos" w:ascii="Aptos" w:hAnsi="Aptos"/>
          <w:b/>
        </w:rPr>
        <w:t>JOB TITLE</w:t>
      </w:r>
    </w:p>
    <w:tbl>
      <w:tblPr>
        <w:tblW w:w="9025" w:type="dxa"/>
        <w:jc w:val="left"/>
        <w:tblInd w:w="0" w:type="dxa"/>
        <w:tblCellMar>
          <w:top w:w="0" w:type="dxa"/>
          <w:left w:w="108" w:type="dxa"/>
          <w:bottom w:w="0" w:type="dxa"/>
          <w:right w:w="108" w:type="dxa"/>
        </w:tblCellMar>
      </w:tblPr>
      <w:tblGrid>
        <w:gridCol w:w="4089"/>
        <w:gridCol w:w="502"/>
        <w:gridCol w:w="3921"/>
        <w:gridCol w:w="503"/>
        <w:gridCol w:w="10"/>
      </w:tblGrid>
      <w:tr>
        <w:trPr>
          <w:trHeight w:val="454" w:hRule="atLeast"/>
        </w:trPr>
        <w:tc>
          <w:tcPr>
            <w:tcW w:w="902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w:hAnsi="Aptos" w:cs="Aptos"/>
                <w:b/>
                <w:b/>
              </w:rPr>
            </w:pPr>
            <w:r>
              <w:rPr>
                <w:rFonts w:cs="Aptos" w:ascii="Aptos" w:hAnsi="Aptos"/>
                <w:b/>
              </w:rPr>
              <w:t>CORE BEHAVIOURS FOR THE POST (Please tick those relevant)</w:t>
            </w:r>
          </w:p>
        </w:tc>
      </w:tr>
      <w:tr>
        <w:trPr>
          <w:trHeight w:val="567" w:hRule="atLeast"/>
        </w:trPr>
        <w:tc>
          <w:tcPr>
            <w:tcW w:w="40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Commercial Thinking &amp; Analysis</w:t>
            </w:r>
          </w:p>
        </w:tc>
        <w:tc>
          <w:tcPr>
            <w:tcW w:w="50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c>
          <w:tcPr>
            <w:tcW w:w="392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Planning</w:t>
            </w:r>
          </w:p>
        </w:tc>
        <w:tc>
          <w:tcPr>
            <w:tcW w:w="5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r>
      <w:tr>
        <w:trPr>
          <w:trHeight w:val="567" w:hRule="atLeast"/>
        </w:trPr>
        <w:tc>
          <w:tcPr>
            <w:tcW w:w="40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Customer Service</w:t>
            </w:r>
          </w:p>
        </w:tc>
        <w:tc>
          <w:tcPr>
            <w:tcW w:w="50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c>
          <w:tcPr>
            <w:tcW w:w="392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Developing Self &amp; Others</w:t>
            </w:r>
          </w:p>
        </w:tc>
        <w:tc>
          <w:tcPr>
            <w:tcW w:w="5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r>
      <w:tr>
        <w:trPr>
          <w:trHeight w:val="567" w:hRule="atLeast"/>
        </w:trPr>
        <w:tc>
          <w:tcPr>
            <w:tcW w:w="40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Delivering Results</w:t>
            </w:r>
          </w:p>
        </w:tc>
        <w:tc>
          <w:tcPr>
            <w:tcW w:w="50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c>
          <w:tcPr>
            <w:tcW w:w="392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Teams, Networking &amp; Partnerships</w:t>
            </w:r>
          </w:p>
        </w:tc>
        <w:tc>
          <w:tcPr>
            <w:tcW w:w="5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r>
      <w:tr>
        <w:trPr>
          <w:trHeight w:val="567" w:hRule="atLeast"/>
        </w:trPr>
        <w:tc>
          <w:tcPr>
            <w:tcW w:w="40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Values, Ethics &amp; Diversity</w:t>
            </w:r>
          </w:p>
        </w:tc>
        <w:tc>
          <w:tcPr>
            <w:tcW w:w="50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c>
          <w:tcPr>
            <w:tcW w:w="392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Adapting to Change</w:t>
            </w:r>
          </w:p>
        </w:tc>
        <w:tc>
          <w:tcPr>
            <w:tcW w:w="5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r>
      <w:tr>
        <w:trPr>
          <w:trHeight w:val="567" w:hRule="atLeast"/>
        </w:trPr>
        <w:tc>
          <w:tcPr>
            <w:tcW w:w="40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rFonts w:ascii="Aptos" w:hAnsi="Aptos" w:cs="Aptos"/>
              </w:rPr>
            </w:pPr>
            <w:r>
              <w:rPr>
                <w:rFonts w:cs="Aptos" w:ascii="Aptos" w:hAnsi="Aptos"/>
              </w:rPr>
              <w:t>Delivering a Quality Service(Continuous Improvement)</w:t>
            </w:r>
          </w:p>
        </w:tc>
        <w:tc>
          <w:tcPr>
            <w:tcW w:w="50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ptos" w:hAnsi="Aptos" w:cs="Aptos"/>
              </w:rPr>
            </w:pPr>
            <w:r>
              <w:rPr>
                <w:rFonts w:cs="Aptos" w:ascii="Aptos" w:hAnsi="Aptos"/>
              </w:rPr>
              <w:t>x</w:t>
            </w:r>
          </w:p>
        </w:tc>
        <w:tc>
          <w:tcPr>
            <w:tcW w:w="3921" w:type="dxa"/>
            <w:tcBorders>
              <w:top w:val="single" w:sz="4" w:space="0" w:color="000000"/>
              <w:left w:val="single" w:sz="4" w:space="0" w:color="000000"/>
            </w:tcBorders>
            <w:shd w:fill="auto" w:val="clear"/>
            <w:vAlign w:val="center"/>
          </w:tcPr>
          <w:p>
            <w:pPr>
              <w:pStyle w:val="Normal"/>
              <w:snapToGrid w:val="false"/>
              <w:spacing w:lineRule="auto" w:line="240" w:before="0" w:after="0"/>
              <w:rPr>
                <w:rFonts w:ascii="Aptos" w:hAnsi="Aptos" w:cs="Aptos"/>
              </w:rPr>
            </w:pPr>
            <w:r>
              <w:rPr>
                <w:rFonts w:cs="Aptos" w:ascii="Aptos" w:hAnsi="Aptos"/>
              </w:rPr>
            </w:r>
          </w:p>
        </w:tc>
        <w:tc>
          <w:tcPr>
            <w:tcW w:w="503" w:type="dxa"/>
            <w:tcBorders>
              <w:top w:val="single" w:sz="4" w:space="0" w:color="000000"/>
            </w:tcBorders>
            <w:shd w:fill="auto" w:val="clear"/>
            <w:vAlign w:val="center"/>
          </w:tcPr>
          <w:p>
            <w:pPr>
              <w:pStyle w:val="Normal"/>
              <w:snapToGrid w:val="false"/>
              <w:spacing w:lineRule="auto" w:line="240" w:before="0" w:after="0"/>
              <w:rPr>
                <w:rFonts w:ascii="Aptos" w:hAnsi="Aptos" w:cs="Aptos"/>
              </w:rPr>
            </w:pPr>
            <w:r>
              <w:rPr>
                <w:rFonts w:cs="Aptos" w:ascii="Aptos" w:hAnsi="Aptos"/>
              </w:rPr>
            </w:r>
          </w:p>
        </w:tc>
      </w:tr>
    </w:tbl>
    <w:p>
      <w:pPr>
        <w:pStyle w:val="Normal"/>
        <w:rPr>
          <w:rFonts w:ascii="Aptos" w:hAnsi="Aptos" w:cs="Aptos"/>
          <w:sz w:val="24"/>
          <w:szCs w:val="24"/>
        </w:rPr>
      </w:pPr>
      <w:r>
        <w:rPr>
          <w:rFonts w:cs="Aptos" w:ascii="Aptos" w:hAnsi="Aptos"/>
          <w:sz w:val="24"/>
          <w:szCs w:val="24"/>
        </w:rPr>
      </w:r>
    </w:p>
    <w:tbl>
      <w:tblPr>
        <w:tblW w:w="5000" w:type="pct"/>
        <w:jc w:val="left"/>
        <w:tblInd w:w="0" w:type="dxa"/>
        <w:tblCellMar>
          <w:top w:w="0" w:type="dxa"/>
          <w:left w:w="108" w:type="dxa"/>
          <w:bottom w:w="0" w:type="dxa"/>
          <w:right w:w="108" w:type="dxa"/>
        </w:tblCellMar>
      </w:tblPr>
      <w:tblGrid>
        <w:gridCol w:w="5873"/>
        <w:gridCol w:w="1636"/>
        <w:gridCol w:w="1517"/>
      </w:tblGrid>
      <w:tr>
        <w:trPr/>
        <w:tc>
          <w:tcPr>
            <w:tcW w:w="5873" w:type="dxa"/>
            <w:tcBorders>
              <w:top w:val="single" w:sz="4" w:space="0" w:color="000000"/>
              <w:left w:val="single" w:sz="4" w:space="0" w:color="000000"/>
            </w:tcBorders>
            <w:shd w:fill="auto" w:val="clear"/>
          </w:tcPr>
          <w:p>
            <w:pPr>
              <w:pStyle w:val="Normal"/>
              <w:spacing w:before="120" w:after="120"/>
              <w:rPr>
                <w:rFonts w:ascii="Aptos" w:hAnsi="Aptos" w:cs="Aptos"/>
                <w:b/>
                <w:b/>
              </w:rPr>
            </w:pPr>
            <w:r>
              <w:rPr>
                <w:rFonts w:cs="Aptos" w:ascii="Aptos" w:hAnsi="Aptos"/>
                <w:b/>
              </w:rPr>
              <w:t>SHORT LISTING CRITERIA</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ESSENTIAL</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Aptos" w:hAnsi="Aptos" w:cs="Aptos"/>
                <w:b/>
                <w:b/>
              </w:rPr>
            </w:pPr>
            <w:r>
              <w:rPr>
                <w:rFonts w:cs="Aptos" w:ascii="Aptos" w:hAnsi="Aptos"/>
                <w:b/>
              </w:rPr>
              <w:t>DESIRABLE</w:t>
            </w:r>
          </w:p>
        </w:tc>
      </w:tr>
      <w:tr>
        <w:trPr>
          <w:trHeight w:val="1018"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Good first degree, equivalent professional qualification OR equivalent demonstrable knowledge and experience &amp; willingness to gain qualifications/registration within a two-year period’ as an alternative to specified qualifications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1036"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Substantial professional experience in public health or a closely related field, with responsibility for leading complex programmes or workstreams.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Advanced applied knowledge of public health practice, including health inequalities and evidence-based intervention design.</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Experience of operating with a high degree of professional autonomy, exercising independent judgement in complex or sensitive situations.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1218"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Demonstrable experience of influencing decision-making and working effectively at a senior level across organisations and sectors.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96"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Experience of applying project management principles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Experience of commissioning, performance management, quality assurance or service oversight.</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Ability to analyse and interpret data, evidence and performance information to inform strategic decisions.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Excellent written and verbal communication skills, including the ability to present complex information to senior audiences.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 xml:space="preserve">Good understanding of methods of developing evidence-based practice </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Experience of working with the media in both reactive and proactive situations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Experience of managing or influencing budgets and investment decisions.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 xml:space="preserve">Able to work well against a background of change and uncertainty and adaptable situations, can work with people of all capabilities and attitudes </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Demonstration of the ability to develop health strategy and policy, including longer term planning</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Computer literacy skills e.g. working knowledge of Microsoft office</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Postgraduate degree in public health related subject OR 3 years’ experience in a post related to public health</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before="120" w:after="120"/>
              <w:rPr>
                <w:rFonts w:ascii="Aptos" w:hAnsi="Aptos" w:cs="Aptos"/>
              </w:rPr>
            </w:pPr>
            <w:r>
              <w:rPr>
                <w:rFonts w:cs="Aptos" w:ascii="Aptos" w:hAnsi="Aptos"/>
              </w:rPr>
              <w:t>Demonstrate evidence of continuing professional development and working towards registration of a public health practitioner on the Public Health Register (PHR)</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Aptos" w:hAnsi="Aptos" w:cs="Aptos"/>
                <w:b/>
                <w:b/>
              </w:rPr>
            </w:pPr>
            <w:r>
              <w:rPr>
                <w:rFonts w:cs="Aptos" w:ascii="Aptos" w:hAnsi="Aptos"/>
                <w:b/>
              </w:rPr>
              <w:t>x</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Aptos" w:hAnsi="Aptos" w:cs="Aptos"/>
                <w:b/>
                <w:b/>
              </w:rPr>
            </w:pPr>
            <w:r>
              <w:rPr>
                <w:rFonts w:cs="Aptos" w:ascii="Aptos" w:hAnsi="Aptos"/>
                <w:b/>
              </w:rPr>
            </w:r>
          </w:p>
        </w:tc>
      </w:tr>
    </w:tbl>
    <w:p>
      <w:pPr>
        <w:pStyle w:val="Normal"/>
        <w:rPr>
          <w:rFonts w:ascii="Aptos" w:hAnsi="Aptos" w:cs="Aptos"/>
          <w:b/>
          <w:b/>
          <w:sz w:val="24"/>
          <w:szCs w:val="24"/>
        </w:rPr>
      </w:pPr>
      <w:r>
        <w:rPr>
          <w:rFonts w:cs="Aptos" w:ascii="Aptos" w:hAnsi="Aptos"/>
          <w:b/>
          <w:sz w:val="24"/>
          <w:szCs w:val="24"/>
        </w:rPr>
      </w:r>
    </w:p>
    <w:p>
      <w:pPr>
        <w:pStyle w:val="Normal"/>
        <w:jc w:val="center"/>
        <w:rPr>
          <w:rFonts w:ascii="Aptos" w:hAnsi="Aptos" w:cs="Aptos"/>
          <w:b/>
          <w:b/>
          <w:sz w:val="24"/>
          <w:szCs w:val="24"/>
        </w:rPr>
      </w:pPr>
      <w:r>
        <w:rPr>
          <w:rFonts w:cs="Aptos" w:ascii="Aptos" w:hAnsi="Aptos"/>
          <w:b/>
          <w:sz w:val="24"/>
          <w:szCs w:val="24"/>
        </w:rPr>
        <w:t>CRITERIA FOR INTERVIEW AND OTHER ASSESSMENT METHODS</w:t>
      </w:r>
    </w:p>
    <w:p>
      <w:pPr>
        <w:pStyle w:val="Normal"/>
        <w:jc w:val="center"/>
        <w:rPr>
          <w:rFonts w:ascii="Aptos" w:hAnsi="Aptos" w:cs="Aptos"/>
          <w:b/>
          <w:b/>
          <w:sz w:val="24"/>
          <w:szCs w:val="24"/>
        </w:rPr>
      </w:pPr>
      <w:r>
        <w:rPr>
          <w:rFonts w:cs="Aptos" w:ascii="Aptos" w:hAnsi="Aptos"/>
          <w:b/>
          <w:sz w:val="24"/>
          <w:szCs w:val="24"/>
        </w:rPr>
        <w:t>The short-listing criteria listed plus the following:</w:t>
      </w:r>
    </w:p>
    <w:tbl>
      <w:tblPr>
        <w:tblW w:w="5000" w:type="pct"/>
        <w:jc w:val="left"/>
        <w:tblInd w:w="0" w:type="dxa"/>
        <w:tblCellMar>
          <w:top w:w="0" w:type="dxa"/>
          <w:left w:w="108" w:type="dxa"/>
          <w:bottom w:w="0" w:type="dxa"/>
          <w:right w:w="108" w:type="dxa"/>
        </w:tblCellMar>
      </w:tblPr>
      <w:tblGrid>
        <w:gridCol w:w="1969"/>
        <w:gridCol w:w="7057"/>
      </w:tblGrid>
      <w:tr>
        <w:trPr>
          <w:trHeight w:val="345"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ptos" w:hAnsi="Aptos" w:cs="Aptos"/>
                <w:b/>
                <w:b/>
                <w:sz w:val="24"/>
                <w:szCs w:val="24"/>
              </w:rPr>
            </w:pPr>
            <w:r>
              <w:rPr>
                <w:rFonts w:cs="Aptos" w:ascii="Aptos" w:hAnsi="Aptos"/>
                <w:b/>
                <w:sz w:val="24"/>
                <w:szCs w:val="24"/>
              </w:rPr>
              <w:t>ASSESSMENT</w:t>
            </w:r>
          </w:p>
          <w:p>
            <w:pPr>
              <w:pStyle w:val="Normal"/>
              <w:spacing w:lineRule="auto" w:line="240" w:before="0" w:after="0"/>
              <w:jc w:val="center"/>
              <w:rPr>
                <w:rFonts w:ascii="Aptos" w:hAnsi="Aptos" w:cs="Aptos"/>
                <w:b/>
                <w:b/>
                <w:sz w:val="24"/>
                <w:szCs w:val="24"/>
              </w:rPr>
            </w:pPr>
            <w:r>
              <w:rPr>
                <w:rFonts w:cs="Aptos" w:ascii="Aptos" w:hAnsi="Aptos"/>
                <w:b/>
                <w:sz w:val="24"/>
                <w:szCs w:val="24"/>
              </w:rPr>
              <w:t>METHOD</w:t>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ptos" w:hAnsi="Aptos" w:cs="Aptos"/>
                <w:b/>
                <w:b/>
                <w:sz w:val="24"/>
                <w:szCs w:val="24"/>
              </w:rPr>
            </w:pPr>
            <w:r>
              <w:rPr>
                <w:rFonts w:cs="Aptos" w:ascii="Aptos" w:hAnsi="Aptos"/>
                <w:b/>
                <w:sz w:val="24"/>
                <w:szCs w:val="24"/>
              </w:rPr>
              <w:t>CRITERIA</w:t>
            </w:r>
          </w:p>
        </w:tc>
      </w:tr>
      <w:tr>
        <w:trPr>
          <w:trHeight w:val="567" w:hRule="atLeast"/>
        </w:trPr>
        <w:tc>
          <w:tcPr>
            <w:tcW w:w="19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ptos Display" w:hAnsi="Aptos Display" w:cs="Aptos Display"/>
                <w:b/>
                <w:b/>
                <w:bCs/>
                <w:sz w:val="24"/>
                <w:szCs w:val="24"/>
              </w:rPr>
            </w:pPr>
            <w:r>
              <w:rPr>
                <w:rFonts w:cs="Aptos Display" w:ascii="Aptos Display" w:hAnsi="Aptos Display"/>
                <w:b/>
                <w:bCs/>
                <w:sz w:val="24"/>
                <w:szCs w:val="24"/>
              </w:rPr>
              <w:t>Test/ Interview</w:t>
            </w:r>
          </w:p>
        </w:tc>
        <w:tc>
          <w:tcPr>
            <w:tcW w:w="70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ptos Display" w:hAnsi="Aptos Display" w:cs="Aptos Display"/>
                <w:sz w:val="24"/>
                <w:szCs w:val="24"/>
              </w:rPr>
            </w:pPr>
            <w:r>
              <w:rPr>
                <w:rFonts w:cs="Aptos Display" w:ascii="Aptos Display" w:hAnsi="Aptos Display"/>
                <w:sz w:val="24"/>
                <w:szCs w:val="24"/>
              </w:rPr>
              <w:t>Interview with presentation and short test.</w:t>
            </w:r>
          </w:p>
        </w:tc>
      </w:tr>
    </w:tbl>
    <w:p>
      <w:pPr>
        <w:pStyle w:val="Normal"/>
        <w:rPr>
          <w:rFonts w:ascii="Aptos" w:hAnsi="Aptos" w:cs="Aptos"/>
          <w:sz w:val="24"/>
          <w:szCs w:val="24"/>
        </w:rPr>
      </w:pPr>
      <w:r>
        <w:rPr>
          <w:rFonts w:cs="Aptos" w:ascii="Aptos" w:hAnsi="Aptos"/>
          <w:sz w:val="24"/>
          <w:szCs w:val="24"/>
        </w:rPr>
      </w:r>
    </w:p>
    <w:p>
      <w:pPr>
        <w:pStyle w:val="Normal"/>
        <w:widowControl/>
        <w:bidi w:val="0"/>
        <w:spacing w:lineRule="auto" w:line="276" w:before="0" w:after="200"/>
        <w:jc w:val="left"/>
        <w:rPr>
          <w:rFonts w:ascii="Aptos" w:hAnsi="Aptos" w:cs="Aptos"/>
          <w:sz w:val="24"/>
          <w:szCs w:val="24"/>
        </w:rPr>
      </w:pPr>
      <w:r>
        <w:rPr>
          <w:rFonts w:cs="Aptos" w:ascii="Aptos" w:hAnsi="Aptos"/>
          <w:sz w:val="24"/>
          <w:szCs w:val="24"/>
        </w:rPr>
      </w:r>
    </w:p>
    <w:sectPr>
      <w:headerReference w:type="default" r:id="rId3"/>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ptos Display">
    <w:charset w:val="00"/>
    <w:family w:val="roman"/>
    <w:pitch w:val="variable"/>
  </w:font>
  <w:font w:name="Liberation Sans">
    <w:altName w:val="Arial"/>
    <w:charset w:val="00"/>
    <w:family w:val="swiss"/>
    <w:pitch w:val="variable"/>
  </w:font>
  <w:font w:name="Apto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8">
          <wp:simplePos x="0" y="0"/>
          <wp:positionH relativeFrom="column">
            <wp:posOffset>4551045</wp:posOffset>
          </wp:positionH>
          <wp:positionV relativeFrom="paragraph">
            <wp:posOffset>-183515</wp:posOffset>
          </wp:positionV>
          <wp:extent cx="1477010" cy="605155"/>
          <wp:effectExtent l="0" t="0" r="0" b="0"/>
          <wp:wrapTight wrapText="bothSides">
            <wp:wrapPolygon edited="0">
              <wp:start x="-71" y="0"/>
              <wp:lineTo x="-71" y="20982"/>
              <wp:lineTo x="21431" y="20982"/>
              <wp:lineTo x="21431" y="0"/>
              <wp:lineTo x="-71"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4" t="-59" r="-24" b="-59"/>
                  <a:stretch>
                    <a:fillRect/>
                  </a:stretch>
                </pic:blipFill>
                <pic:spPr bwMode="auto">
                  <a:xfrm>
                    <a:off x="0" y="0"/>
                    <a:ext cx="1477010" cy="6051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rinda"/>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Verdana" w:hAnsi="Verdana" w:eastAsia="Calibri" w:cs="Vrinda"/>
      <w:kern w:val="0"/>
      <w:sz w:val="20"/>
      <w:szCs w:val="20"/>
    </w:rPr>
  </w:style>
  <w:style w:type="character" w:styleId="CommentSubjectChar">
    <w:name w:val="Comment Subject Char"/>
    <w:basedOn w:val="CommentTextChar"/>
    <w:qFormat/>
    <w:rPr>
      <w:rFonts w:ascii="Verdana" w:hAnsi="Verdana" w:eastAsia="Calibri" w:cs="Vrinda"/>
      <w:b/>
      <w:bCs/>
      <w:kern w:val="0"/>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2026-03-26T09:28:00Z</dcterms:created>
  <dc:creator>Howard, Lizzie</dc:creator>
  <dc:description/>
  <dc:language>en-US</dc:language>
  <cp:lastModifiedBy>Howard, Lizzie</cp:lastModifiedBy>
  <cp:lastPrinted>1995-11-21T17:41:00Z</cp:lastPrinted>
  <dcterms:modified xsi:type="dcterms:W3CDTF">2026-03-26T09:28:00Z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