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ind w:left="7920" w:right="0" w:firstLine="720"/>
        <w:jc w:val="left"/>
        <w:rPr>
          <w:rFonts w:ascii="Arial" w:hAnsi="Arial" w:cs="Arial"/>
          <w:szCs w:val="24"/>
        </w:rPr>
      </w:pPr>
      <w:r>
        <w:rPr/>
        <w:drawing>
          <wp:inline distT="0" distB="0" distL="0" distR="0">
            <wp:extent cx="666750" cy="66103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8" t="-29" r="-28" b="-29"/>
                    <a:stretch>
                      <a:fillRect/>
                    </a:stretch>
                  </pic:blipFill>
                  <pic:spPr bwMode="auto">
                    <a:xfrm>
                      <a:off x="0" y="0"/>
                      <a:ext cx="666750" cy="661035"/>
                    </a:xfrm>
                    <a:prstGeom prst="rect">
                      <a:avLst/>
                    </a:prstGeom>
                  </pic:spPr>
                </pic:pic>
              </a:graphicData>
            </a:graphic>
          </wp:inline>
        </w:drawing>
      </w:r>
    </w:p>
    <w:p>
      <w:pPr>
        <w:pStyle w:val="Heading1"/>
        <w:spacing w:before="120" w:after="0"/>
        <w:rPr>
          <w:rFonts w:ascii="Arial" w:hAnsi="Arial" w:cs="Arial"/>
          <w:szCs w:val="24"/>
        </w:rPr>
      </w:pPr>
      <w:r>
        <w:rPr>
          <w:rFonts w:cs="Arial" w:ascii="Arial" w:hAnsi="Arial"/>
          <w:szCs w:val="24"/>
        </w:rPr>
        <w:t>JOB DESCRIPTION</w:t>
      </w:r>
    </w:p>
    <w:p>
      <w:pPr>
        <w:pStyle w:val="Header"/>
        <w:tabs>
          <w:tab w:val="clear" w:pos="4320"/>
          <w:tab w:val="clear" w:pos="8640"/>
        </w:tabs>
        <w:rPr>
          <w:rFonts w:ascii="Arial" w:hAnsi="Arial" w:cs="Arial"/>
        </w:rPr>
      </w:pPr>
      <w:r>
        <w:rPr>
          <w:rFonts w:cs="Arial" w:ascii="Arial" w:hAnsi="Arial"/>
        </w:rPr>
      </w:r>
    </w:p>
    <w:tbl>
      <w:tblPr>
        <w:tblW w:w="10809" w:type="dxa"/>
        <w:jc w:val="left"/>
        <w:tblInd w:w="-1164" w:type="dxa"/>
        <w:tblCellMar>
          <w:top w:w="0" w:type="dxa"/>
          <w:left w:w="108" w:type="dxa"/>
          <w:bottom w:w="0" w:type="dxa"/>
          <w:right w:w="108" w:type="dxa"/>
        </w:tblCellMar>
      </w:tblPr>
      <w:tblGrid>
        <w:gridCol w:w="5976"/>
        <w:gridCol w:w="4739"/>
        <w:gridCol w:w="79"/>
        <w:gridCol w:w="15"/>
      </w:tblGrid>
      <w:tr>
        <w:trPr>
          <w:cantSplit w:val="true"/>
        </w:trPr>
        <w:tc>
          <w:tcPr>
            <w:tcW w:w="10809" w:type="dxa"/>
            <w:gridSpan w:val="3"/>
            <w:tcBorders>
              <w:top w:val="double" w:sz="6" w:space="0" w:color="000000"/>
              <w:left w:val="double" w:sz="6" w:space="0" w:color="000000"/>
              <w:bottom w:val="single" w:sz="6" w:space="0" w:color="000000"/>
              <w:right w:val="double" w:sz="6" w:space="0" w:color="000000"/>
            </w:tcBorders>
            <w:shd w:fill="auto" w:val="clear"/>
          </w:tcPr>
          <w:p>
            <w:pPr>
              <w:pStyle w:val="Normal"/>
              <w:tabs>
                <w:tab w:val="clear" w:pos="720"/>
                <w:tab w:val="left" w:pos="1800" w:leader="none"/>
              </w:tabs>
              <w:spacing w:before="120" w:after="120"/>
              <w:jc w:val="both"/>
              <w:rPr/>
            </w:pPr>
            <w:r>
              <w:rPr>
                <w:rFonts w:cs="Arial" w:ascii="Arial" w:hAnsi="Arial"/>
                <w:u w:val="none"/>
              </w:rPr>
              <w:t>Post Title:</w:t>
            </w:r>
            <w:r>
              <w:rPr/>
              <w:tab/>
            </w:r>
            <w:r>
              <w:rPr>
                <w:rFonts w:cs="Arial" w:ascii="Arial" w:hAnsi="Arial"/>
                <w:u w:val="none"/>
              </w:rPr>
              <w:t>HIGHER LEVEL TEACHING ASSISTANT (SEMH)</w:t>
            </w:r>
          </w:p>
        </w:tc>
      </w:tr>
      <w:tr>
        <w:trPr>
          <w:trHeight w:val="720" w:hRule="atLeast"/>
          <w:cantSplit w:val="true"/>
        </w:trPr>
        <w:tc>
          <w:tcPr>
            <w:tcW w:w="5976" w:type="dxa"/>
            <w:tcBorders>
              <w:top w:val="double" w:sz="6" w:space="0" w:color="000000"/>
              <w:left w:val="double" w:sz="6" w:space="0" w:color="000000"/>
            </w:tcBorders>
            <w:shd w:fill="auto" w:val="clear"/>
          </w:tcPr>
          <w:p>
            <w:pPr>
              <w:pStyle w:val="Normal"/>
              <w:tabs>
                <w:tab w:val="clear" w:pos="720"/>
                <w:tab w:val="left" w:pos="1800" w:leader="none"/>
              </w:tabs>
              <w:spacing w:before="120" w:after="0"/>
              <w:jc w:val="both"/>
              <w:rPr/>
            </w:pPr>
            <w:r>
              <w:rPr>
                <w:rFonts w:cs="Arial" w:ascii="Arial" w:hAnsi="Arial"/>
                <w:u w:val="none"/>
              </w:rPr>
              <w:t>Department:</w:t>
            </w:r>
            <w:r>
              <w:rPr>
                <w:rFonts w:cs="Arial" w:ascii="Arial" w:hAnsi="Arial"/>
                <w:b w:val="false"/>
                <w:u w:val="none"/>
              </w:rPr>
              <w:tab/>
            </w:r>
            <w:r>
              <w:rPr>
                <w:rFonts w:cs="Arial" w:ascii="Arial" w:hAnsi="Arial"/>
                <w:u w:val="none"/>
              </w:rPr>
              <w:t>CHILDREN’S SERVICES</w:t>
            </w:r>
          </w:p>
        </w:tc>
        <w:tc>
          <w:tcPr>
            <w:tcW w:w="4833" w:type="dxa"/>
            <w:gridSpan w:val="2"/>
            <w:tcBorders>
              <w:top w:val="double" w:sz="6" w:space="0" w:color="000000"/>
              <w:left w:val="single" w:sz="6" w:space="0" w:color="000000"/>
              <w:bottom w:val="double" w:sz="6" w:space="0" w:color="000000"/>
              <w:right w:val="double" w:sz="6" w:space="0" w:color="000000"/>
            </w:tcBorders>
            <w:shd w:fill="auto" w:val="clear"/>
          </w:tcPr>
          <w:p>
            <w:pPr>
              <w:pStyle w:val="Normal"/>
              <w:tabs>
                <w:tab w:val="clear" w:pos="720"/>
                <w:tab w:val="left" w:pos="2381" w:leader="none"/>
              </w:tabs>
              <w:spacing w:before="120" w:after="0"/>
              <w:jc w:val="both"/>
              <w:rPr/>
            </w:pPr>
            <w:r>
              <w:rPr>
                <w:rFonts w:cs="Arial" w:ascii="Arial" w:hAnsi="Arial"/>
                <w:u w:val="none"/>
              </w:rPr>
              <w:t>Establishment/Post No:</w:t>
            </w:r>
            <w:r>
              <w:rPr>
                <w:rFonts w:cs="Arial" w:ascii="Arial" w:hAnsi="Arial"/>
                <w:b w:val="false"/>
                <w:u w:val="none"/>
              </w:rPr>
              <w:tab/>
            </w:r>
          </w:p>
        </w:tc>
      </w:tr>
      <w:tr>
        <w:trPr>
          <w:trHeight w:val="720" w:hRule="atLeast"/>
          <w:cantSplit w:val="true"/>
        </w:trPr>
        <w:tc>
          <w:tcPr>
            <w:tcW w:w="5976" w:type="dxa"/>
            <w:tcBorders>
              <w:top w:val="double" w:sz="6" w:space="0" w:color="000000"/>
              <w:left w:val="double" w:sz="6" w:space="0" w:color="000000"/>
            </w:tcBorders>
            <w:shd w:fill="auto" w:val="clear"/>
          </w:tcPr>
          <w:p>
            <w:pPr>
              <w:pStyle w:val="Normal"/>
              <w:tabs>
                <w:tab w:val="clear" w:pos="720"/>
                <w:tab w:val="left" w:pos="1800" w:leader="none"/>
              </w:tabs>
              <w:spacing w:before="120" w:after="0"/>
              <w:jc w:val="both"/>
              <w:rPr/>
            </w:pPr>
            <w:r>
              <w:rPr>
                <w:rFonts w:cs="Arial" w:ascii="Arial" w:hAnsi="Arial"/>
                <w:u w:val="none"/>
              </w:rPr>
              <w:t>Division/Section:</w:t>
            </w:r>
            <w:r>
              <w:rPr>
                <w:rFonts w:cs="Arial" w:ascii="Arial" w:hAnsi="Arial"/>
                <w:b w:val="false"/>
                <w:u w:val="none"/>
              </w:rPr>
              <w:tab/>
            </w:r>
          </w:p>
        </w:tc>
        <w:tc>
          <w:tcPr>
            <w:tcW w:w="4833" w:type="dxa"/>
            <w:gridSpan w:val="2"/>
            <w:tcBorders>
              <w:top w:val="double" w:sz="6" w:space="0" w:color="000000"/>
              <w:left w:val="single" w:sz="6" w:space="0" w:color="000000"/>
              <w:bottom w:val="double" w:sz="6" w:space="0" w:color="000000"/>
              <w:right w:val="double" w:sz="6" w:space="0" w:color="000000"/>
            </w:tcBorders>
            <w:shd w:fill="auto" w:val="clear"/>
          </w:tcPr>
          <w:p>
            <w:pPr>
              <w:pStyle w:val="Normal"/>
              <w:tabs>
                <w:tab w:val="clear" w:pos="720"/>
                <w:tab w:val="left" w:pos="1391" w:leader="none"/>
              </w:tabs>
              <w:spacing w:before="120" w:after="0"/>
              <w:jc w:val="both"/>
              <w:rPr/>
            </w:pPr>
            <w:r>
              <w:rPr>
                <w:rFonts w:cs="Arial" w:ascii="Arial" w:hAnsi="Arial"/>
                <w:u w:val="none"/>
              </w:rPr>
              <w:t>Post Grade:</w:t>
            </w:r>
            <w:r>
              <w:rPr>
                <w:rFonts w:cs="Arial" w:ascii="Arial" w:hAnsi="Arial"/>
                <w:b w:val="false"/>
                <w:u w:val="none"/>
              </w:rPr>
              <w:tab/>
            </w:r>
            <w:r>
              <w:rPr>
                <w:rFonts w:cs="Arial" w:ascii="Arial" w:hAnsi="Arial"/>
                <w:u w:val="none"/>
              </w:rPr>
              <w:t>Grade 9</w:t>
            </w:r>
          </w:p>
          <w:p>
            <w:pPr>
              <w:pStyle w:val="Normal"/>
              <w:tabs>
                <w:tab w:val="clear" w:pos="720"/>
                <w:tab w:val="left" w:pos="1391" w:leader="none"/>
              </w:tabs>
              <w:spacing w:before="120" w:after="0"/>
              <w:jc w:val="both"/>
              <w:rPr>
                <w:rFonts w:ascii="Arial" w:hAnsi="Arial" w:cs="Arial"/>
                <w:b w:val="false"/>
                <w:b w:val="false"/>
                <w:u w:val="none"/>
              </w:rPr>
            </w:pPr>
            <w:r>
              <w:rPr>
                <w:rFonts w:cs="Arial" w:ascii="Arial" w:hAnsi="Arial"/>
                <w:b w:val="false"/>
                <w:u w:val="none"/>
              </w:rPr>
            </w:r>
          </w:p>
        </w:tc>
      </w:tr>
      <w:tr>
        <w:trPr>
          <w:trHeight w:val="556" w:hRule="atLeast"/>
          <w:cantSplit w:val="true"/>
        </w:trPr>
        <w:tc>
          <w:tcPr>
            <w:tcW w:w="5976" w:type="dxa"/>
            <w:tcBorders>
              <w:top w:val="double" w:sz="6" w:space="0" w:color="000000"/>
              <w:left w:val="double" w:sz="6" w:space="0" w:color="000000"/>
              <w:bottom w:val="double" w:sz="6" w:space="0" w:color="000000"/>
            </w:tcBorders>
            <w:shd w:fill="auto" w:val="clear"/>
          </w:tcPr>
          <w:p>
            <w:pPr>
              <w:pStyle w:val="Normal"/>
              <w:tabs>
                <w:tab w:val="clear" w:pos="720"/>
                <w:tab w:val="left" w:pos="1260" w:leader="none"/>
              </w:tabs>
              <w:spacing w:before="120" w:after="0"/>
              <w:jc w:val="both"/>
              <w:rPr/>
            </w:pPr>
            <w:r>
              <w:rPr>
                <w:rFonts w:cs="Arial" w:ascii="Arial" w:hAnsi="Arial"/>
                <w:u w:val="none"/>
              </w:rPr>
              <w:t>Location:</w:t>
            </w:r>
            <w:r>
              <w:rPr>
                <w:rFonts w:cs="Arial" w:ascii="Arial" w:hAnsi="Arial"/>
                <w:b w:val="false"/>
                <w:u w:val="none"/>
              </w:rPr>
              <w:tab/>
            </w:r>
            <w:r>
              <w:rPr>
                <w:rFonts w:cs="Arial" w:ascii="Arial" w:hAnsi="Arial"/>
                <w:u w:val="none"/>
              </w:rPr>
              <w:t>The Derby High School</w:t>
            </w:r>
          </w:p>
        </w:tc>
        <w:tc>
          <w:tcPr>
            <w:tcW w:w="4833" w:type="dxa"/>
            <w:gridSpan w:val="2"/>
            <w:tcBorders>
              <w:top w:val="double" w:sz="6" w:space="0" w:color="000000"/>
              <w:left w:val="single" w:sz="6" w:space="0" w:color="000000"/>
              <w:bottom w:val="double" w:sz="6" w:space="0" w:color="000000"/>
              <w:right w:val="double" w:sz="6" w:space="0" w:color="000000"/>
            </w:tcBorders>
            <w:shd w:fill="auto" w:val="clear"/>
          </w:tcPr>
          <w:p>
            <w:pPr>
              <w:pStyle w:val="Normal"/>
              <w:tabs>
                <w:tab w:val="clear" w:pos="720"/>
                <w:tab w:val="left" w:pos="1391" w:leader="none"/>
              </w:tabs>
              <w:spacing w:before="120" w:after="0"/>
              <w:jc w:val="both"/>
              <w:rPr/>
            </w:pPr>
            <w:r>
              <w:rPr>
                <w:rFonts w:cs="Arial" w:ascii="Arial" w:hAnsi="Arial"/>
                <w:u w:val="none"/>
              </w:rPr>
              <w:t>Post Hours:</w:t>
            </w:r>
            <w:r>
              <w:rPr>
                <w:rFonts w:cs="Arial" w:ascii="Arial" w:hAnsi="Arial"/>
                <w:b w:val="false"/>
                <w:u w:val="none"/>
              </w:rPr>
              <w:tab/>
              <w:t xml:space="preserve"> 35 hours</w:t>
            </w:r>
          </w:p>
        </w:tc>
      </w:tr>
      <w:tr>
        <w:trPr>
          <w:trHeight w:val="762" w:hRule="atLeast"/>
          <w:cantSplit w:val="true"/>
        </w:trPr>
        <w:tc>
          <w:tcPr>
            <w:tcW w:w="10809" w:type="dxa"/>
            <w:gridSpan w:val="3"/>
            <w:tcBorders>
              <w:top w:val="double" w:sz="6" w:space="0" w:color="000000"/>
              <w:left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Special Conditions of Service:</w:t>
            </w:r>
          </w:p>
          <w:p>
            <w:pPr>
              <w:pStyle w:val="Normal"/>
              <w:spacing w:before="120" w:after="0"/>
              <w:jc w:val="both"/>
              <w:rPr>
                <w:rFonts w:ascii="Arial" w:hAnsi="Arial" w:cs="Arial"/>
                <w:u w:val="none"/>
              </w:rPr>
            </w:pPr>
            <w:r>
              <w:rPr>
                <w:rFonts w:cs="Arial" w:ascii="Arial" w:hAnsi="Arial"/>
                <w:u w:val="none"/>
              </w:rPr>
              <w:t>Term Time + 5 Days worked during periods of school closure</w:t>
            </w:r>
          </w:p>
          <w:p>
            <w:pPr>
              <w:pStyle w:val="Normal"/>
              <w:spacing w:before="120" w:after="0"/>
              <w:jc w:val="both"/>
              <w:rPr>
                <w:rFonts w:ascii="Arial" w:hAnsi="Arial" w:cs="Arial"/>
                <w:b w:val="false"/>
                <w:b w:val="false"/>
                <w:u w:val="none"/>
              </w:rPr>
            </w:pPr>
            <w:r>
              <w:rPr>
                <w:rFonts w:cs="Arial" w:ascii="Arial" w:hAnsi="Arial"/>
                <w:b w:val="false"/>
                <w:u w:val="none"/>
              </w:rPr>
            </w:r>
          </w:p>
        </w:tc>
      </w:tr>
      <w:tr>
        <w:trPr>
          <w:trHeight w:val="1680" w:hRule="atLeast"/>
          <w:cantSplit w:val="true"/>
        </w:trPr>
        <w:tc>
          <w:tcPr>
            <w:tcW w:w="10809" w:type="dxa"/>
            <w:gridSpan w:val="3"/>
            <w:tcBorders>
              <w:top w:val="double" w:sz="6" w:space="0" w:color="000000"/>
              <w:left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Purpose and Objectives of Post:</w:t>
            </w:r>
          </w:p>
          <w:p>
            <w:pPr>
              <w:pStyle w:val="Normal"/>
              <w:rPr>
                <w:rFonts w:ascii="Arial" w:hAnsi="Arial" w:cs="Arial"/>
                <w:b w:val="false"/>
                <w:b w:val="false"/>
                <w:u w:val="none"/>
              </w:rPr>
            </w:pPr>
            <w:r>
              <w:rPr>
                <w:rFonts w:cs="Arial" w:ascii="Arial" w:hAnsi="Arial"/>
                <w:b w:val="false"/>
                <w:u w:val="none"/>
              </w:rPr>
              <w:t>To play a key role in supporting the SENDCo in meeting the needs of students with Social, Emotional and Mental Health (SEMH) difficulties, with a particular focus on emotional regulation, resilience, and the development of positive social communication and interaction skills.</w:t>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t>To take responsibility for agreed learning and intervention activities, under the direction and supervision of the SENDCo. This will include planning, preparing, and delivering targeted SEMH support programmes for individuals, small groups, and, where appropriate, whole classes. The role involves monitoring students’ emotional wellbeing, engagement, and behaviour for learning, alongside assessing, recording, and reporting on their progress and development.</w:t>
            </w:r>
          </w:p>
          <w:p>
            <w:pPr>
              <w:pStyle w:val="Normal"/>
              <w:rPr>
                <w:rFonts w:ascii="Arial" w:hAnsi="Arial" w:cs="Arial"/>
                <w:b w:val="false"/>
                <w:b w:val="false"/>
                <w:u w:val="none"/>
              </w:rPr>
            </w:pPr>
            <w:r>
              <w:rPr>
                <w:rFonts w:cs="Arial" w:ascii="Arial" w:hAnsi="Arial"/>
                <w:b w:val="false"/>
                <w:u w:val="none"/>
              </w:rPr>
            </w:r>
          </w:p>
          <w:p>
            <w:pPr>
              <w:pStyle w:val="Normal"/>
              <w:rPr>
                <w:rFonts w:ascii="Arial" w:hAnsi="Arial" w:cs="Arial"/>
                <w:b w:val="false"/>
                <w:b w:val="false"/>
                <w:u w:val="none"/>
              </w:rPr>
            </w:pPr>
            <w:r>
              <w:rPr>
                <w:rFonts w:cs="Arial" w:ascii="Arial" w:hAnsi="Arial"/>
                <w:b w:val="false"/>
                <w:u w:val="none"/>
              </w:rPr>
              <w:t>To support the implementation of strategies that promote positive behaviour, emotional literacy, and social understanding, and to contribute to the development of SEMH provision across the school. This may include leading interventions, modelling effective relational and trauma-informed practice, and supporting or supervising other members of the inclusion team in meeting students’ SEMH and social communication needs.</w:t>
            </w:r>
          </w:p>
        </w:tc>
      </w:tr>
      <w:tr>
        <w:trPr>
          <w:cantSplit w:val="true"/>
        </w:trPr>
        <w:tc>
          <w:tcPr>
            <w:tcW w:w="10809" w:type="dxa"/>
            <w:gridSpan w:val="3"/>
            <w:tcBorders>
              <w:top w:val="double" w:sz="6" w:space="0" w:color="000000"/>
              <w:left w:val="double" w:sz="6" w:space="0" w:color="000000"/>
              <w:bottom w:val="double" w:sz="6" w:space="0" w:color="000000"/>
              <w:right w:val="double" w:sz="6" w:space="0" w:color="000000"/>
            </w:tcBorders>
            <w:shd w:fill="auto" w:val="clear"/>
          </w:tcPr>
          <w:p>
            <w:pPr>
              <w:pStyle w:val="Normal"/>
              <w:tabs>
                <w:tab w:val="clear" w:pos="720"/>
                <w:tab w:val="left" w:pos="2880" w:leader="none"/>
              </w:tabs>
              <w:spacing w:before="120" w:after="120"/>
              <w:jc w:val="both"/>
              <w:rPr/>
            </w:pPr>
            <w:r>
              <w:rPr>
                <w:rFonts w:cs="Arial" w:ascii="Arial" w:hAnsi="Arial"/>
                <w:u w:val="none"/>
              </w:rPr>
              <w:t xml:space="preserve">Accountable to: </w:t>
            </w:r>
            <w:r>
              <w:rPr>
                <w:rFonts w:cs="Arial" w:ascii="Arial" w:hAnsi="Arial"/>
                <w:b w:val="false"/>
                <w:u w:val="none"/>
              </w:rPr>
              <w:t>Head Teacher</w:t>
            </w:r>
          </w:p>
        </w:tc>
      </w:tr>
      <w:tr>
        <w:trPr>
          <w:cantSplit w:val="true"/>
        </w:trPr>
        <w:tc>
          <w:tcPr>
            <w:tcW w:w="10809" w:type="dxa"/>
            <w:gridSpan w:val="3"/>
            <w:tcBorders>
              <w:left w:val="double" w:sz="6" w:space="0" w:color="000000"/>
              <w:right w:val="double" w:sz="6" w:space="0" w:color="000000"/>
            </w:tcBorders>
            <w:shd w:fill="auto" w:val="clear"/>
          </w:tcPr>
          <w:p>
            <w:pPr>
              <w:pStyle w:val="Normal"/>
              <w:tabs>
                <w:tab w:val="clear" w:pos="720"/>
                <w:tab w:val="left" w:pos="2880" w:leader="none"/>
              </w:tabs>
              <w:spacing w:before="120" w:after="120"/>
              <w:jc w:val="both"/>
              <w:rPr/>
            </w:pPr>
            <w:r>
              <w:rPr>
                <w:rFonts w:cs="Arial" w:ascii="Arial" w:hAnsi="Arial"/>
                <w:u w:val="none"/>
              </w:rPr>
              <w:t xml:space="preserve">Immediately Responsible to: </w:t>
            </w:r>
            <w:r>
              <w:rPr>
                <w:rFonts w:cs="Arial" w:ascii="Arial" w:hAnsi="Arial"/>
                <w:b w:val="false"/>
                <w:u w:val="none"/>
              </w:rPr>
              <w:t>Assistant Headteacher - SEND</w:t>
            </w:r>
          </w:p>
        </w:tc>
      </w:tr>
      <w:tr>
        <w:trPr>
          <w:cantSplit w:val="true"/>
        </w:trPr>
        <w:tc>
          <w:tcPr>
            <w:tcW w:w="10809" w:type="dxa"/>
            <w:gridSpan w:val="3"/>
            <w:tcBorders>
              <w:top w:val="double" w:sz="6" w:space="0" w:color="000000"/>
              <w:left w:val="double" w:sz="6" w:space="0" w:color="000000"/>
              <w:right w:val="double" w:sz="6" w:space="0" w:color="000000"/>
            </w:tcBorders>
            <w:shd w:fill="auto" w:val="clear"/>
          </w:tcPr>
          <w:p>
            <w:pPr>
              <w:pStyle w:val="Normal"/>
              <w:tabs>
                <w:tab w:val="clear" w:pos="720"/>
                <w:tab w:val="left" w:pos="2880" w:leader="none"/>
              </w:tabs>
              <w:spacing w:before="120" w:after="120"/>
              <w:jc w:val="both"/>
              <w:rPr/>
            </w:pPr>
            <w:r>
              <w:rPr>
                <w:rFonts w:cs="Arial" w:ascii="Arial" w:hAnsi="Arial"/>
                <w:u w:val="none"/>
              </w:rPr>
              <w:t xml:space="preserve">Immediately Responsible for: </w:t>
            </w:r>
            <w:r>
              <w:rPr>
                <w:rFonts w:cs="Arial" w:ascii="Arial" w:hAnsi="Arial"/>
                <w:b w:val="false"/>
                <w:u w:val="none"/>
              </w:rPr>
              <w:t>N/A at the current time.</w:t>
            </w:r>
          </w:p>
        </w:tc>
      </w:tr>
      <w:tr>
        <w:trPr>
          <w:trHeight w:val="814" w:hRule="atLeast"/>
          <w:cantSplit w:val="true"/>
        </w:trPr>
        <w:tc>
          <w:tcPr>
            <w:tcW w:w="10809" w:type="dxa"/>
            <w:gridSpan w:val="3"/>
            <w:tcBorders>
              <w:top w:val="double" w:sz="6" w:space="0" w:color="000000"/>
              <w:left w:val="double" w:sz="6" w:space="0" w:color="000000"/>
              <w:bottom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Relationships: (Internal and External)</w:t>
            </w:r>
          </w:p>
          <w:p>
            <w:pPr>
              <w:pStyle w:val="Normal"/>
              <w:spacing w:before="120" w:after="0"/>
              <w:jc w:val="both"/>
              <w:rPr>
                <w:rFonts w:ascii="Arial" w:hAnsi="Arial" w:cs="Arial"/>
                <w:b w:val="false"/>
                <w:b w:val="false"/>
                <w:u w:val="none"/>
              </w:rPr>
            </w:pPr>
            <w:r>
              <w:rPr>
                <w:rFonts w:cs="Arial" w:ascii="Arial" w:hAnsi="Arial"/>
                <w:b w:val="false"/>
                <w:u w:val="none"/>
              </w:rPr>
              <w:t>Governors, Headteacher, Teachers, Support Staff, Students/ Parents and Carers.</w:t>
            </w:r>
          </w:p>
        </w:tc>
      </w:tr>
      <w:tr>
        <w:trPr>
          <w:trHeight w:val="557" w:hRule="atLeast"/>
          <w:cantSplit w:val="true"/>
        </w:trPr>
        <w:tc>
          <w:tcPr>
            <w:tcW w:w="10809" w:type="dxa"/>
            <w:gridSpan w:val="3"/>
            <w:tcBorders>
              <w:top w:val="double" w:sz="6" w:space="0" w:color="000000"/>
              <w:left w:val="double" w:sz="6" w:space="0" w:color="000000"/>
              <w:bottom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Control of Resources:</w:t>
            </w:r>
          </w:p>
          <w:p>
            <w:pPr>
              <w:pStyle w:val="Normal"/>
              <w:spacing w:before="120" w:after="0"/>
              <w:jc w:val="both"/>
              <w:rPr/>
            </w:pPr>
            <w:r>
              <w:rPr>
                <w:rFonts w:cs="Arial" w:ascii="Arial" w:hAnsi="Arial"/>
                <w:b w:val="false"/>
                <w:u w:val="none"/>
              </w:rPr>
              <w:t xml:space="preserve">Oversight of technology used to meet student needs in the area of </w:t>
            </w:r>
            <w:r>
              <w:rPr>
                <w:rFonts w:cs="Arial" w:ascii="Arial" w:hAnsi="Arial"/>
                <w:b w:val="false"/>
                <w:bCs/>
                <w:u w:val="none"/>
              </w:rPr>
              <w:t>Speech, Language and Communication.</w:t>
            </w:r>
          </w:p>
        </w:tc>
      </w:tr>
      <w:tr>
        <w:trPr>
          <w:trHeight w:val="2820" w:hRule="atLeast"/>
          <w:cantSplit w:val="true"/>
        </w:trPr>
        <w:tc>
          <w:tcPr>
            <w:tcW w:w="10715" w:type="dxa"/>
            <w:gridSpan w:val="2"/>
            <w:tcBorders>
              <w:top w:val="double" w:sz="6" w:space="0" w:color="000000"/>
              <w:left w:val="double" w:sz="6" w:space="0" w:color="000000"/>
              <w:bottom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Duties/Responsibilities:</w:t>
            </w:r>
          </w:p>
          <w:p>
            <w:pPr>
              <w:pStyle w:val="Normal"/>
              <w:spacing w:before="120" w:after="0"/>
              <w:jc w:val="both"/>
              <w:rPr>
                <w:rFonts w:ascii="Arial" w:hAnsi="Arial" w:cs="Arial"/>
                <w:sz w:val="19"/>
                <w:szCs w:val="19"/>
                <w:u w:val="none"/>
              </w:rPr>
            </w:pPr>
            <w:r>
              <w:rPr>
                <w:rFonts w:cs="Arial" w:ascii="Arial" w:hAnsi="Arial"/>
                <w:sz w:val="19"/>
                <w:szCs w:val="19"/>
                <w:u w:val="none"/>
              </w:rPr>
              <w:t>SUPPORT FOR THE SENDCO</w:t>
            </w:r>
          </w:p>
          <w:p>
            <w:pPr>
              <w:pStyle w:val="Normal"/>
              <w:numPr>
                <w:ilvl w:val="0"/>
                <w:numId w:val="4"/>
              </w:numPr>
              <w:jc w:val="both"/>
              <w:rPr>
                <w:rFonts w:ascii="Arial" w:hAnsi="Arial" w:eastAsia="Arial" w:cs="Arial"/>
                <w:b w:val="false"/>
                <w:b w:val="false"/>
                <w:sz w:val="19"/>
                <w:szCs w:val="19"/>
              </w:rPr>
            </w:pPr>
            <w:r>
              <w:rPr>
                <w:rFonts w:eastAsia="Arial" w:cs="Arial" w:ascii="Arial" w:hAnsi="Arial"/>
                <w:b w:val="false"/>
                <w:sz w:val="19"/>
                <w:szCs w:val="19"/>
              </w:rPr>
              <w:t>To play a key role in identifying, implementing and reviewing targeted interventions for students, with a particular focus on Social, Emotional and Mental Health (SEMH) needs.</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support the delivery of evidence-informed SEMH interventions, including those that promote emotional regulation, resilience and positive engagement in learning.</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compile and analyse progress information relating to students’ academic, social and emotional development.</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oversee the accurate input and maintenance of data using relevant school systems, ensuring high-quality tracking of progress and need.</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monitor and evaluate the impact of interventions, adapting provision in response to individual student needs.</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ensure that any concerns regarding student wellbeing, development or safeguarding are communicated promptly to the SENDCo and appropriate colleagues.</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produce high-quality review documentation for individual students and identified cohorts, including those with SEMH needs.</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track and monitor attendance, engagement and progress of vulnerable and targeted students.</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provide guidance and support to parents/carers, promoting consistent strategies that support students’ social, emotional and mental health.</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work collaboratively with parents/carers, contributing to or leading meetings to provide clear, supportive and constructive feedback on progress and wellbeing.</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attend parents’ evenings, review meetings and open events as required.</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contribute to the writing of reports for students with identified needs, ensuring they are accurate, balanced and reflect both academic and SEMH development.</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support the assessment and identification of student needs, including SEMH, cognition and learning, and communication needs.</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design and deliver CPD for Teaching Assistants, including training linked to SEMH strategies, behaviour support and inclusive practice.</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work collaboratively with support staff to ensure consistency and quality of provision.</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liaise effectively with external agencies (e.g. Local Authority, CAMHS and other professionals) to support holistic student outcomes.</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support transition processes (KS2–KS3, KS3–KS4 and post-16), ensuring that SEMH needs are identified early and supported effectively.</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collaborate with the Exams Officer, SENDCo and inclusion team to ensure appropriate access arrangements are identified and implemented in line with regulations.</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support exam processes, including liaising with specialists, acting as a reader/scribe and supporting students with SEMH needs in managing exam-related anxiety.</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organise and carry out assessments for students, including new starters, to inform appropriate support planning.</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make referrals to external services where further assessment or intervention is required.</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manage resources effectively, ensuring appropriate materials are available to support SEMH and SEND provision.</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organise and maintain inclusive, nurturing learning environments that support emotional safety and engagement.</w:t>
            </w:r>
          </w:p>
          <w:p>
            <w:pPr>
              <w:pStyle w:val="ListParagraph"/>
              <w:numPr>
                <w:ilvl w:val="0"/>
                <w:numId w:val="4"/>
              </w:numPr>
              <w:spacing w:lineRule="auto" w:line="300"/>
              <w:jc w:val="both"/>
              <w:rPr>
                <w:rFonts w:ascii="Arial" w:hAnsi="Arial" w:eastAsia="Arial" w:cs="Arial"/>
                <w:b w:val="false"/>
                <w:b w:val="false"/>
                <w:sz w:val="19"/>
                <w:szCs w:val="19"/>
              </w:rPr>
            </w:pPr>
            <w:r>
              <w:rPr>
                <w:rFonts w:eastAsia="Arial" w:cs="Arial" w:ascii="Arial" w:hAnsi="Arial"/>
                <w:b w:val="false"/>
                <w:sz w:val="19"/>
                <w:szCs w:val="19"/>
              </w:rPr>
              <w:t>To support the induction and ongoing development of staff, particularly in relation to inclusive practice and SEMH support strategies.</w:t>
            </w:r>
          </w:p>
          <w:p>
            <w:pPr>
              <w:pStyle w:val="Normal"/>
              <w:ind w:left="360" w:right="0" w:hanging="0"/>
              <w:jc w:val="both"/>
              <w:rPr>
                <w:rFonts w:ascii="Arial" w:hAnsi="Arial" w:cs="Arial"/>
                <w:b w:val="false"/>
                <w:b w:val="false"/>
                <w:sz w:val="16"/>
                <w:szCs w:val="16"/>
                <w:u w:val="none"/>
              </w:rPr>
            </w:pPr>
            <w:r>
              <w:rPr>
                <w:rFonts w:cs="Arial" w:ascii="Arial" w:hAnsi="Arial"/>
                <w:b w:val="false"/>
                <w:sz w:val="16"/>
                <w:szCs w:val="16"/>
                <w:u w:val="none"/>
              </w:rPr>
            </w:r>
          </w:p>
          <w:p>
            <w:pPr>
              <w:pStyle w:val="Normal"/>
              <w:jc w:val="both"/>
              <w:rPr>
                <w:rFonts w:ascii="Arial" w:hAnsi="Arial" w:cs="Arial"/>
                <w:b w:val="false"/>
                <w:b w:val="false"/>
                <w:i/>
                <w:i/>
                <w:sz w:val="19"/>
                <w:szCs w:val="19"/>
                <w:u w:val="none"/>
              </w:rPr>
            </w:pPr>
            <w:r>
              <w:rPr>
                <w:rFonts w:cs="Arial" w:ascii="Arial" w:hAnsi="Arial"/>
                <w:b w:val="false"/>
                <w:i/>
                <w:sz w:val="19"/>
                <w:szCs w:val="19"/>
                <w:u w:val="none"/>
              </w:rPr>
            </w:r>
          </w:p>
          <w:p>
            <w:pPr>
              <w:pStyle w:val="Normal"/>
              <w:rPr/>
            </w:pPr>
            <w:r>
              <w:rPr>
                <w:rFonts w:cs="Arial" w:ascii="Arial" w:hAnsi="Arial"/>
                <w:sz w:val="19"/>
                <w:szCs w:val="19"/>
                <w:u w:val="none"/>
              </w:rPr>
              <w:t>SUPPORT FOR THE STUDENT</w:t>
            </w:r>
            <w:r>
              <w:rPr>
                <w:rFonts w:cs="Arial" w:ascii="Arial" w:hAnsi="Arial"/>
                <w:b w:val="false"/>
                <w:sz w:val="19"/>
                <w:szCs w:val="19"/>
                <w:u w:val="none"/>
              </w:rPr>
              <w:t xml:space="preserve"> (under an agreed system of supervision)</w:t>
            </w:r>
          </w:p>
          <w:p>
            <w:pPr>
              <w:pStyle w:val="Normal"/>
              <w:numPr>
                <w:ilvl w:val="0"/>
                <w:numId w:val="3"/>
              </w:numPr>
              <w:spacing w:lineRule="auto" w:line="276"/>
              <w:rPr>
                <w:rFonts w:ascii="Arial" w:hAnsi="Arial" w:eastAsia="Arial" w:cs="Arial"/>
                <w:b w:val="false"/>
                <w:b w:val="false"/>
                <w:sz w:val="19"/>
                <w:szCs w:val="19"/>
              </w:rPr>
            </w:pPr>
            <w:r>
              <w:rPr>
                <w:rFonts w:eastAsia="Arial" w:cs="Arial" w:ascii="Arial" w:hAnsi="Arial"/>
                <w:b w:val="false"/>
                <w:sz w:val="19"/>
                <w:szCs w:val="19"/>
              </w:rPr>
              <w:t>Promote inclusion, acceptance and a sense of belonging for all students, particularly those with SEMH needs.</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Build and maintain positive, consistent and trusting relationships with students to support engagement, emotional safety and wellbeing.</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Assess and respond to the ongoing needs of students, using specialist SEMH knowledge and adaptive strategies.</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Support students during examinations, including those requiring access arrangements and those experiencing anxiety or emotional dysregulation.</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Record and provide clear, evidence-based feedback on student progress, attainment and emotional development.</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Encourage positive peer interactions and support students in developing social skills and emotional literacy.</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Promote independence, resilience and self-regulation, recognising and celebrating progress towards self-reliance.</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Act as a positive role model, setting high expectations for behaviour, engagement and interpersonal relationships.</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Implement Individual Support Plans (ISPs) and SEMH strategies consistently and effectively.</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Provide constructive feedback to students on their progress, attendance, behaviour and emotional development.</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Plan and deliver engaging, differentiated learning for individuals and small groups, with a focus on removing barriers to learning.</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Mark and provide feedback on work in line with school policy, supporting both academic and personal development.</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Deliver targeted interventions, including one-to-one and small group provision, particularly for SEMH development.</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Provide accurate reports and feedback on student progress and wellbeing when required.</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Act as a Key Worker for identified students, offering consistent support, guidance and advocacy, including with organisation and homework where required.</w:t>
            </w:r>
          </w:p>
          <w:p>
            <w:pPr>
              <w:pStyle w:val="ListParagraph"/>
              <w:numPr>
                <w:ilvl w:val="0"/>
                <w:numId w:val="3"/>
              </w:numPr>
              <w:spacing w:lineRule="auto" w:line="300"/>
              <w:rPr>
                <w:rFonts w:ascii="Arial" w:hAnsi="Arial" w:eastAsia="Arial" w:cs="Arial"/>
                <w:b w:val="false"/>
                <w:b w:val="false"/>
                <w:sz w:val="19"/>
                <w:szCs w:val="19"/>
              </w:rPr>
            </w:pPr>
            <w:r>
              <w:rPr>
                <w:rFonts w:eastAsia="Arial" w:cs="Arial" w:ascii="Arial" w:hAnsi="Arial"/>
                <w:b w:val="false"/>
                <w:sz w:val="19"/>
                <w:szCs w:val="19"/>
              </w:rPr>
              <w:t>Support and deliver enrichment opportunities that promote confidence, social skills and emotional wellbeing.</w:t>
            </w:r>
          </w:p>
        </w:tc>
        <w:tc>
          <w:tcPr>
            <w:tcW w:w="79" w:type="dxa"/>
            <w:tcBorders>
              <w:left w:val="double" w:sz="6" w:space="0" w:color="000000"/>
            </w:tcBorders>
            <w:shd w:fill="auto" w:val="clear"/>
          </w:tcPr>
          <w:p>
            <w:pPr>
              <w:pStyle w:val="Normal"/>
              <w:snapToGrid w:val="false"/>
              <w:rPr/>
            </w:pPr>
            <w:r>
              <w:rPr/>
            </w:r>
          </w:p>
        </w:tc>
      </w:tr>
      <w:tr>
        <w:trPr>
          <w:cantSplit w:val="true"/>
        </w:trPr>
        <w:tc>
          <w:tcPr>
            <w:tcW w:w="10715" w:type="dxa"/>
            <w:gridSpan w:val="2"/>
            <w:tcBorders>
              <w:top w:val="double" w:sz="6" w:space="0" w:color="000000"/>
              <w:left w:val="double" w:sz="6" w:space="0" w:color="000000"/>
              <w:bottom w:val="double" w:sz="6" w:space="0" w:color="000000"/>
            </w:tcBorders>
            <w:shd w:fill="auto" w:val="clear"/>
          </w:tcPr>
          <w:p>
            <w:pPr>
              <w:pStyle w:val="Normal"/>
              <w:rPr>
                <w:rFonts w:ascii="Arial" w:hAnsi="Arial" w:cs="Arial"/>
                <w:sz w:val="19"/>
                <w:szCs w:val="19"/>
                <w:u w:val="none"/>
              </w:rPr>
            </w:pPr>
            <w:r>
              <w:rPr>
                <w:rFonts w:cs="Arial" w:ascii="Arial" w:hAnsi="Arial"/>
                <w:sz w:val="19"/>
                <w:szCs w:val="19"/>
                <w:u w:val="none"/>
              </w:rPr>
              <w:t>SUPPORT FOR THE TEACHER</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Develop a positive and collaborative working relationship.</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Organise and manage appropriate learning environments and resources.</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Within an agreed system of supervision, plan challenging teaching and learning objectives to evaluate and adjust lessons/work plans as appropriate.</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Monitor and evaluate student responses to learning activities through a range of assessment and monitoring strategies against pre-determined learning objectives.</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Provide objective and accurate feedback and reports as required on student achievement, progress and other matters, ensuring the availability of appropriate evidence.</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Record progress and achievement in lessons/activities systematically and providing evidence of range and level of progress and attainment.</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Work within an established discipline policy to anticipate and manage behaviour constructively, promoting self-control and independence.</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Supporting the role of parents/carers in their child’s learning and contributing to/leading meetings with parents/carers to provide constructive feedback on student progress/achievement etc.</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Deliver training for parents/carers where needed to support students’ progress in their needs.</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Administer and assess/mark tests and invigilate exams/tests.</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Production of lesson plans, worksheets, plans etc.</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Support in the delivery of training for teachers and support staff where needed to support students’ progress.</w:t>
            </w:r>
          </w:p>
          <w:p>
            <w:pPr>
              <w:pStyle w:val="Normal"/>
              <w:rPr>
                <w:rFonts w:ascii="Arial" w:hAnsi="Arial" w:cs="Arial"/>
                <w:b w:val="false"/>
                <w:b w:val="false"/>
                <w:sz w:val="19"/>
                <w:szCs w:val="19"/>
                <w:u w:val="none"/>
              </w:rPr>
            </w:pPr>
            <w:r>
              <w:rPr>
                <w:rFonts w:cs="Arial" w:ascii="Arial" w:hAnsi="Arial"/>
                <w:b w:val="false"/>
                <w:sz w:val="19"/>
                <w:szCs w:val="19"/>
                <w:u w:val="none"/>
              </w:rPr>
            </w:r>
          </w:p>
          <w:p>
            <w:pPr>
              <w:pStyle w:val="Normal"/>
              <w:rPr>
                <w:rFonts w:ascii="Arial" w:hAnsi="Arial" w:cs="Arial"/>
                <w:sz w:val="19"/>
                <w:szCs w:val="19"/>
                <w:u w:val="none"/>
              </w:rPr>
            </w:pPr>
            <w:r>
              <w:rPr>
                <w:rFonts w:cs="Arial" w:ascii="Arial" w:hAnsi="Arial"/>
                <w:sz w:val="19"/>
                <w:szCs w:val="19"/>
                <w:u w:val="none"/>
              </w:rPr>
              <w:t>SUPPORT FOR THE CURRICULUM</w:t>
            </w:r>
          </w:p>
          <w:p>
            <w:pPr>
              <w:pStyle w:val="Normal"/>
              <w:numPr>
                <w:ilvl w:val="0"/>
                <w:numId w:val="2"/>
              </w:numPr>
              <w:spacing w:lineRule="auto" w:line="276"/>
              <w:ind w:left="360" w:right="0" w:hanging="39"/>
              <w:rPr>
                <w:rFonts w:ascii="Arial" w:hAnsi="Arial" w:cs="Arial"/>
                <w:b w:val="false"/>
                <w:b w:val="false"/>
                <w:sz w:val="19"/>
                <w:szCs w:val="19"/>
                <w:u w:val="none"/>
              </w:rPr>
            </w:pPr>
            <w:r>
              <w:rPr>
                <w:rFonts w:cs="Arial" w:ascii="Arial" w:hAnsi="Arial"/>
                <w:b w:val="false"/>
                <w:sz w:val="19"/>
                <w:szCs w:val="19"/>
                <w:u w:val="none"/>
              </w:rPr>
              <w:t>Support the teaching of educational needs across all curriculum areas as required.</w:t>
            </w:r>
          </w:p>
          <w:p>
            <w:pPr>
              <w:pStyle w:val="Normal"/>
              <w:numPr>
                <w:ilvl w:val="0"/>
                <w:numId w:val="2"/>
              </w:numPr>
              <w:ind w:left="360" w:right="0" w:hanging="39"/>
              <w:rPr>
                <w:rFonts w:ascii="Arial" w:hAnsi="Arial" w:cs="Arial"/>
                <w:b w:val="false"/>
                <w:b w:val="false"/>
                <w:sz w:val="19"/>
                <w:szCs w:val="19"/>
                <w:u w:val="none"/>
              </w:rPr>
            </w:pPr>
            <w:r>
              <w:rPr>
                <w:rFonts w:cs="Arial" w:ascii="Arial" w:hAnsi="Arial"/>
                <w:b w:val="false"/>
                <w:sz w:val="19"/>
                <w:szCs w:val="19"/>
                <w:u w:val="none"/>
              </w:rPr>
              <w:t xml:space="preserve">Deliver learning activities to students adjusting activities according to student learning needs and </w:t>
              <w:tab/>
              <w:tab/>
              <w:t>responses/needs.</w:t>
            </w:r>
          </w:p>
          <w:p>
            <w:pPr>
              <w:pStyle w:val="Normal"/>
              <w:numPr>
                <w:ilvl w:val="0"/>
                <w:numId w:val="2"/>
              </w:numPr>
              <w:ind w:left="360" w:right="0" w:hanging="39"/>
              <w:rPr>
                <w:rFonts w:ascii="Arial" w:hAnsi="Arial" w:cs="Arial"/>
                <w:b w:val="false"/>
                <w:b w:val="false"/>
                <w:sz w:val="19"/>
                <w:szCs w:val="19"/>
                <w:u w:val="none"/>
              </w:rPr>
            </w:pPr>
            <w:r>
              <w:rPr>
                <w:rFonts w:cs="Arial" w:ascii="Arial" w:hAnsi="Arial"/>
                <w:b w:val="false"/>
                <w:sz w:val="19"/>
                <w:szCs w:val="19"/>
                <w:u w:val="none"/>
              </w:rPr>
              <w:t>Use ICT effectively in learning activities and develop students’ competence and independence in its use.</w:t>
            </w:r>
          </w:p>
          <w:p>
            <w:pPr>
              <w:pStyle w:val="Normal"/>
              <w:numPr>
                <w:ilvl w:val="0"/>
                <w:numId w:val="2"/>
              </w:numPr>
              <w:ind w:left="360" w:right="0" w:hanging="39"/>
              <w:rPr>
                <w:rFonts w:ascii="Arial" w:hAnsi="Arial" w:cs="Arial"/>
                <w:b w:val="false"/>
                <w:b w:val="false"/>
                <w:sz w:val="19"/>
                <w:szCs w:val="19"/>
                <w:u w:val="none"/>
              </w:rPr>
            </w:pPr>
            <w:r>
              <w:rPr>
                <w:rFonts w:cs="Arial" w:ascii="Arial" w:hAnsi="Arial"/>
                <w:b w:val="false"/>
                <w:sz w:val="19"/>
                <w:szCs w:val="19"/>
                <w:u w:val="none"/>
              </w:rPr>
              <w:t>Assist students to access learning through specialist support e.g. Curriculum/SEN specialism.</w:t>
            </w:r>
          </w:p>
          <w:p>
            <w:pPr>
              <w:pStyle w:val="Normal"/>
              <w:numPr>
                <w:ilvl w:val="0"/>
                <w:numId w:val="2"/>
              </w:numPr>
              <w:ind w:left="360" w:right="0" w:hanging="39"/>
              <w:rPr>
                <w:rFonts w:ascii="Arial" w:hAnsi="Arial" w:cs="Arial"/>
                <w:b w:val="false"/>
                <w:b w:val="false"/>
                <w:sz w:val="19"/>
                <w:szCs w:val="19"/>
                <w:u w:val="none"/>
              </w:rPr>
            </w:pPr>
            <w:r>
              <w:rPr>
                <w:rFonts w:cs="Arial" w:ascii="Arial" w:hAnsi="Arial"/>
                <w:b w:val="false"/>
                <w:sz w:val="19"/>
                <w:szCs w:val="19"/>
                <w:u w:val="none"/>
              </w:rPr>
              <w:t>Select and prepare required resources necessary to lead learning activities, taking account of students’ interests, language and cultural backgrounds.</w:t>
            </w:r>
          </w:p>
          <w:p>
            <w:pPr>
              <w:pStyle w:val="Normal"/>
              <w:numPr>
                <w:ilvl w:val="0"/>
                <w:numId w:val="2"/>
              </w:numPr>
              <w:ind w:left="360" w:right="0" w:hanging="39"/>
              <w:rPr>
                <w:rFonts w:ascii="Arial" w:hAnsi="Arial" w:cs="Arial"/>
                <w:b w:val="false"/>
                <w:b w:val="false"/>
                <w:sz w:val="19"/>
                <w:szCs w:val="19"/>
                <w:u w:val="none"/>
              </w:rPr>
            </w:pPr>
            <w:r>
              <w:rPr>
                <w:rFonts w:cs="Arial" w:ascii="Arial" w:hAnsi="Arial"/>
                <w:b w:val="false"/>
                <w:sz w:val="19"/>
                <w:szCs w:val="19"/>
                <w:u w:val="none"/>
              </w:rPr>
              <w:t>Advise on appropriate deployment and use of specialist aid/resources/equipment.</w:t>
            </w:r>
          </w:p>
          <w:p>
            <w:pPr>
              <w:pStyle w:val="Normal"/>
              <w:numPr>
                <w:ilvl w:val="0"/>
                <w:numId w:val="2"/>
              </w:numPr>
              <w:ind w:left="360" w:right="0" w:hanging="39"/>
              <w:rPr>
                <w:rFonts w:ascii="Arial" w:hAnsi="Arial" w:cs="Arial"/>
                <w:b w:val="false"/>
                <w:b w:val="false"/>
                <w:sz w:val="19"/>
                <w:szCs w:val="19"/>
                <w:u w:val="none"/>
              </w:rPr>
            </w:pPr>
            <w:r>
              <w:rPr>
                <w:rFonts w:cs="Arial" w:ascii="Arial" w:hAnsi="Arial"/>
                <w:b w:val="false"/>
                <w:sz w:val="19"/>
                <w:szCs w:val="19"/>
                <w:u w:val="none"/>
              </w:rPr>
              <w:t>Assist with the development of the learning environment.</w:t>
            </w:r>
          </w:p>
          <w:p>
            <w:pPr>
              <w:pStyle w:val="Normal"/>
              <w:rPr>
                <w:rFonts w:ascii="Arial" w:hAnsi="Arial" w:cs="Arial"/>
                <w:b w:val="false"/>
                <w:b w:val="false"/>
                <w:sz w:val="19"/>
                <w:szCs w:val="19"/>
                <w:u w:val="none"/>
              </w:rPr>
            </w:pPr>
            <w:r>
              <w:rPr>
                <w:rFonts w:cs="Arial" w:ascii="Arial" w:hAnsi="Arial"/>
                <w:b w:val="false"/>
                <w:sz w:val="19"/>
                <w:szCs w:val="19"/>
                <w:u w:val="none"/>
              </w:rPr>
            </w:r>
          </w:p>
          <w:p>
            <w:pPr>
              <w:pStyle w:val="Normal"/>
              <w:rPr>
                <w:rFonts w:ascii="Arial" w:hAnsi="Arial" w:cs="Arial"/>
                <w:sz w:val="19"/>
                <w:szCs w:val="19"/>
                <w:u w:val="none"/>
              </w:rPr>
            </w:pPr>
            <w:r>
              <w:rPr>
                <w:rFonts w:cs="Arial" w:ascii="Arial" w:hAnsi="Arial"/>
                <w:sz w:val="19"/>
                <w:szCs w:val="19"/>
                <w:u w:val="none"/>
              </w:rPr>
              <w:t>SUPPORT FOR THE SCHOOL</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Comply with and assist with the development of policies and procedures relating to safeguarding, health, safety and security, confidentiality and data protection.  Report all concerns to the appropriate person (as named in the policy concerned).</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Support the school Behaviour Policy anticipating and managing behaviour constructively, promoting self-control and independence.</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Be aware of and support difference and ensure all students have equal access to opportunities.</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Contribute to the overall ethos/work/aims of the school.</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Establish constructive relationships and communicate with other agencies/professionals, in liaison with the teacher, to support achievement and progress of students.</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Take the initiative as appropriate to develop appropriate multi-agency approaches to supporting students.</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Recognise own strengths and areas of expertise and use these to lead, advise and support others.</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Recognise areas for development and seek to improve practice, participate in CPD and other learning activities as required.</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Contribute to the identification and execution of appropriate extra-curricular activities which consolidate and extend in school activities.</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Deliver extra-curricular activities within guidelines established by the school.</w:t>
            </w:r>
          </w:p>
          <w:p>
            <w:pPr>
              <w:pStyle w:val="Normal"/>
              <w:rPr>
                <w:rFonts w:ascii="Arial" w:hAnsi="Arial" w:cs="Arial"/>
                <w:b w:val="false"/>
                <w:b w:val="false"/>
                <w:i/>
                <w:i/>
                <w:sz w:val="19"/>
                <w:szCs w:val="19"/>
                <w:u w:val="none"/>
              </w:rPr>
            </w:pPr>
            <w:r>
              <w:rPr>
                <w:rFonts w:cs="Arial" w:ascii="Arial" w:hAnsi="Arial"/>
                <w:b w:val="false"/>
                <w:i/>
                <w:sz w:val="19"/>
                <w:szCs w:val="19"/>
                <w:u w:val="none"/>
              </w:rPr>
            </w:r>
          </w:p>
          <w:p>
            <w:pPr>
              <w:pStyle w:val="Normal"/>
              <w:spacing w:before="120" w:after="0"/>
              <w:jc w:val="both"/>
              <w:rPr>
                <w:rFonts w:ascii="Arial" w:hAnsi="Arial" w:cs="Arial"/>
                <w:sz w:val="19"/>
                <w:szCs w:val="19"/>
                <w:u w:val="none"/>
              </w:rPr>
            </w:pPr>
            <w:r>
              <w:rPr>
                <w:rFonts w:cs="Arial" w:ascii="Arial" w:hAnsi="Arial"/>
                <w:sz w:val="19"/>
                <w:szCs w:val="19"/>
                <w:u w:val="none"/>
              </w:rPr>
              <w:t>SUPERVISORY RESPONSIBILITIES</w:t>
            </w:r>
          </w:p>
          <w:p>
            <w:pPr>
              <w:pStyle w:val="ListParagraph"/>
              <w:numPr>
                <w:ilvl w:val="0"/>
                <w:numId w:val="2"/>
              </w:numPr>
              <w:ind w:left="360" w:right="0" w:hanging="39"/>
              <w:jc w:val="both"/>
              <w:rPr>
                <w:rFonts w:ascii="Arial" w:hAnsi="Arial" w:cs="Arial"/>
                <w:b w:val="false"/>
                <w:b w:val="false"/>
                <w:sz w:val="19"/>
                <w:szCs w:val="19"/>
                <w:u w:val="none"/>
              </w:rPr>
            </w:pPr>
            <w:r>
              <w:rPr>
                <w:rFonts w:cs="Arial" w:ascii="Arial" w:hAnsi="Arial"/>
                <w:b w:val="false"/>
                <w:sz w:val="19"/>
                <w:szCs w:val="19"/>
                <w:u w:val="none"/>
              </w:rPr>
              <w:t>Liaise between leaders/teaching staff and teaching assistants.</w:t>
            </w:r>
          </w:p>
          <w:p>
            <w:pPr>
              <w:pStyle w:val="ListParagraph"/>
              <w:numPr>
                <w:ilvl w:val="0"/>
                <w:numId w:val="2"/>
              </w:numPr>
              <w:ind w:left="360" w:right="0" w:hanging="39"/>
              <w:jc w:val="both"/>
              <w:rPr>
                <w:rFonts w:ascii="Arial" w:hAnsi="Arial" w:cs="Arial"/>
                <w:b w:val="false"/>
                <w:b w:val="false"/>
                <w:sz w:val="19"/>
                <w:szCs w:val="19"/>
                <w:u w:val="none"/>
              </w:rPr>
            </w:pPr>
            <w:r>
              <w:rPr>
                <w:rFonts w:cs="Arial" w:ascii="Arial" w:hAnsi="Arial"/>
                <w:b w:val="false"/>
                <w:sz w:val="19"/>
                <w:szCs w:val="19"/>
                <w:u w:val="none"/>
              </w:rPr>
              <w:t>Conduct briefings and meetings related to student needs where required.</w:t>
            </w:r>
          </w:p>
          <w:p>
            <w:pPr>
              <w:pStyle w:val="ListParagraph"/>
              <w:numPr>
                <w:ilvl w:val="0"/>
                <w:numId w:val="2"/>
              </w:numPr>
              <w:ind w:left="360" w:right="0" w:hanging="39"/>
              <w:jc w:val="both"/>
              <w:rPr>
                <w:rFonts w:ascii="Arial" w:hAnsi="Arial" w:cs="Arial"/>
                <w:b w:val="false"/>
                <w:b w:val="false"/>
                <w:sz w:val="19"/>
                <w:szCs w:val="19"/>
                <w:u w:val="none"/>
              </w:rPr>
            </w:pPr>
            <w:r>
              <w:rPr>
                <w:rFonts w:cs="Arial" w:ascii="Arial" w:hAnsi="Arial"/>
                <w:b w:val="false"/>
                <w:sz w:val="19"/>
                <w:szCs w:val="19"/>
                <w:u w:val="none"/>
              </w:rPr>
              <w:t>Represent the Include team at teaching staff/department/other appropriate meetings.</w:t>
            </w:r>
          </w:p>
          <w:p>
            <w:pPr>
              <w:pStyle w:val="ListParagraph"/>
              <w:numPr>
                <w:ilvl w:val="0"/>
                <w:numId w:val="2"/>
              </w:numPr>
              <w:ind w:left="360" w:right="0" w:hanging="39"/>
              <w:jc w:val="both"/>
              <w:rPr>
                <w:rFonts w:ascii="Arial" w:hAnsi="Arial" w:cs="Arial"/>
                <w:b w:val="false"/>
                <w:b w:val="false"/>
                <w:sz w:val="19"/>
                <w:szCs w:val="19"/>
                <w:u w:val="none"/>
              </w:rPr>
            </w:pPr>
            <w:r>
              <w:rPr>
                <w:rFonts w:cs="Arial" w:ascii="Arial" w:hAnsi="Arial"/>
                <w:b w:val="false"/>
                <w:sz w:val="19"/>
                <w:szCs w:val="19"/>
                <w:u w:val="none"/>
              </w:rPr>
              <w:t>Carry out break and lunchtime supervision of students</w:t>
            </w:r>
          </w:p>
          <w:p>
            <w:pPr>
              <w:pStyle w:val="ListParagraph"/>
              <w:ind w:left="0" w:right="0" w:hanging="0"/>
              <w:jc w:val="both"/>
              <w:rPr>
                <w:rFonts w:ascii="Arial" w:hAnsi="Arial" w:cs="Arial"/>
                <w:b w:val="false"/>
                <w:b w:val="false"/>
                <w:sz w:val="19"/>
                <w:szCs w:val="19"/>
                <w:u w:val="none"/>
              </w:rPr>
            </w:pPr>
            <w:r>
              <w:rPr>
                <w:rFonts w:cs="Arial" w:ascii="Arial" w:hAnsi="Arial"/>
                <w:b w:val="false"/>
                <w:sz w:val="19"/>
                <w:szCs w:val="19"/>
                <w:u w:val="none"/>
              </w:rPr>
            </w:r>
          </w:p>
          <w:p>
            <w:pPr>
              <w:pStyle w:val="Normal"/>
              <w:spacing w:before="120" w:after="0"/>
              <w:jc w:val="both"/>
              <w:rPr>
                <w:rFonts w:ascii="Arial" w:hAnsi="Arial" w:cs="Arial"/>
                <w:b w:val="false"/>
                <w:b w:val="false"/>
                <w:sz w:val="19"/>
                <w:szCs w:val="19"/>
                <w:u w:val="none"/>
              </w:rPr>
            </w:pPr>
            <w:r>
              <w:rPr>
                <w:rFonts w:cs="Arial" w:ascii="Arial" w:hAnsi="Arial"/>
                <w:b w:val="false"/>
                <w:sz w:val="19"/>
                <w:szCs w:val="19"/>
                <w:u w:val="none"/>
              </w:rPr>
              <w:t>Other duties as requested by the Headteacher.</w:t>
            </w:r>
          </w:p>
        </w:tc>
        <w:tc>
          <w:tcPr>
            <w:tcW w:w="79" w:type="dxa"/>
            <w:tcBorders>
              <w:left w:val="double" w:sz="6" w:space="0" w:color="000000"/>
            </w:tcBorders>
            <w:shd w:fill="auto" w:val="clear"/>
          </w:tcPr>
          <w:p>
            <w:pPr>
              <w:pStyle w:val="Normal"/>
              <w:snapToGrid w:val="false"/>
              <w:rPr/>
            </w:pPr>
            <w:r>
              <w:rPr/>
            </w:r>
          </w:p>
        </w:tc>
      </w:tr>
    </w:tbl>
    <w:p>
      <w:pPr>
        <w:pStyle w:val="Normal"/>
        <w:spacing w:before="120" w:after="0"/>
        <w:jc w:val="both"/>
        <w:rPr/>
      </w:pPr>
      <w:r>
        <w:rPr/>
      </w:r>
    </w:p>
    <w:sectPr>
      <w:type w:val="nextPage"/>
      <w:pgSz w:w="11906" w:h="16838"/>
      <w:pgMar w:left="1757" w:right="1138" w:header="0" w:top="720" w:footer="0" w:bottom="72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b/>
      <w:color w:val="auto"/>
      <w:kern w:val="0"/>
      <w:sz w:val="20"/>
      <w:szCs w:val="20"/>
      <w:u w:val="single"/>
      <w:lang w:val="en-GB" w:eastAsia="en-US" w:bidi="ar-SA"/>
    </w:rPr>
  </w:style>
  <w:style w:type="paragraph" w:styleId="Heading1">
    <w:name w:val="Heading 1"/>
    <w:basedOn w:val="Normal"/>
    <w:next w:val="Normal"/>
    <w:qFormat/>
    <w:pPr>
      <w:keepNext w:val="true"/>
      <w:numPr>
        <w:ilvl w:val="0"/>
        <w:numId w:val="1"/>
      </w:numPr>
      <w:spacing w:before="120" w:after="120"/>
      <w:jc w:val="center"/>
      <w:outlineLvl w:val="0"/>
    </w:pPr>
    <w:rPr>
      <w:sz w:val="24"/>
      <w:u w:val="none"/>
    </w:rPr>
  </w:style>
  <w:style w:type="paragraph" w:styleId="Heading2">
    <w:name w:val="Heading 2"/>
    <w:basedOn w:val="Normal"/>
    <w:next w:val="Normal"/>
    <w:qFormat/>
    <w:pPr>
      <w:keepNext w:val="true"/>
      <w:numPr>
        <w:ilvl w:val="1"/>
        <w:numId w:val="1"/>
      </w:numPr>
      <w:spacing w:before="120" w:after="0"/>
      <w:jc w:val="both"/>
      <w:outlineLvl w:val="1"/>
    </w:pPr>
    <w:rPr>
      <w:b w:val="false"/>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qFormat/>
    <w:rPr>
      <w:rFonts w:ascii="Segoe UI" w:hAnsi="Segoe UI" w:cs="Segoe UI"/>
      <w:b/>
      <w:sz w:val="18"/>
      <w:szCs w:val="18"/>
      <w:u w:val="single"/>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sz w:val="24"/>
      <w:u w:val="none"/>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ListParagraph">
    <w:name w:val="List Paragraph"/>
    <w:basedOn w:val="Normal"/>
    <w:qFormat/>
    <w:pPr>
      <w:spacing w:before="0" w:after="0"/>
      <w:ind w:left="720" w:right="0" w:hanging="0"/>
      <w:contextualSpacing/>
    </w:pPr>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Job Description</Template>
  <TotalTime>0</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2026-06-26T13:52:00Z</dcterms:created>
  <dc:creator>Barlow</dc:creator>
  <dc:description/>
  <dc:language>en-US</dc:language>
  <cp:lastModifiedBy>Mrs A Moore</cp:lastModifiedBy>
  <cp:lastPrinted>1995-11-21T17:41:00Z</cp:lastPrinted>
  <dcterms:modified xsi:type="dcterms:W3CDTF">2026-06-26T13:52:00Z</dcterms:modified>
  <cp:revision>2</cp:revision>
  <dc:subject/>
  <dc:title>BURY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0x0101009475F97731E5284BAE627EF85AC9C899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7860400</vt:i4>
  </property>
  <property fmtid="{D5CDD505-2E9C-101B-9397-08002B2CF9AE}" pid="9" name="ScaleCrop">
    <vt:bool>0</vt:bool>
  </property>
  <property fmtid="{D5CDD505-2E9C-101B-9397-08002B2CF9AE}" pid="10" name="ShareDoc">
    <vt:bool>0</vt:bool>
  </property>
  <property fmtid="{D5CDD505-2E9C-101B-9397-08002B2CF9AE}" pid="11" name="_dlc_DocIdItemGuid">
    <vt:lpwstr>9eae93cc-5b34-4725-8467-c38b1c6970d0</vt:lpwstr>
  </property>
  <property fmtid="{D5CDD505-2E9C-101B-9397-08002B2CF9AE}" pid="12" name="xd_Signature">
    <vt:bool>0</vt:bool>
  </property>
</Properties>
</file>