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F7288" w:rsidRDefault="005C092E" w:rsidP="009F7288">
      <w:pPr>
        <w:ind w:left="7920" w:firstLine="18"/>
      </w:pPr>
      <w:r w:rsidRPr="003D0EBA">
        <w:rPr>
          <w:noProof/>
          <w:lang w:eastAsia="en-GB"/>
        </w:rPr>
        <w:drawing>
          <wp:inline distT="0" distB="0" distL="0" distR="0" wp14:anchorId="4C09360F" wp14:editId="07777777">
            <wp:extent cx="1477010" cy="609600"/>
            <wp:effectExtent l="0" t="0" r="0" b="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D34C" w14:textId="77777777" w:rsidR="009F7288" w:rsidRPr="00F204D6" w:rsidRDefault="009F7288" w:rsidP="009F7288">
      <w:pPr>
        <w:jc w:val="center"/>
        <w:rPr>
          <w:b/>
        </w:rPr>
      </w:pPr>
      <w:r w:rsidRPr="00F204D6">
        <w:rPr>
          <w:b/>
        </w:rPr>
        <w:t>JOB DESCRIPTION</w:t>
      </w:r>
    </w:p>
    <w:p w14:paraId="0A37501D" w14:textId="77777777" w:rsidR="009F7288" w:rsidRPr="00F204D6" w:rsidRDefault="009F7288" w:rsidP="009F7288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9F7288" w:rsidRPr="00F204D6" w14:paraId="67473732" w14:textId="77777777" w:rsidTr="08B24650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A8126D" w14:textId="5B122CE7" w:rsidR="009F7288" w:rsidRPr="00F204D6" w:rsidRDefault="009F7288" w:rsidP="07CC5742">
            <w:pPr>
              <w:spacing w:before="120" w:after="240"/>
              <w:rPr>
                <w:rFonts w:cs="Arial"/>
              </w:rPr>
            </w:pPr>
            <w:r w:rsidRPr="07CC5742">
              <w:rPr>
                <w:rFonts w:cs="Arial"/>
                <w:b/>
                <w:bCs/>
              </w:rPr>
              <w:t>Post Title</w:t>
            </w:r>
            <w:r w:rsidRPr="07CC5742">
              <w:rPr>
                <w:rFonts w:cs="Arial"/>
              </w:rPr>
              <w:t xml:space="preserve">: </w:t>
            </w:r>
            <w:r w:rsidR="71FE816A" w:rsidRPr="07CC5742">
              <w:rPr>
                <w:rFonts w:cs="Arial"/>
              </w:rPr>
              <w:t xml:space="preserve">Community </w:t>
            </w:r>
            <w:r w:rsidR="00D62F1D" w:rsidRPr="07CC5742">
              <w:rPr>
                <w:rFonts w:cs="Arial"/>
              </w:rPr>
              <w:t>L</w:t>
            </w:r>
            <w:r w:rsidR="71FE816A" w:rsidRPr="07CC5742">
              <w:rPr>
                <w:rFonts w:cs="Arial"/>
              </w:rPr>
              <w:t xml:space="preserve">earning </w:t>
            </w:r>
            <w:r w:rsidR="00D62F1D" w:rsidRPr="07CC5742">
              <w:rPr>
                <w:rFonts w:cs="Arial"/>
              </w:rPr>
              <w:t>O</w:t>
            </w:r>
            <w:r w:rsidR="71FE816A" w:rsidRPr="07CC5742">
              <w:rPr>
                <w:rFonts w:cs="Arial"/>
              </w:rPr>
              <w:t>fficer</w:t>
            </w:r>
            <w:r w:rsidRPr="07CC5742">
              <w:rPr>
                <w:rFonts w:cs="Arial"/>
              </w:rPr>
              <w:fldChar w:fldCharType="begin"/>
            </w:r>
            <w:r w:rsidRPr="07CC5742">
              <w:rPr>
                <w:rFonts w:cs="Arial"/>
              </w:rPr>
              <w:instrText xml:space="preserve"> ASK  \* MERGEFORMAT </w:instrText>
            </w:r>
            <w:r w:rsidRPr="07CC5742">
              <w:rPr>
                <w:rFonts w:cs="Arial"/>
              </w:rPr>
              <w:fldChar w:fldCharType="end"/>
            </w:r>
          </w:p>
        </w:tc>
      </w:tr>
      <w:tr w:rsidR="009F7288" w:rsidRPr="00F204D6" w14:paraId="1DBC9252" w14:textId="77777777" w:rsidTr="08B24650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EB4845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Department</w:t>
            </w:r>
            <w:r w:rsidRPr="00F204D6">
              <w:rPr>
                <w:rFonts w:cs="Arial"/>
              </w:rPr>
              <w:t xml:space="preserve">: </w:t>
            </w:r>
            <w:r w:rsidR="008D7D9B" w:rsidRPr="00F204D6">
              <w:rPr>
                <w:rFonts w:cs="Arial"/>
              </w:rPr>
              <w:t xml:space="preserve">Children &amp; </w:t>
            </w:r>
            <w:r w:rsidR="00D62F1D">
              <w:rPr>
                <w:rFonts w:cs="Arial"/>
              </w:rPr>
              <w:t>Y</w:t>
            </w:r>
            <w:r w:rsidR="008D7D9B" w:rsidRPr="00F204D6">
              <w:rPr>
                <w:rFonts w:cs="Arial"/>
              </w:rPr>
              <w:t xml:space="preserve">oung </w:t>
            </w:r>
            <w:r w:rsidR="00D62F1D">
              <w:rPr>
                <w:rFonts w:cs="Arial"/>
              </w:rPr>
              <w:t>P</w:t>
            </w:r>
            <w:r w:rsidR="008D7D9B" w:rsidRPr="00F204D6">
              <w:rPr>
                <w:rFonts w:cs="Arial"/>
              </w:rPr>
              <w:t>eople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D1DD62A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Post No</w:t>
            </w:r>
            <w:r w:rsidRPr="00F204D6">
              <w:rPr>
                <w:rFonts w:cs="Arial"/>
              </w:rPr>
              <w:t xml:space="preserve">: </w:t>
            </w:r>
          </w:p>
        </w:tc>
      </w:tr>
      <w:tr w:rsidR="009F7288" w:rsidRPr="00F204D6" w14:paraId="210B8063" w14:textId="77777777" w:rsidTr="08B24650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7165AC56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Division/Section</w:t>
            </w:r>
            <w:r w:rsidRPr="00F204D6">
              <w:rPr>
                <w:rFonts w:cs="Arial"/>
              </w:rPr>
              <w:t xml:space="preserve">: </w:t>
            </w:r>
            <w:r w:rsidR="008D7D9B" w:rsidRPr="00F204D6">
              <w:rPr>
                <w:rFonts w:cs="Arial"/>
              </w:rPr>
              <w:t>Education</w:t>
            </w:r>
            <w:r w:rsidR="00BF78BE">
              <w:rPr>
                <w:rFonts w:cs="Arial"/>
              </w:rPr>
              <w:t xml:space="preserve"> &amp; Skills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DCE288D" w14:textId="67DD658A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74ED0DF9">
              <w:rPr>
                <w:rFonts w:cs="Arial"/>
                <w:b/>
                <w:bCs/>
              </w:rPr>
              <w:t>Post Grade</w:t>
            </w:r>
            <w:r w:rsidRPr="74ED0DF9">
              <w:rPr>
                <w:rFonts w:cs="Arial"/>
              </w:rPr>
              <w:t xml:space="preserve">: </w:t>
            </w:r>
            <w:r w:rsidR="00F204D6" w:rsidRPr="74ED0DF9">
              <w:rPr>
                <w:rFonts w:cs="Arial"/>
              </w:rPr>
              <w:t xml:space="preserve">Grade 12 </w:t>
            </w:r>
          </w:p>
        </w:tc>
      </w:tr>
      <w:tr w:rsidR="009F7288" w:rsidRPr="00F204D6" w14:paraId="28B84472" w14:textId="77777777" w:rsidTr="08B24650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37E932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Location</w:t>
            </w:r>
            <w:r w:rsidRPr="00F204D6">
              <w:rPr>
                <w:rFonts w:cs="Arial"/>
              </w:rPr>
              <w:t xml:space="preserve">: </w:t>
            </w:r>
            <w:r w:rsidR="00BF78BE">
              <w:rPr>
                <w:rFonts w:cs="Arial"/>
              </w:rPr>
              <w:t>3 Knowsley Place, Duke Street, Bury BL9 0EJ / Agile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44672119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Post Hours</w:t>
            </w:r>
            <w:r w:rsidRPr="00F204D6">
              <w:rPr>
                <w:rFonts w:cs="Arial"/>
              </w:rPr>
              <w:t xml:space="preserve">: </w:t>
            </w:r>
            <w:r w:rsidR="008D7D9B" w:rsidRPr="00F204D6">
              <w:rPr>
                <w:rFonts w:cs="Arial"/>
              </w:rPr>
              <w:t>37 hours</w:t>
            </w:r>
          </w:p>
        </w:tc>
      </w:tr>
      <w:tr w:rsidR="009F7288" w:rsidRPr="00F204D6" w14:paraId="30224A27" w14:textId="77777777" w:rsidTr="08B24650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541942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Special Conditions of Service</w:t>
            </w:r>
            <w:r w:rsidRPr="00F204D6">
              <w:rPr>
                <w:rFonts w:cs="Arial"/>
              </w:rPr>
              <w:t xml:space="preserve">: </w:t>
            </w:r>
          </w:p>
        </w:tc>
      </w:tr>
      <w:tr w:rsidR="009F7288" w:rsidRPr="00F204D6" w14:paraId="3557B54F" w14:textId="77777777" w:rsidTr="08B24650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47F277" w14:textId="7A62AD85" w:rsidR="009F7288" w:rsidRPr="00F204D6" w:rsidRDefault="009F7288" w:rsidP="60DF15FB">
            <w:pPr>
              <w:spacing w:before="120" w:after="120"/>
              <w:rPr>
                <w:rFonts w:cs="Arial"/>
              </w:rPr>
            </w:pPr>
            <w:r w:rsidRPr="60DF15FB">
              <w:rPr>
                <w:rFonts w:cs="Arial"/>
                <w:b/>
                <w:bCs/>
              </w:rPr>
              <w:t>Purpose and Objectives of Post</w:t>
            </w:r>
            <w:r w:rsidRPr="60DF15FB">
              <w:rPr>
                <w:rFonts w:cs="Arial"/>
              </w:rPr>
              <w:t xml:space="preserve">: </w:t>
            </w:r>
          </w:p>
          <w:p w14:paraId="4D7EA3C7" w14:textId="68037E23" w:rsidR="009F7288" w:rsidRPr="00F204D6" w:rsidRDefault="52F0244E" w:rsidP="60DF15FB">
            <w:pPr>
              <w:spacing w:before="120" w:after="120"/>
              <w:jc w:val="both"/>
              <w:rPr>
                <w:rFonts w:cs="Arial"/>
              </w:rPr>
            </w:pPr>
            <w:r w:rsidRPr="08B24650">
              <w:rPr>
                <w:rFonts w:cs="Arial"/>
              </w:rPr>
              <w:t>To take a</w:t>
            </w:r>
            <w:r w:rsidR="6B1350F0" w:rsidRPr="08B24650">
              <w:rPr>
                <w:rFonts w:cs="Arial"/>
              </w:rPr>
              <w:t xml:space="preserve"> </w:t>
            </w:r>
            <w:r w:rsidRPr="08B24650">
              <w:rPr>
                <w:rFonts w:cs="Arial"/>
              </w:rPr>
              <w:t xml:space="preserve">pro-active role within a defined community, to ensure appropriate arrangements are in place for children missing education, those children who are </w:t>
            </w:r>
            <w:r w:rsidR="3E3C8EBA" w:rsidRPr="08B24650">
              <w:rPr>
                <w:rFonts w:cs="Arial"/>
              </w:rPr>
              <w:t xml:space="preserve">electively </w:t>
            </w:r>
            <w:r w:rsidRPr="08B24650">
              <w:rPr>
                <w:rFonts w:cs="Arial"/>
              </w:rPr>
              <w:t>home educated,</w:t>
            </w:r>
            <w:r w:rsidR="4EF2EACE" w:rsidRPr="08B24650">
              <w:rPr>
                <w:rFonts w:cs="Arial"/>
              </w:rPr>
              <w:t xml:space="preserve"> travellers, and unaccompanied asylum seekers, ensuring that processes for identification</w:t>
            </w:r>
            <w:r w:rsidR="2D1263B8" w:rsidRPr="08B24650">
              <w:rPr>
                <w:rFonts w:cs="Arial"/>
              </w:rPr>
              <w:t xml:space="preserve">, safeguarding, </w:t>
            </w:r>
            <w:bookmarkStart w:id="0" w:name="_Int_0QpGsnyt"/>
            <w:proofErr w:type="gramStart"/>
            <w:r w:rsidR="2D1263B8" w:rsidRPr="08B24650">
              <w:rPr>
                <w:rFonts w:cs="Arial"/>
              </w:rPr>
              <w:t>monitoring</w:t>
            </w:r>
            <w:bookmarkEnd w:id="0"/>
            <w:proofErr w:type="gramEnd"/>
            <w:r w:rsidR="2D1263B8" w:rsidRPr="08B24650">
              <w:rPr>
                <w:rFonts w:cs="Arial"/>
              </w:rPr>
              <w:t xml:space="preserve"> and </w:t>
            </w:r>
            <w:r w:rsidR="4EF2EACE" w:rsidRPr="08B24650">
              <w:rPr>
                <w:rFonts w:cs="Arial"/>
              </w:rPr>
              <w:t>tracking are robust.</w:t>
            </w:r>
            <w:r w:rsidRPr="08B24650">
              <w:rPr>
                <w:rFonts w:cs="Arial"/>
              </w:rPr>
              <w:t xml:space="preserve"> </w:t>
            </w:r>
          </w:p>
          <w:p w14:paraId="6A611E34" w14:textId="2C4B7258" w:rsidR="0467373B" w:rsidRDefault="0467373B" w:rsidP="792BCA55">
            <w:pPr>
              <w:spacing w:before="120" w:after="120"/>
              <w:jc w:val="both"/>
              <w:rPr>
                <w:rFonts w:cs="Arial"/>
              </w:rPr>
            </w:pPr>
            <w:r w:rsidRPr="08B24650">
              <w:rPr>
                <w:rFonts w:cs="Arial"/>
              </w:rPr>
              <w:t xml:space="preserve">To make assessments </w:t>
            </w:r>
            <w:r w:rsidR="64CA8775" w:rsidRPr="08B24650">
              <w:rPr>
                <w:rFonts w:cs="Arial"/>
              </w:rPr>
              <w:t>o</w:t>
            </w:r>
            <w:r w:rsidRPr="08B24650">
              <w:rPr>
                <w:rFonts w:cs="Arial"/>
              </w:rPr>
              <w:t xml:space="preserve">n suitability around electively home educated children and to case manage </w:t>
            </w:r>
            <w:r w:rsidR="16929623" w:rsidRPr="08B24650">
              <w:rPr>
                <w:rFonts w:cs="Arial"/>
              </w:rPr>
              <w:t xml:space="preserve">children not in full time education including </w:t>
            </w:r>
            <w:bookmarkStart w:id="1" w:name="_Int_VZFSWdBB"/>
            <w:r w:rsidR="16929623" w:rsidRPr="08B24650">
              <w:rPr>
                <w:rFonts w:cs="Arial"/>
              </w:rPr>
              <w:t>CME</w:t>
            </w:r>
            <w:bookmarkEnd w:id="1"/>
            <w:r w:rsidR="16929623" w:rsidRPr="08B24650">
              <w:rPr>
                <w:rFonts w:cs="Arial"/>
              </w:rPr>
              <w:t xml:space="preserve">, </w:t>
            </w:r>
            <w:bookmarkStart w:id="2" w:name="_Int_08UmVUcr"/>
            <w:r w:rsidR="16929623" w:rsidRPr="08B24650">
              <w:rPr>
                <w:rFonts w:cs="Arial"/>
              </w:rPr>
              <w:t>EHE</w:t>
            </w:r>
            <w:bookmarkEnd w:id="2"/>
            <w:r w:rsidR="16929623" w:rsidRPr="08B24650">
              <w:rPr>
                <w:rFonts w:cs="Arial"/>
              </w:rPr>
              <w:t>.</w:t>
            </w:r>
          </w:p>
          <w:p w14:paraId="656E5CCE" w14:textId="5DC9529A" w:rsidR="0051653E" w:rsidRDefault="0051653E" w:rsidP="792BCA55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Fulfil role as part of an education safeguarding team, and participate in safeguarding reviews in </w:t>
            </w:r>
            <w:proofErr w:type="gramStart"/>
            <w:r>
              <w:rPr>
                <w:rFonts w:cs="Arial"/>
              </w:rPr>
              <w:t>schools</w:t>
            </w:r>
            <w:proofErr w:type="gramEnd"/>
          </w:p>
          <w:p w14:paraId="5F20D3CA" w14:textId="5B4ACB53" w:rsidR="0051653E" w:rsidRDefault="0051653E" w:rsidP="792BCA55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Post will lead in one of four key areas:</w:t>
            </w:r>
          </w:p>
          <w:p w14:paraId="5F671641" w14:textId="0F72CA98" w:rsidR="0051653E" w:rsidRPr="0051653E" w:rsidRDefault="0051653E" w:rsidP="0051653E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</w:rPr>
            </w:pPr>
            <w:r w:rsidRPr="0051653E">
              <w:rPr>
                <w:rFonts w:cs="Arial"/>
              </w:rPr>
              <w:t>Children Missing Education</w:t>
            </w:r>
          </w:p>
          <w:p w14:paraId="41D2EB3B" w14:textId="61919C0F" w:rsidR="0051653E" w:rsidRPr="0051653E" w:rsidRDefault="0051653E" w:rsidP="0051653E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</w:rPr>
            </w:pPr>
            <w:r w:rsidRPr="0051653E">
              <w:rPr>
                <w:rFonts w:cs="Arial"/>
              </w:rPr>
              <w:t>Elective Home Education</w:t>
            </w:r>
          </w:p>
          <w:p w14:paraId="2A1CC811" w14:textId="3F4D537B" w:rsidR="0051653E" w:rsidRPr="0051653E" w:rsidRDefault="0051653E" w:rsidP="0051653E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</w:rPr>
            </w:pPr>
            <w:r w:rsidRPr="31BD32A6">
              <w:rPr>
                <w:rFonts w:cs="Arial"/>
              </w:rPr>
              <w:t xml:space="preserve">Unaccompanied Asylum </w:t>
            </w:r>
            <w:r w:rsidR="15742503" w:rsidRPr="31BD32A6">
              <w:rPr>
                <w:rFonts w:cs="Arial"/>
              </w:rPr>
              <w:t>S</w:t>
            </w:r>
            <w:r w:rsidRPr="31BD32A6">
              <w:rPr>
                <w:rFonts w:cs="Arial"/>
              </w:rPr>
              <w:t>eekers</w:t>
            </w:r>
          </w:p>
          <w:p w14:paraId="701AEC91" w14:textId="25613206" w:rsidR="0051653E" w:rsidRPr="0051653E" w:rsidRDefault="0051653E" w:rsidP="0051653E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</w:rPr>
            </w:pPr>
            <w:r w:rsidRPr="31BD32A6">
              <w:rPr>
                <w:rFonts w:cs="Arial"/>
              </w:rPr>
              <w:t xml:space="preserve">Traveller </w:t>
            </w:r>
            <w:r w:rsidR="34919283" w:rsidRPr="31BD32A6">
              <w:rPr>
                <w:rFonts w:cs="Arial"/>
              </w:rPr>
              <w:t>E</w:t>
            </w:r>
            <w:r w:rsidRPr="31BD32A6">
              <w:rPr>
                <w:rFonts w:cs="Arial"/>
              </w:rPr>
              <w:t>ducation</w:t>
            </w:r>
          </w:p>
          <w:p w14:paraId="41585009" w14:textId="213BA0D0" w:rsidR="009F7288" w:rsidRPr="00F204D6" w:rsidRDefault="009F7288" w:rsidP="60DF15FB">
            <w:pPr>
              <w:spacing w:before="120" w:after="120"/>
              <w:rPr>
                <w:rFonts w:cs="Arial"/>
              </w:rPr>
            </w:pPr>
          </w:p>
        </w:tc>
      </w:tr>
      <w:tr w:rsidR="009F7288" w:rsidRPr="00F204D6" w14:paraId="27721FA0" w14:textId="77777777" w:rsidTr="08B24650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E203F9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Accountable to</w:t>
            </w:r>
            <w:r w:rsidRPr="00F204D6">
              <w:rPr>
                <w:rFonts w:cs="Arial"/>
              </w:rPr>
              <w:t xml:space="preserve">: </w:t>
            </w:r>
            <w:r w:rsidR="00BF78BE">
              <w:rPr>
                <w:rFonts w:cs="Arial"/>
              </w:rPr>
              <w:t>Director of Education &amp; Skills</w:t>
            </w:r>
          </w:p>
        </w:tc>
      </w:tr>
      <w:tr w:rsidR="009F7288" w:rsidRPr="00F204D6" w14:paraId="73D1671B" w14:textId="77777777" w:rsidTr="08B24650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CD23CF" w14:textId="77777777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  <w:b/>
              </w:rPr>
              <w:t>Immediately Responsible to</w:t>
            </w:r>
            <w:r w:rsidRPr="00F204D6">
              <w:rPr>
                <w:rFonts w:cs="Arial"/>
              </w:rPr>
              <w:t xml:space="preserve">: </w:t>
            </w:r>
            <w:r w:rsidR="00F204D6">
              <w:rPr>
                <w:rFonts w:cs="Arial"/>
              </w:rPr>
              <w:t>Community Education &amp; Safeguarding Lead</w:t>
            </w:r>
          </w:p>
        </w:tc>
      </w:tr>
      <w:tr w:rsidR="009F7288" w:rsidRPr="00F204D6" w14:paraId="71AFC8A7" w14:textId="77777777" w:rsidTr="08B24650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A928625" w14:textId="36C6B109" w:rsidR="009F7288" w:rsidRPr="00F204D6" w:rsidRDefault="009F7288" w:rsidP="000413A2">
            <w:pPr>
              <w:spacing w:before="120" w:after="240"/>
              <w:rPr>
                <w:rFonts w:cs="Arial"/>
              </w:rPr>
            </w:pPr>
            <w:r w:rsidRPr="12EBD787">
              <w:rPr>
                <w:rFonts w:cs="Arial"/>
                <w:b/>
                <w:bCs/>
              </w:rPr>
              <w:t>Immediately Responsible for</w:t>
            </w:r>
            <w:r w:rsidRPr="12EBD787">
              <w:rPr>
                <w:rFonts w:cs="Arial"/>
              </w:rPr>
              <w:t xml:space="preserve">: </w:t>
            </w:r>
            <w:r w:rsidR="37ECCAA0" w:rsidRPr="12EBD787">
              <w:rPr>
                <w:rFonts w:cs="Arial"/>
              </w:rPr>
              <w:t>N/A</w:t>
            </w:r>
          </w:p>
        </w:tc>
      </w:tr>
      <w:tr w:rsidR="009F7288" w:rsidRPr="00F204D6" w14:paraId="02ADF2DF" w14:textId="77777777" w:rsidTr="08B24650">
        <w:trPr>
          <w:cantSplit/>
          <w:trHeight w:val="2777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9D34C8B" w14:textId="77777777" w:rsidR="009F7288" w:rsidRPr="00F204D6" w:rsidRDefault="009F7288" w:rsidP="000413A2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1C3A0E09">
              <w:rPr>
                <w:rFonts w:cs="Arial"/>
                <w:b/>
                <w:bCs/>
              </w:rPr>
              <w:lastRenderedPageBreak/>
              <w:t>Relationships: (Internal and External)</w:t>
            </w:r>
          </w:p>
          <w:p w14:paraId="47B7C5C9" w14:textId="2ED7F85E" w:rsidR="00F07DD2" w:rsidRPr="00F204D6" w:rsidRDefault="5A0B14A9" w:rsidP="4AD75CD5">
            <w:pPr>
              <w:spacing w:before="120"/>
              <w:jc w:val="both"/>
              <w:rPr>
                <w:rFonts w:cs="Arial"/>
                <w:b/>
                <w:bCs/>
              </w:rPr>
            </w:pPr>
            <w:r w:rsidRPr="08B24650">
              <w:rPr>
                <w:rFonts w:cs="Arial"/>
              </w:rPr>
              <w:t>H</w:t>
            </w:r>
            <w:r w:rsidR="00F07DD2" w:rsidRPr="08B24650">
              <w:rPr>
                <w:rFonts w:cs="Arial"/>
              </w:rPr>
              <w:t xml:space="preserve">ead Teachers, School </w:t>
            </w:r>
            <w:bookmarkStart w:id="3" w:name="_Int_HtnIhjRy"/>
            <w:proofErr w:type="gramStart"/>
            <w:r w:rsidR="00F07DD2" w:rsidRPr="08B24650">
              <w:rPr>
                <w:rFonts w:cs="Arial"/>
              </w:rPr>
              <w:t>Governors</w:t>
            </w:r>
            <w:bookmarkEnd w:id="3"/>
            <w:proofErr w:type="gramEnd"/>
            <w:r w:rsidR="00F07DD2" w:rsidRPr="08B24650">
              <w:rPr>
                <w:rFonts w:cs="Arial"/>
              </w:rPr>
              <w:t xml:space="preserve"> and Multi Academy Trusts</w:t>
            </w:r>
          </w:p>
          <w:p w14:paraId="3EF1CAC2" w14:textId="77777777" w:rsidR="00F07DD2" w:rsidRPr="00F204D6" w:rsidRDefault="00F07DD2" w:rsidP="08B24650">
            <w:pPr>
              <w:spacing w:before="120"/>
              <w:jc w:val="both"/>
              <w:rPr>
                <w:rFonts w:cs="Arial"/>
                <w:b/>
                <w:bCs/>
              </w:rPr>
            </w:pPr>
            <w:r w:rsidRPr="08B24650">
              <w:rPr>
                <w:rFonts w:cs="Arial"/>
              </w:rPr>
              <w:t xml:space="preserve">Children, young people, parents &amp; </w:t>
            </w:r>
            <w:bookmarkStart w:id="4" w:name="_Int_Qxo7g2JP"/>
            <w:proofErr w:type="gramStart"/>
            <w:r w:rsidRPr="08B24650">
              <w:rPr>
                <w:rFonts w:cs="Arial"/>
              </w:rPr>
              <w:t>carers</w:t>
            </w:r>
            <w:bookmarkEnd w:id="4"/>
            <w:proofErr w:type="gramEnd"/>
            <w:r w:rsidRPr="08B24650">
              <w:rPr>
                <w:rFonts w:cs="Arial"/>
              </w:rPr>
              <w:t xml:space="preserve"> and the wider community</w:t>
            </w:r>
          </w:p>
          <w:p w14:paraId="4041A910" w14:textId="77777777" w:rsidR="00F07DD2" w:rsidRPr="00F204D6" w:rsidRDefault="00F07DD2" w:rsidP="08B24650">
            <w:pPr>
              <w:spacing w:before="120"/>
              <w:jc w:val="both"/>
              <w:rPr>
                <w:rFonts w:cs="Arial"/>
                <w:b/>
                <w:bCs/>
              </w:rPr>
            </w:pPr>
            <w:r w:rsidRPr="08B24650">
              <w:rPr>
                <w:rFonts w:cs="Arial"/>
              </w:rPr>
              <w:t xml:space="preserve">Representatives from </w:t>
            </w:r>
            <w:bookmarkStart w:id="5" w:name="_Int_QTBgyv6p"/>
            <w:r w:rsidRPr="08B24650">
              <w:rPr>
                <w:rFonts w:cs="Arial"/>
              </w:rPr>
              <w:t>DfE</w:t>
            </w:r>
            <w:bookmarkEnd w:id="5"/>
            <w:r w:rsidRPr="08B24650">
              <w:rPr>
                <w:rFonts w:cs="Arial"/>
              </w:rPr>
              <w:t>, Ofsted and other National and regional Organisations</w:t>
            </w:r>
          </w:p>
          <w:p w14:paraId="24AE46CA" w14:textId="77777777" w:rsidR="00F07DD2" w:rsidRPr="00F204D6" w:rsidRDefault="00F07DD2" w:rsidP="00F07DD2">
            <w:pPr>
              <w:spacing w:before="120"/>
              <w:jc w:val="both"/>
              <w:rPr>
                <w:rFonts w:cs="Arial"/>
                <w:b/>
              </w:rPr>
            </w:pPr>
            <w:r w:rsidRPr="00F204D6">
              <w:rPr>
                <w:rFonts w:cs="Arial"/>
              </w:rPr>
              <w:t>Other local authorities, academic institutions, other public bodies</w:t>
            </w:r>
          </w:p>
          <w:p w14:paraId="6BB488F8" w14:textId="77777777" w:rsidR="00F07DD2" w:rsidRPr="00F204D6" w:rsidRDefault="00F07DD2" w:rsidP="00F07DD2">
            <w:pPr>
              <w:tabs>
                <w:tab w:val="left" w:pos="4320"/>
              </w:tabs>
              <w:spacing w:before="120" w:after="120"/>
              <w:rPr>
                <w:rFonts w:cs="Arial"/>
              </w:rPr>
            </w:pPr>
            <w:r w:rsidRPr="00F204D6">
              <w:rPr>
                <w:rFonts w:cs="Arial"/>
              </w:rPr>
              <w:t>Private, Voluntary, Community and Faith sector and statutory organisations</w:t>
            </w:r>
          </w:p>
        </w:tc>
      </w:tr>
      <w:tr w:rsidR="009F7288" w:rsidRPr="00F204D6" w14:paraId="473B52E1" w14:textId="77777777" w:rsidTr="08B24650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E9F2" w14:textId="533386E8" w:rsidR="009F7288" w:rsidRPr="00F204D6" w:rsidRDefault="009F7288" w:rsidP="607F4D4C">
            <w:pPr>
              <w:spacing w:before="120" w:after="120"/>
              <w:rPr>
                <w:rFonts w:cs="Arial"/>
              </w:rPr>
            </w:pPr>
            <w:r w:rsidRPr="607F4D4C">
              <w:rPr>
                <w:rFonts w:cs="Arial"/>
                <w:b/>
                <w:bCs/>
              </w:rPr>
              <w:t>Control of Resources</w:t>
            </w:r>
            <w:r w:rsidRPr="607F4D4C">
              <w:rPr>
                <w:rFonts w:cs="Arial"/>
              </w:rPr>
              <w:t xml:space="preserve">: </w:t>
            </w:r>
          </w:p>
          <w:p w14:paraId="1178789B" w14:textId="1013B5F2" w:rsidR="009F7288" w:rsidRPr="00F204D6" w:rsidRDefault="441CFA0E" w:rsidP="607F4D4C">
            <w:pPr>
              <w:spacing w:before="120" w:after="120"/>
              <w:rPr>
                <w:rFonts w:cs="Arial"/>
              </w:rPr>
            </w:pPr>
            <w:r w:rsidRPr="607F4D4C">
              <w:rPr>
                <w:rFonts w:cs="Arial"/>
              </w:rPr>
              <w:t>Mobile Telephone</w:t>
            </w:r>
          </w:p>
          <w:p w14:paraId="4F497262" w14:textId="1EFF5E4E" w:rsidR="009F7288" w:rsidRPr="00F204D6" w:rsidRDefault="441CFA0E" w:rsidP="607F4D4C">
            <w:pPr>
              <w:spacing w:before="120" w:after="120"/>
              <w:rPr>
                <w:rFonts w:cs="Arial"/>
              </w:rPr>
            </w:pPr>
            <w:r w:rsidRPr="607F4D4C">
              <w:rPr>
                <w:rFonts w:cs="Arial"/>
              </w:rPr>
              <w:t>ICT Equipment</w:t>
            </w:r>
          </w:p>
        </w:tc>
      </w:tr>
      <w:tr w:rsidR="009F7288" w:rsidRPr="00F204D6" w14:paraId="69C5582E" w14:textId="77777777" w:rsidTr="08B24650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96AD7" w14:textId="77777777" w:rsidR="009F7288" w:rsidRPr="00F204D6" w:rsidRDefault="009F7288" w:rsidP="000413A2">
            <w:pPr>
              <w:spacing w:before="120" w:after="120"/>
              <w:rPr>
                <w:rFonts w:cs="Arial"/>
              </w:rPr>
            </w:pPr>
            <w:r w:rsidRPr="00F204D6">
              <w:rPr>
                <w:rFonts w:cs="Arial"/>
                <w:b/>
              </w:rPr>
              <w:t>Duties/Responsibilities</w:t>
            </w:r>
            <w:r w:rsidRPr="00F204D6">
              <w:rPr>
                <w:rFonts w:cs="Arial"/>
              </w:rPr>
              <w:t xml:space="preserve">: </w:t>
            </w:r>
          </w:p>
        </w:tc>
      </w:tr>
      <w:tr w:rsidR="009F7288" w:rsidRPr="00F204D6" w14:paraId="5DAB6C7B" w14:textId="77777777" w:rsidTr="08B24650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1A41881" w14:textId="2C1075A7" w:rsidR="009F7288" w:rsidRPr="00F204D6" w:rsidRDefault="276C5535" w:rsidP="607F4D4C">
            <w:pPr>
              <w:spacing w:before="120" w:after="120"/>
              <w:jc w:val="both"/>
              <w:rPr>
                <w:rFonts w:eastAsia="Verdana" w:cs="Verdana"/>
              </w:rPr>
            </w:pPr>
            <w:r w:rsidRPr="08B24650">
              <w:rPr>
                <w:rFonts w:eastAsia="Verdana" w:cs="Verdana"/>
              </w:rPr>
              <w:lastRenderedPageBreak/>
              <w:t xml:space="preserve">The role holder will provide effective leadership for an area where the council has statutory duties to ensure the service is compliant with legal requirements. </w:t>
            </w:r>
            <w:r w:rsidR="3678A7EF" w:rsidRPr="08B24650">
              <w:rPr>
                <w:rFonts w:eastAsia="Verdana" w:cs="Verdana"/>
              </w:rPr>
              <w:t>e.g.,</w:t>
            </w:r>
            <w:r w:rsidR="77C984F4" w:rsidRPr="08B24650">
              <w:rPr>
                <w:rFonts w:eastAsia="Verdana" w:cs="Verdana"/>
              </w:rPr>
              <w:t xml:space="preserve"> CME; EHE; </w:t>
            </w:r>
            <w:r w:rsidR="08D23DED" w:rsidRPr="08B24650">
              <w:rPr>
                <w:rFonts w:eastAsia="Verdana" w:cs="Verdana"/>
              </w:rPr>
              <w:t xml:space="preserve">UASC; </w:t>
            </w:r>
            <w:r w:rsidR="77C984F4" w:rsidRPr="08B24650">
              <w:rPr>
                <w:rFonts w:eastAsia="Verdana" w:cs="Verdana"/>
              </w:rPr>
              <w:t>traveller education</w:t>
            </w:r>
          </w:p>
          <w:p w14:paraId="6F824B65" w14:textId="121DF472" w:rsidR="72F67E3D" w:rsidRDefault="72F67E3D" w:rsidP="213C9B7D">
            <w:pPr>
              <w:jc w:val="both"/>
            </w:pPr>
            <w:r w:rsidRPr="213C9B7D">
              <w:rPr>
                <w:rFonts w:eastAsia="Verdana" w:cs="Verdana"/>
              </w:rPr>
              <w:t>The role holder will be a member of the education safeguarding team and contribute to DSL networks, including delivering training.</w:t>
            </w:r>
          </w:p>
          <w:p w14:paraId="656D4F17" w14:textId="76EBF72B" w:rsidR="72F67E3D" w:rsidRDefault="72F67E3D" w:rsidP="08B24650">
            <w:pPr>
              <w:jc w:val="both"/>
              <w:rPr>
                <w:rFonts w:eastAsia="Verdana" w:cs="Verdana"/>
              </w:rPr>
            </w:pPr>
            <w:r w:rsidRPr="08B24650">
              <w:rPr>
                <w:rFonts w:eastAsia="Verdana" w:cs="Verdana"/>
              </w:rPr>
              <w:t>The role holder will contribute to education safeguarding reviews and audits in schools and will support the investigation of safeguarding concerns</w:t>
            </w:r>
            <w:r w:rsidR="262D4C2A" w:rsidRPr="08B24650">
              <w:rPr>
                <w:rFonts w:eastAsia="Verdana" w:cs="Verdana"/>
              </w:rPr>
              <w:t xml:space="preserve">. </w:t>
            </w:r>
          </w:p>
          <w:p w14:paraId="0065F95E" w14:textId="54282988" w:rsidR="792BCA55" w:rsidRDefault="276C5535" w:rsidP="607F4D4C">
            <w:pPr>
              <w:spacing w:before="120" w:after="120"/>
              <w:jc w:val="both"/>
              <w:rPr>
                <w:rFonts w:eastAsia="Verdana" w:cs="Verdana"/>
              </w:rPr>
            </w:pPr>
            <w:r w:rsidRPr="607F4D4C">
              <w:rPr>
                <w:rFonts w:eastAsia="Verdana" w:cs="Verdana"/>
              </w:rPr>
              <w:t xml:space="preserve">The role holder will have responsibility to ensure that all children access an appropriate education, and that educational outcomes for children and young people </w:t>
            </w:r>
            <w:r w:rsidR="59C9A544" w:rsidRPr="607F4D4C">
              <w:rPr>
                <w:rFonts w:eastAsia="Verdana" w:cs="Verdana"/>
              </w:rPr>
              <w:t>across the borough</w:t>
            </w:r>
            <w:r w:rsidRPr="607F4D4C">
              <w:rPr>
                <w:rFonts w:eastAsia="Verdana" w:cs="Verdana"/>
              </w:rPr>
              <w:t xml:space="preserve"> continue to improve and exceed national averages. </w:t>
            </w:r>
          </w:p>
          <w:p w14:paraId="1706EB87" w14:textId="6E33129F" w:rsidR="009F7288" w:rsidRPr="00F204D6" w:rsidRDefault="3DF5C0D0" w:rsidP="607F4D4C">
            <w:pPr>
              <w:spacing w:before="120" w:after="120"/>
              <w:jc w:val="both"/>
              <w:rPr>
                <w:rFonts w:eastAsia="Verdana" w:cs="Verdana"/>
              </w:rPr>
            </w:pPr>
            <w:r w:rsidRPr="607F4D4C">
              <w:rPr>
                <w:rFonts w:eastAsia="Verdana" w:cs="Verdana"/>
              </w:rPr>
              <w:t xml:space="preserve">The role holder will </w:t>
            </w:r>
            <w:r w:rsidR="522C8E17" w:rsidRPr="607F4D4C">
              <w:rPr>
                <w:rFonts w:eastAsia="Verdana" w:cs="Verdana"/>
              </w:rPr>
              <w:t>assess the suitability of education and be adapt at analysing safeguarding risks without the protective fact</w:t>
            </w:r>
            <w:r w:rsidR="40012F2F" w:rsidRPr="607F4D4C">
              <w:rPr>
                <w:rFonts w:eastAsia="Verdana" w:cs="Verdana"/>
              </w:rPr>
              <w:t>or of schools.</w:t>
            </w:r>
          </w:p>
          <w:p w14:paraId="11E90838" w14:textId="7F40E016" w:rsidR="009F7288" w:rsidRDefault="276C5535" w:rsidP="607F4D4C">
            <w:pPr>
              <w:spacing w:before="120" w:after="120"/>
              <w:jc w:val="both"/>
              <w:rPr>
                <w:rFonts w:eastAsia="Verdana" w:cs="Verdana"/>
              </w:rPr>
            </w:pPr>
            <w:r w:rsidRPr="213C9B7D">
              <w:rPr>
                <w:rFonts w:eastAsia="Verdana" w:cs="Verdana"/>
              </w:rPr>
              <w:t>The role holder will engage and influence all relevant stakeholders to discharge their statutory area, and act as a key point of contact.</w:t>
            </w:r>
          </w:p>
          <w:p w14:paraId="16E6B97E" w14:textId="2FB41F96" w:rsidR="009F7288" w:rsidRDefault="276C5535" w:rsidP="607F4D4C">
            <w:pPr>
              <w:spacing w:before="120" w:after="120"/>
              <w:jc w:val="both"/>
              <w:rPr>
                <w:rFonts w:eastAsia="Verdana" w:cs="Verdana"/>
              </w:rPr>
            </w:pPr>
            <w:r w:rsidRPr="213C9B7D">
              <w:rPr>
                <w:rFonts w:eastAsia="Verdana" w:cs="Verdana"/>
              </w:rPr>
              <w:t>The role holder will be responsible for ensuring that resources allocated for their lead area are deployed effectively to improve educational outcomes for children and young people.</w:t>
            </w:r>
          </w:p>
          <w:p w14:paraId="10484EFD" w14:textId="7E1651AE" w:rsidR="00162BC8" w:rsidRPr="00F204D6" w:rsidRDefault="1A05EAE8" w:rsidP="00162BC8">
            <w:pPr>
              <w:spacing w:before="120" w:after="120"/>
              <w:jc w:val="both"/>
              <w:rPr>
                <w:rFonts w:eastAsia="Verdana" w:cs="Verdana"/>
                <w:color w:val="000000" w:themeColor="text1"/>
                <w:lang w:val="en-US"/>
              </w:rPr>
            </w:pPr>
            <w:r w:rsidRPr="1D8AEFAE">
              <w:rPr>
                <w:rFonts w:eastAsia="Verdana" w:cs="Verdana"/>
                <w:color w:val="000000" w:themeColor="text1"/>
                <w:lang w:val="en-US"/>
              </w:rPr>
              <w:t>The role holder will</w:t>
            </w:r>
            <w:r w:rsidR="41E1283F" w:rsidRPr="1D8AEFAE">
              <w:rPr>
                <w:rFonts w:eastAsia="Verdana" w:cs="Verdana"/>
                <w:color w:val="000000" w:themeColor="text1"/>
                <w:lang w:val="en-US"/>
              </w:rPr>
              <w:t xml:space="preserve"> </w:t>
            </w:r>
            <w:r w:rsidR="5C88CBDF" w:rsidRPr="1D8AEFAE">
              <w:rPr>
                <w:rFonts w:eastAsia="Verdana" w:cs="Verdana"/>
                <w:color w:val="000000" w:themeColor="text1"/>
                <w:lang w:val="en-US"/>
              </w:rPr>
              <w:t>b</w:t>
            </w:r>
            <w:r w:rsidR="00162BC8" w:rsidRPr="1D8AEFAE">
              <w:rPr>
                <w:rFonts w:eastAsia="Verdana" w:cs="Verdana"/>
                <w:color w:val="000000" w:themeColor="text1"/>
                <w:lang w:val="en-US"/>
              </w:rPr>
              <w:t>e well informed about national policy, changes to national policy and horizon scan for potential changes and express political judgement at both a local and national level to ensure success.</w:t>
            </w:r>
          </w:p>
          <w:p w14:paraId="410AFDBA" w14:textId="3712657F" w:rsidR="00162BC8" w:rsidRPr="00F204D6" w:rsidRDefault="00162BC8" w:rsidP="00162BC8">
            <w:pPr>
              <w:tabs>
                <w:tab w:val="left" w:pos="576"/>
              </w:tabs>
              <w:spacing w:before="120" w:after="120"/>
              <w:jc w:val="both"/>
            </w:pPr>
            <w:r w:rsidRPr="08B24650">
              <w:rPr>
                <w:rFonts w:eastAsia="Verdana" w:cs="Verdana"/>
              </w:rPr>
              <w:t xml:space="preserve">Where parents choose to </w:t>
            </w:r>
            <w:bookmarkStart w:id="6" w:name="_Int_JOEg2maq"/>
            <w:proofErr w:type="gramStart"/>
            <w:r w:rsidRPr="08B24650">
              <w:rPr>
                <w:rFonts w:eastAsia="Verdana" w:cs="Verdana"/>
              </w:rPr>
              <w:t xml:space="preserve">electively home educate children, </w:t>
            </w:r>
            <w:r w:rsidR="0ADA5EE1" w:rsidRPr="08B24650">
              <w:rPr>
                <w:rFonts w:eastAsia="Verdana" w:cs="Verdana"/>
              </w:rPr>
              <w:t xml:space="preserve">the role holder will </w:t>
            </w:r>
            <w:r w:rsidRPr="08B24650">
              <w:rPr>
                <w:rFonts w:eastAsia="Verdana" w:cs="Verdana"/>
              </w:rPr>
              <w:t>carry out assessments</w:t>
            </w:r>
            <w:bookmarkEnd w:id="6"/>
            <w:proofErr w:type="gramEnd"/>
            <w:r w:rsidRPr="08B24650">
              <w:rPr>
                <w:rFonts w:eastAsia="Verdana" w:cs="Verdana"/>
              </w:rPr>
              <w:t xml:space="preserve"> on the quality of the education offer and apply a judgement as to whether this is satisfactory or not.</w:t>
            </w:r>
          </w:p>
          <w:p w14:paraId="5DB49CCA" w14:textId="21FFA133" w:rsidR="00162BC8" w:rsidRPr="00F204D6" w:rsidRDefault="5F544DE7" w:rsidP="00162BC8">
            <w:pPr>
              <w:tabs>
                <w:tab w:val="left" w:pos="576"/>
              </w:tabs>
              <w:spacing w:before="120" w:after="120"/>
              <w:jc w:val="both"/>
            </w:pPr>
            <w:r w:rsidRPr="1D8AEFAE">
              <w:rPr>
                <w:rFonts w:eastAsia="Verdana" w:cs="Verdana"/>
              </w:rPr>
              <w:t>The role holder will p</w:t>
            </w:r>
            <w:r w:rsidR="00162BC8" w:rsidRPr="1D8AEFAE">
              <w:rPr>
                <w:rFonts w:eastAsia="Verdana" w:cs="Verdana"/>
              </w:rPr>
              <w:t xml:space="preserve">roactively support access to the best tools to educate and address deficits in education provision in the home </w:t>
            </w:r>
            <w:proofErr w:type="gramStart"/>
            <w:r w:rsidR="00162BC8" w:rsidRPr="1D8AEFAE">
              <w:rPr>
                <w:rFonts w:eastAsia="Verdana" w:cs="Verdana"/>
              </w:rPr>
              <w:t>environment</w:t>
            </w:r>
            <w:proofErr w:type="gramEnd"/>
            <w:r w:rsidR="00162BC8" w:rsidRPr="1D8AEFAE">
              <w:rPr>
                <w:rFonts w:eastAsia="Verdana" w:cs="Verdana"/>
              </w:rPr>
              <w:t xml:space="preserve"> </w:t>
            </w:r>
          </w:p>
          <w:p w14:paraId="74EFD183" w14:textId="32CD608A" w:rsidR="00162BC8" w:rsidRPr="00F204D6" w:rsidRDefault="23AF4C84" w:rsidP="00162BC8">
            <w:pPr>
              <w:tabs>
                <w:tab w:val="left" w:pos="576"/>
              </w:tabs>
              <w:spacing w:before="120" w:after="120"/>
              <w:jc w:val="both"/>
            </w:pPr>
            <w:r w:rsidRPr="1D8AEFAE">
              <w:rPr>
                <w:rFonts w:eastAsia="Verdana" w:cs="Verdana"/>
              </w:rPr>
              <w:t xml:space="preserve">The role holder will </w:t>
            </w:r>
            <w:r w:rsidR="00162BC8" w:rsidRPr="1D8AEFAE">
              <w:rPr>
                <w:rFonts w:eastAsia="Verdana" w:cs="Verdana"/>
              </w:rPr>
              <w:t xml:space="preserve">monitor the home educated environment through regular reviews and where education remains unsatisfactory to actively support children back into formal </w:t>
            </w:r>
            <w:proofErr w:type="gramStart"/>
            <w:r w:rsidR="00162BC8" w:rsidRPr="1D8AEFAE">
              <w:rPr>
                <w:rFonts w:eastAsia="Verdana" w:cs="Verdana"/>
              </w:rPr>
              <w:t>education</w:t>
            </w:r>
            <w:proofErr w:type="gramEnd"/>
          </w:p>
          <w:p w14:paraId="2F459084" w14:textId="7D4E0D48" w:rsidR="00162BC8" w:rsidRPr="00F204D6" w:rsidRDefault="00162BC8" w:rsidP="00162BC8">
            <w:pPr>
              <w:tabs>
                <w:tab w:val="left" w:pos="576"/>
              </w:tabs>
              <w:spacing w:before="120" w:after="120"/>
              <w:jc w:val="both"/>
            </w:pPr>
            <w:r w:rsidRPr="1D8AEFAE">
              <w:rPr>
                <w:rFonts w:eastAsia="Verdana" w:cs="Verdana"/>
              </w:rPr>
              <w:t xml:space="preserve">Where elective home educated children are deemed to be unsafe or unlikely to meet their expected outcomes </w:t>
            </w:r>
            <w:r w:rsidR="5971E9A5" w:rsidRPr="1D8AEFAE">
              <w:rPr>
                <w:rFonts w:eastAsia="Verdana" w:cs="Verdana"/>
              </w:rPr>
              <w:t xml:space="preserve">the role holder will </w:t>
            </w:r>
            <w:r w:rsidRPr="1D8AEFAE">
              <w:rPr>
                <w:rFonts w:eastAsia="Verdana" w:cs="Verdana"/>
              </w:rPr>
              <w:t>escalate children to statutory services for assessment and response</w:t>
            </w:r>
          </w:p>
          <w:p w14:paraId="1AC5F099" w14:textId="65BE052E" w:rsidR="00162BC8" w:rsidRPr="00F204D6" w:rsidRDefault="791591CF" w:rsidP="00162BC8">
            <w:pPr>
              <w:tabs>
                <w:tab w:val="left" w:pos="576"/>
              </w:tabs>
              <w:spacing w:before="120" w:after="120"/>
              <w:jc w:val="both"/>
            </w:pPr>
            <w:r w:rsidRPr="1D8AEFAE">
              <w:rPr>
                <w:rFonts w:eastAsia="Verdana" w:cs="Verdana"/>
              </w:rPr>
              <w:t>The role holder will</w:t>
            </w:r>
            <w:r w:rsidR="00162BC8" w:rsidRPr="1D8AEFAE">
              <w:rPr>
                <w:rFonts w:eastAsia="Verdana" w:cs="Verdana"/>
              </w:rPr>
              <w:t xml:space="preserve"> actively casework all children missing education to a timely conclusion.</w:t>
            </w:r>
          </w:p>
          <w:p w14:paraId="36ABCC7D" w14:textId="24C93367" w:rsidR="00162BC8" w:rsidRPr="00F204D6" w:rsidRDefault="2A422DBF" w:rsidP="00162BC8">
            <w:pPr>
              <w:tabs>
                <w:tab w:val="left" w:pos="576"/>
              </w:tabs>
              <w:spacing w:before="120" w:after="120"/>
              <w:jc w:val="both"/>
            </w:pPr>
            <w:r w:rsidRPr="1D8AEFAE">
              <w:rPr>
                <w:rFonts w:eastAsia="Verdana" w:cs="Verdana"/>
              </w:rPr>
              <w:t>The role holder will a</w:t>
            </w:r>
            <w:r w:rsidR="00162BC8" w:rsidRPr="1D8AEFAE">
              <w:rPr>
                <w:rFonts w:eastAsia="Verdana" w:cs="Verdana"/>
              </w:rPr>
              <w:t>dvise, assist and work directly with the young person to resolve the problems that inhibit attendance at school.</w:t>
            </w:r>
          </w:p>
          <w:p w14:paraId="77D0A602" w14:textId="6BC2AC5C" w:rsidR="00162BC8" w:rsidRDefault="7E4AA629" w:rsidP="00162BC8">
            <w:pPr>
              <w:tabs>
                <w:tab w:val="left" w:pos="576"/>
              </w:tabs>
              <w:spacing w:before="120" w:after="120"/>
              <w:jc w:val="both"/>
              <w:rPr>
                <w:rFonts w:eastAsia="Verdana" w:cs="Verdana"/>
              </w:rPr>
            </w:pPr>
            <w:r w:rsidRPr="08B24650">
              <w:rPr>
                <w:rFonts w:eastAsia="Verdana" w:cs="Verdana"/>
              </w:rPr>
              <w:t>The role holder will s</w:t>
            </w:r>
            <w:r w:rsidR="00162BC8" w:rsidRPr="08B24650">
              <w:rPr>
                <w:rFonts w:eastAsia="Verdana" w:cs="Verdana"/>
              </w:rPr>
              <w:t>upport other vulnerable children into education including unaccompanied</w:t>
            </w:r>
            <w:r w:rsidR="0EBC3D7E" w:rsidRPr="08B24650">
              <w:rPr>
                <w:rFonts w:eastAsia="Verdana" w:cs="Verdana"/>
              </w:rPr>
              <w:t xml:space="preserve"> </w:t>
            </w:r>
            <w:r w:rsidR="60B4D4FA" w:rsidRPr="08B24650">
              <w:rPr>
                <w:rFonts w:eastAsia="Verdana" w:cs="Verdana"/>
              </w:rPr>
              <w:t>asylum-seeking</w:t>
            </w:r>
            <w:r w:rsidR="00162BC8" w:rsidRPr="08B24650">
              <w:rPr>
                <w:rFonts w:eastAsia="Verdana" w:cs="Verdana"/>
              </w:rPr>
              <w:t xml:space="preserve"> children; international new arrivals and traveller </w:t>
            </w:r>
            <w:proofErr w:type="gramStart"/>
            <w:r w:rsidR="00162BC8" w:rsidRPr="08B24650">
              <w:rPr>
                <w:rFonts w:eastAsia="Verdana" w:cs="Verdana"/>
              </w:rPr>
              <w:t>children</w:t>
            </w:r>
            <w:proofErr w:type="gramEnd"/>
          </w:p>
          <w:p w14:paraId="4B254EDF" w14:textId="457680FA" w:rsidR="00162BC8" w:rsidRDefault="2669823C" w:rsidP="00162BC8">
            <w:pPr>
              <w:tabs>
                <w:tab w:val="left" w:pos="576"/>
              </w:tabs>
              <w:spacing w:before="120" w:after="120"/>
              <w:jc w:val="both"/>
              <w:rPr>
                <w:rFonts w:eastAsia="Verdana" w:cs="Verdana"/>
              </w:rPr>
            </w:pPr>
            <w:r w:rsidRPr="08B24650">
              <w:rPr>
                <w:rFonts w:eastAsia="Verdana" w:cs="Verdana"/>
              </w:rPr>
              <w:t xml:space="preserve">The role holder will </w:t>
            </w:r>
            <w:r w:rsidR="00162BC8" w:rsidRPr="08B24650">
              <w:rPr>
                <w:rFonts w:eastAsia="Verdana" w:cs="Verdana"/>
              </w:rPr>
              <w:t xml:space="preserve">provide advice and support to schools in relation to their lead area </w:t>
            </w:r>
            <w:r w:rsidR="52524A73" w:rsidRPr="08B24650">
              <w:rPr>
                <w:rFonts w:eastAsia="Verdana" w:cs="Verdana"/>
              </w:rPr>
              <w:t>e.g.,</w:t>
            </w:r>
            <w:r w:rsidR="00162BC8" w:rsidRPr="08B24650">
              <w:rPr>
                <w:rFonts w:eastAsia="Verdana" w:cs="Verdana"/>
              </w:rPr>
              <w:t xml:space="preserve"> traveller children; EHE; CME; </w:t>
            </w:r>
            <w:proofErr w:type="gramStart"/>
            <w:r w:rsidR="00162BC8" w:rsidRPr="08B24650">
              <w:rPr>
                <w:rFonts w:eastAsia="Verdana" w:cs="Verdana"/>
              </w:rPr>
              <w:t>UASC</w:t>
            </w:r>
            <w:proofErr w:type="gramEnd"/>
          </w:p>
          <w:p w14:paraId="60C3B36F" w14:textId="77777777" w:rsidR="00162BC8" w:rsidRPr="00F204D6" w:rsidRDefault="00162BC8" w:rsidP="00162BC8">
            <w:pPr>
              <w:tabs>
                <w:tab w:val="left" w:pos="576"/>
              </w:tabs>
              <w:spacing w:before="120" w:after="120"/>
              <w:jc w:val="both"/>
            </w:pPr>
          </w:p>
          <w:p w14:paraId="2245ABF1" w14:textId="2201433E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  <w:b/>
                <w:bCs/>
                <w:sz w:val="24"/>
                <w:szCs w:val="24"/>
              </w:rPr>
            </w:pPr>
            <w:r w:rsidRPr="1C3A0E09">
              <w:rPr>
                <w:rFonts w:eastAsia="Verdana" w:cs="Verdana"/>
                <w:b/>
                <w:bCs/>
                <w:sz w:val="24"/>
                <w:szCs w:val="24"/>
              </w:rPr>
              <w:t xml:space="preserve">Key Role Accountabilities: </w:t>
            </w:r>
          </w:p>
          <w:p w14:paraId="68BEC023" w14:textId="277D5756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  <w:b/>
                <w:bCs/>
                <w:sz w:val="24"/>
                <w:szCs w:val="24"/>
              </w:rPr>
            </w:pPr>
            <w:r w:rsidRPr="1C3A0E09">
              <w:rPr>
                <w:rFonts w:eastAsia="Verdana" w:cs="Verdana"/>
                <w:b/>
                <w:bCs/>
                <w:sz w:val="24"/>
                <w:szCs w:val="24"/>
              </w:rPr>
              <w:t xml:space="preserve"> </w:t>
            </w:r>
          </w:p>
          <w:p w14:paraId="67DB893C" w14:textId="1A97B66B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</w:rPr>
            </w:pPr>
            <w:r w:rsidRPr="1C3A0E09">
              <w:rPr>
                <w:rFonts w:eastAsia="Verdana" w:cs="Verdana"/>
              </w:rPr>
              <w:lastRenderedPageBreak/>
              <w:t xml:space="preserve">Ensure that through effective leadership of the statutory area, educational outcomes for children and young people in the </w:t>
            </w:r>
            <w:r w:rsidR="2DD4511D" w:rsidRPr="1C3A0E09">
              <w:rPr>
                <w:rFonts w:eastAsia="Verdana" w:cs="Verdana"/>
              </w:rPr>
              <w:t>borough</w:t>
            </w:r>
            <w:r w:rsidRPr="1C3A0E09">
              <w:rPr>
                <w:rFonts w:eastAsia="Verdana" w:cs="Verdana"/>
              </w:rPr>
              <w:t xml:space="preserve"> continue to improve, ensuring compliance within the relevant statutory area.</w:t>
            </w:r>
          </w:p>
          <w:p w14:paraId="4222E7E1" w14:textId="119135ED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</w:rPr>
            </w:pPr>
            <w:r w:rsidRPr="12EBD787">
              <w:rPr>
                <w:rFonts w:eastAsia="Verdana" w:cs="Verdana"/>
              </w:rPr>
              <w:t xml:space="preserve">Ensure that data collected on the statutory area is collected and fit for purpose and that reports produced provide a basis for forward planning and commissioning. </w:t>
            </w:r>
          </w:p>
          <w:p w14:paraId="6E653FE2" w14:textId="37043A95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</w:rPr>
            </w:pPr>
            <w:r w:rsidRPr="12EBD787">
              <w:rPr>
                <w:rFonts w:eastAsia="Verdana" w:cs="Verdana"/>
              </w:rPr>
              <w:t>Ensure that all partners within and external to the Council are clear about the strategy to meet the statutory duty and their role/contribution within it and how it fits with other priories.</w:t>
            </w:r>
          </w:p>
          <w:p w14:paraId="2D921F94" w14:textId="2B814732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</w:rPr>
            </w:pPr>
            <w:r w:rsidRPr="1C3A0E09">
              <w:rPr>
                <w:rFonts w:eastAsia="Verdana" w:cs="Verdana"/>
              </w:rPr>
              <w:t>Motivate others through building effective relationships and gaining their full support for achieving outcomes.</w:t>
            </w:r>
          </w:p>
          <w:p w14:paraId="75E3CBD3" w14:textId="4E0398AA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</w:rPr>
            </w:pPr>
            <w:r w:rsidRPr="12EBD787">
              <w:rPr>
                <w:rFonts w:eastAsia="Verdana" w:cs="Verdana"/>
              </w:rPr>
              <w:t>Monitor and review impact of strategic planning and delivery on outcomes for children and young people.</w:t>
            </w:r>
          </w:p>
          <w:p w14:paraId="4A666BFB" w14:textId="3F7B96B8" w:rsidR="009F7288" w:rsidRPr="00F204D6" w:rsidRDefault="276C5535" w:rsidP="1C3A0E09">
            <w:pPr>
              <w:spacing w:before="120" w:after="120"/>
              <w:jc w:val="both"/>
              <w:rPr>
                <w:rFonts w:eastAsia="Verdana" w:cs="Verdana"/>
              </w:rPr>
            </w:pPr>
            <w:r w:rsidRPr="12EBD787">
              <w:rPr>
                <w:rFonts w:eastAsia="Verdana" w:cs="Verdana"/>
              </w:rPr>
              <w:t>Ensure resources are deployed to support strategic planning and provide value for money.</w:t>
            </w:r>
          </w:p>
          <w:p w14:paraId="02EB378F" w14:textId="7974D426" w:rsidR="009F7288" w:rsidRPr="00F204D6" w:rsidRDefault="009F7288" w:rsidP="00162BC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9F7288" w:rsidRPr="00F204D6" w14:paraId="6A05A809" w14:textId="77777777" w:rsidTr="08B24650">
        <w:trPr>
          <w:cantSplit/>
          <w:trHeight w:val="480"/>
        </w:trPr>
        <w:tc>
          <w:tcPr>
            <w:tcW w:w="5000" w:type="pct"/>
            <w:gridSpan w:val="4"/>
            <w:tcBorders>
              <w:left w:val="single" w:sz="6" w:space="0" w:color="auto"/>
            </w:tcBorders>
          </w:tcPr>
          <w:p w14:paraId="5A39BBE3" w14:textId="4F493808" w:rsidR="009F7288" w:rsidRPr="00F204D6" w:rsidRDefault="34C79214" w:rsidP="1C3A0E09">
            <w:pPr>
              <w:spacing w:before="120" w:after="120"/>
              <w:rPr>
                <w:rFonts w:cs="Arial"/>
                <w:b/>
                <w:bCs/>
              </w:rPr>
            </w:pPr>
            <w:r w:rsidRPr="213C9B7D">
              <w:rPr>
                <w:rFonts w:cs="Arial"/>
                <w:b/>
                <w:bCs/>
              </w:rPr>
              <w:lastRenderedPageBreak/>
              <w:t>Ge</w:t>
            </w:r>
            <w:r w:rsidR="711A0C90" w:rsidRPr="213C9B7D">
              <w:rPr>
                <w:rFonts w:cs="Arial"/>
                <w:b/>
                <w:bCs/>
              </w:rPr>
              <w:t>neral</w:t>
            </w:r>
          </w:p>
        </w:tc>
      </w:tr>
      <w:tr w:rsidR="009F7288" w:rsidRPr="00F204D6" w14:paraId="222DD7C3" w14:textId="77777777" w:rsidTr="08B24650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0FCB7D0" w14:textId="77777777" w:rsidR="0079534E" w:rsidRPr="00F204D6" w:rsidRDefault="0079534E" w:rsidP="0079534E">
            <w:pPr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 w:rsidRPr="08B24650">
              <w:rPr>
                <w:rFonts w:cs="Arial"/>
              </w:rPr>
              <w:t xml:space="preserve">As an employee of Bury Council you have a responsibility for, and must be committed to, </w:t>
            </w:r>
            <w:bookmarkStart w:id="7" w:name="_Int_sisVMp2o"/>
            <w:proofErr w:type="gramStart"/>
            <w:r w:rsidRPr="08B24650">
              <w:rPr>
                <w:rFonts w:cs="Arial"/>
              </w:rPr>
              <w:t>safeguarding</w:t>
            </w:r>
            <w:bookmarkEnd w:id="7"/>
            <w:proofErr w:type="gramEnd"/>
            <w:r w:rsidRPr="08B24650">
              <w:rPr>
                <w:rFonts w:cs="Arial"/>
              </w:rPr>
              <w:t xml:space="preserve"> and promoting the welfare of children, young </w:t>
            </w:r>
            <w:bookmarkStart w:id="8" w:name="_Int_Jo4qv6AK"/>
            <w:r w:rsidRPr="08B24650">
              <w:rPr>
                <w:rFonts w:cs="Arial"/>
              </w:rPr>
              <w:t>people</w:t>
            </w:r>
            <w:bookmarkEnd w:id="8"/>
            <w:r w:rsidRPr="08B24650">
              <w:rPr>
                <w:rFonts w:cs="Arial"/>
              </w:rPr>
              <w:t xml:space="preserve"> and vulnerable adults and for ensuring that they are protected from harm.</w:t>
            </w:r>
          </w:p>
          <w:p w14:paraId="4A2E81FE" w14:textId="77777777" w:rsidR="0079534E" w:rsidRPr="00F204D6" w:rsidRDefault="0079534E" w:rsidP="0079534E">
            <w:pPr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 w:rsidRPr="08B24650">
              <w:rPr>
                <w:rFonts w:cs="Arial"/>
              </w:rPr>
              <w:t xml:space="preserve">Bury Council is committed to equality, </w:t>
            </w:r>
            <w:bookmarkStart w:id="9" w:name="_Int_E0eNnc4c"/>
            <w:proofErr w:type="gramStart"/>
            <w:r w:rsidRPr="08B24650">
              <w:rPr>
                <w:rFonts w:cs="Arial"/>
              </w:rPr>
              <w:t>diversity</w:t>
            </w:r>
            <w:bookmarkEnd w:id="9"/>
            <w:proofErr w:type="gramEnd"/>
            <w:r w:rsidRPr="08B24650">
              <w:rPr>
                <w:rFonts w:cs="Arial"/>
              </w:rPr>
              <w:t xml:space="preserve"> and inclusion, and expects all staff to comply with its equality related policies/procedures, and to treat others with fairness and respect.</w:t>
            </w:r>
          </w:p>
          <w:p w14:paraId="7458AF83" w14:textId="77777777" w:rsidR="0079534E" w:rsidRPr="00F204D6" w:rsidRDefault="0079534E" w:rsidP="0079534E">
            <w:pPr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 w:rsidRPr="00F204D6"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 w14:paraId="5C17B416" w14:textId="77777777" w:rsidR="009F7288" w:rsidRPr="00F204D6" w:rsidRDefault="009B2099" w:rsidP="009B2099">
            <w:pPr>
              <w:numPr>
                <w:ilvl w:val="0"/>
                <w:numId w:val="2"/>
              </w:numPr>
              <w:spacing w:before="120" w:after="120"/>
              <w:rPr>
                <w:rFonts w:cs="Arial"/>
              </w:rPr>
            </w:pPr>
            <w:r w:rsidRPr="00F204D6">
              <w:rPr>
                <w:rFonts w:cs="Arial"/>
              </w:rPr>
              <w:t>As an employee of Bury Council you should contribute to a culture that values and supports the physical and emotional wellbeing of your colleagues.</w:t>
            </w:r>
          </w:p>
        </w:tc>
      </w:tr>
      <w:tr w:rsidR="009F7288" w:rsidRPr="00F204D6" w14:paraId="43B355D0" w14:textId="77777777" w:rsidTr="08B24650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FD1119F" w14:textId="77777777" w:rsidR="009F7288" w:rsidRPr="00F204D6" w:rsidRDefault="009F7288" w:rsidP="000413A2">
            <w:pPr>
              <w:spacing w:before="120" w:after="240"/>
              <w:rPr>
                <w:rFonts w:cs="Arial"/>
                <w:b/>
              </w:rPr>
            </w:pPr>
            <w:r w:rsidRPr="00F204D6"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9F7288" w:rsidRPr="00F204D6" w14:paraId="1685F4F3" w14:textId="77777777" w:rsidTr="08B24650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24D6199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9DB65A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101716D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>Date:</w:t>
            </w:r>
          </w:p>
        </w:tc>
      </w:tr>
      <w:tr w:rsidR="009F7288" w:rsidRPr="00F204D6" w14:paraId="5AFAF791" w14:textId="77777777" w:rsidTr="08B24650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1AB694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C15E3A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D4EC514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>Date:</w:t>
            </w:r>
          </w:p>
        </w:tc>
      </w:tr>
      <w:tr w:rsidR="009F7288" w:rsidRPr="00F204D6" w14:paraId="482CB51E" w14:textId="77777777" w:rsidTr="08B24650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ADCD3C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A7458A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817C5" w14:textId="77777777" w:rsidR="009F7288" w:rsidRPr="00F204D6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F204D6">
              <w:rPr>
                <w:rFonts w:cs="Arial"/>
                <w:b/>
              </w:rPr>
              <w:t>Date:</w:t>
            </w:r>
          </w:p>
        </w:tc>
      </w:tr>
    </w:tbl>
    <w:p w14:paraId="3CF2D8B6" w14:textId="77777777" w:rsidR="009F7288" w:rsidRPr="00F204D6" w:rsidRDefault="009F7288" w:rsidP="009F7288"/>
    <w:p w14:paraId="0FB78278" w14:textId="77777777" w:rsidR="009F7288" w:rsidRDefault="009F7288">
      <w:r w:rsidRPr="00F204D6">
        <w:br w:type="page"/>
      </w:r>
    </w:p>
    <w:p w14:paraId="1FC39945" w14:textId="77777777" w:rsidR="009F7288" w:rsidRDefault="005C092E" w:rsidP="009F7288">
      <w:pPr>
        <w:ind w:left="7200" w:firstLine="720"/>
      </w:pPr>
      <w:r w:rsidRPr="003D0EBA">
        <w:rPr>
          <w:noProof/>
          <w:lang w:eastAsia="en-GB"/>
        </w:rPr>
        <w:lastRenderedPageBreak/>
        <w:drawing>
          <wp:inline distT="0" distB="0" distL="0" distR="0" wp14:anchorId="111C5E0B" wp14:editId="07777777">
            <wp:extent cx="1485900" cy="609600"/>
            <wp:effectExtent l="0" t="0" r="0" b="0"/>
            <wp:docPr id="2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21B4F" w14:textId="77777777" w:rsidR="009F7288" w:rsidRDefault="009F7288" w:rsidP="009F7288">
      <w:pPr>
        <w:jc w:val="center"/>
        <w:rPr>
          <w:b/>
        </w:rPr>
      </w:pPr>
      <w:r>
        <w:rPr>
          <w:b/>
        </w:rPr>
        <w:t>DEPARTMENT</w:t>
      </w:r>
      <w:r w:rsidR="00877538">
        <w:rPr>
          <w:b/>
        </w:rPr>
        <w:t xml:space="preserve"> FOR </w:t>
      </w:r>
      <w:r w:rsidR="00D62F1D">
        <w:rPr>
          <w:b/>
        </w:rPr>
        <w:t>CHILDREN &amp; YOUNG PEOPLE</w:t>
      </w:r>
    </w:p>
    <w:p w14:paraId="45CD8191" w14:textId="1E4C18B6" w:rsidR="009F7288" w:rsidRDefault="41131BA4" w:rsidP="41FEF111">
      <w:pPr>
        <w:jc w:val="center"/>
        <w:rPr>
          <w:b/>
          <w:bCs/>
        </w:rPr>
      </w:pPr>
      <w:r w:rsidRPr="41FEF111">
        <w:rPr>
          <w:b/>
          <w:bCs/>
        </w:rPr>
        <w:t>Community Learning Officer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6465"/>
        <w:gridCol w:w="1260"/>
        <w:gridCol w:w="1230"/>
      </w:tblGrid>
      <w:tr w:rsidR="41FEF111" w14:paraId="1BF926FB" w14:textId="77777777" w:rsidTr="08B24650">
        <w:trPr>
          <w:trHeight w:val="300"/>
        </w:trPr>
        <w:tc>
          <w:tcPr>
            <w:tcW w:w="1485" w:type="dxa"/>
          </w:tcPr>
          <w:p w14:paraId="4A076F63" w14:textId="54943ACC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Assessment method</w:t>
            </w:r>
          </w:p>
        </w:tc>
        <w:tc>
          <w:tcPr>
            <w:tcW w:w="6465" w:type="dxa"/>
          </w:tcPr>
          <w:p w14:paraId="3F5F58E0" w14:textId="35CC1F9D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Short-listing criteria</w:t>
            </w:r>
          </w:p>
        </w:tc>
        <w:tc>
          <w:tcPr>
            <w:tcW w:w="1260" w:type="dxa"/>
          </w:tcPr>
          <w:p w14:paraId="115494F9" w14:textId="4B67D491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230" w:type="dxa"/>
          </w:tcPr>
          <w:p w14:paraId="64E0E42B" w14:textId="01B3991B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Desirable</w:t>
            </w:r>
          </w:p>
        </w:tc>
      </w:tr>
      <w:tr w:rsidR="41FEF111" w14:paraId="4AAB8606" w14:textId="77777777" w:rsidTr="08B24650">
        <w:trPr>
          <w:trHeight w:val="300"/>
        </w:trPr>
        <w:tc>
          <w:tcPr>
            <w:tcW w:w="1485" w:type="dxa"/>
          </w:tcPr>
          <w:p w14:paraId="091CDC57" w14:textId="7DBCBA4F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Application</w:t>
            </w:r>
          </w:p>
        </w:tc>
        <w:tc>
          <w:tcPr>
            <w:tcW w:w="6465" w:type="dxa"/>
          </w:tcPr>
          <w:p w14:paraId="22AB497C" w14:textId="7AB005B5" w:rsidR="41FEF111" w:rsidRDefault="0A6324C2" w:rsidP="08B24650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08B24650">
              <w:rPr>
                <w:rFonts w:eastAsia="Verdana" w:cs="Verdana"/>
                <w:sz w:val="20"/>
                <w:szCs w:val="20"/>
              </w:rPr>
              <w:t>Professional level qualification in a related area</w:t>
            </w:r>
            <w:r w:rsidR="11EDF9FE" w:rsidRPr="08B24650">
              <w:rPr>
                <w:rFonts w:eastAsia="Verdana" w:cs="Verdana"/>
                <w:sz w:val="20"/>
                <w:szCs w:val="20"/>
              </w:rPr>
              <w:t xml:space="preserve"> (</w:t>
            </w:r>
            <w:bookmarkStart w:id="10" w:name="_Int_iqfUnAWT"/>
            <w:r w:rsidR="11EDF9FE" w:rsidRPr="08B24650">
              <w:rPr>
                <w:rFonts w:eastAsia="Verdana" w:cs="Verdana"/>
                <w:sz w:val="20"/>
                <w:szCs w:val="20"/>
              </w:rPr>
              <w:t>QTS</w:t>
            </w:r>
            <w:bookmarkEnd w:id="10"/>
            <w:r w:rsidR="11EDF9FE" w:rsidRPr="08B24650">
              <w:rPr>
                <w:rFonts w:eastAsia="Verdana" w:cs="Verdana"/>
                <w:sz w:val="20"/>
                <w:szCs w:val="20"/>
              </w:rPr>
              <w:t>)</w:t>
            </w:r>
            <w:r w:rsidR="2FE10BD4" w:rsidRPr="08B24650">
              <w:rPr>
                <w:rFonts w:eastAsia="Verdana" w:cs="Verdana"/>
                <w:sz w:val="20"/>
                <w:szCs w:val="20"/>
              </w:rPr>
              <w:t xml:space="preserve"> or equivalent significant relevant professional experience.</w:t>
            </w:r>
          </w:p>
        </w:tc>
        <w:tc>
          <w:tcPr>
            <w:tcW w:w="1260" w:type="dxa"/>
          </w:tcPr>
          <w:p w14:paraId="38BCA622" w14:textId="52EDDF6B" w:rsidR="41FEF111" w:rsidRDefault="5AB7A832" w:rsidP="607F4D4C">
            <w:pPr>
              <w:jc w:val="center"/>
              <w:rPr>
                <w:rFonts w:ascii="Wingdings 2" w:eastAsia="Wingdings 2" w:hAnsi="Wingdings 2" w:cs="Wingdings 2"/>
                <w:color w:val="000000" w:themeColor="text1"/>
                <w:sz w:val="26"/>
                <w:szCs w:val="26"/>
              </w:rPr>
            </w:pPr>
            <w:r w:rsidRPr="607F4D4C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26"/>
                <w:szCs w:val="26"/>
              </w:rPr>
              <w:t>P</w:t>
            </w:r>
          </w:p>
          <w:p w14:paraId="184F16E1" w14:textId="489EC19D" w:rsidR="41FEF111" w:rsidRDefault="41FEF111" w:rsidP="607F4D4C">
            <w:pPr>
              <w:jc w:val="center"/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30" w:type="dxa"/>
          </w:tcPr>
          <w:p w14:paraId="6A5997E9" w14:textId="485ECE9B" w:rsidR="55EFAAF7" w:rsidRDefault="55EFAAF7" w:rsidP="607F4D4C">
            <w:pPr>
              <w:jc w:val="center"/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41FEF111" w14:paraId="0D6466B9" w14:textId="77777777" w:rsidTr="08B24650">
        <w:trPr>
          <w:trHeight w:val="885"/>
        </w:trPr>
        <w:tc>
          <w:tcPr>
            <w:tcW w:w="1485" w:type="dxa"/>
          </w:tcPr>
          <w:p w14:paraId="604CDAA2" w14:textId="43D1D5DB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Application</w:t>
            </w:r>
          </w:p>
        </w:tc>
        <w:tc>
          <w:tcPr>
            <w:tcW w:w="6465" w:type="dxa"/>
          </w:tcPr>
          <w:p w14:paraId="7F0E9C7A" w14:textId="2694AE37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Further relevant qualifications </w:t>
            </w:r>
          </w:p>
        </w:tc>
        <w:tc>
          <w:tcPr>
            <w:tcW w:w="1260" w:type="dxa"/>
          </w:tcPr>
          <w:p w14:paraId="549D3103" w14:textId="4FCBC68C" w:rsidR="41FEF111" w:rsidRDefault="41FEF111" w:rsidP="41FEF111">
            <w:pPr>
              <w:jc w:val="center"/>
              <w:rPr>
                <w:rFonts w:eastAsia="Verdana" w:cs="Verdana"/>
                <w:color w:val="000000" w:themeColor="text1"/>
              </w:rPr>
            </w:pPr>
          </w:p>
        </w:tc>
        <w:tc>
          <w:tcPr>
            <w:tcW w:w="1230" w:type="dxa"/>
          </w:tcPr>
          <w:p w14:paraId="1165DF8D" w14:textId="722D8339" w:rsidR="41FEF111" w:rsidRDefault="41FEF111" w:rsidP="41FEF111">
            <w:pPr>
              <w:jc w:val="center"/>
              <w:rPr>
                <w:rFonts w:ascii="Wingdings 2" w:eastAsia="Wingdings 2" w:hAnsi="Wingdings 2" w:cs="Wingdings 2"/>
                <w:color w:val="000000" w:themeColor="text1"/>
                <w:sz w:val="26"/>
                <w:szCs w:val="26"/>
              </w:rPr>
            </w:pPr>
            <w:r w:rsidRPr="41FEF111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41FEF111" w14:paraId="1E7509B4" w14:textId="77777777" w:rsidTr="08B24650">
        <w:trPr>
          <w:trHeight w:val="885"/>
        </w:trPr>
        <w:tc>
          <w:tcPr>
            <w:tcW w:w="1485" w:type="dxa"/>
          </w:tcPr>
          <w:p w14:paraId="67722D56" w14:textId="4A9A8190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Application/Interview</w:t>
            </w:r>
          </w:p>
        </w:tc>
        <w:tc>
          <w:tcPr>
            <w:tcW w:w="6465" w:type="dxa"/>
          </w:tcPr>
          <w:p w14:paraId="40E3D4C3" w14:textId="0247D31B" w:rsidR="41FEF111" w:rsidRDefault="41FEF111" w:rsidP="41FEF111">
            <w:pPr>
              <w:spacing w:before="120" w:after="120"/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 xml:space="preserve">Excellent knowledge of an LA’s statutory functions in relation to </w:t>
            </w:r>
            <w:r w:rsidR="70A62492" w:rsidRPr="41FEF111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>Elective Home Education and Children Missing Education</w:t>
            </w:r>
          </w:p>
        </w:tc>
        <w:tc>
          <w:tcPr>
            <w:tcW w:w="1260" w:type="dxa"/>
          </w:tcPr>
          <w:p w14:paraId="486105FF" w14:textId="114D78BE" w:rsidR="41FEF111" w:rsidRDefault="41FEF111" w:rsidP="41FEF111">
            <w:pPr>
              <w:spacing w:before="120" w:after="120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41FEF111">
              <w:rPr>
                <w:rFonts w:ascii="Wingdings" w:eastAsia="Wingdings" w:hAnsi="Wingdings" w:cs="Wingdings"/>
                <w:b/>
                <w:bCs/>
                <w:color w:val="000000" w:themeColor="text1"/>
              </w:rPr>
              <w:t>ü</w:t>
            </w:r>
          </w:p>
        </w:tc>
        <w:tc>
          <w:tcPr>
            <w:tcW w:w="1230" w:type="dxa"/>
          </w:tcPr>
          <w:p w14:paraId="6144FB72" w14:textId="072FA6F2" w:rsidR="41FEF111" w:rsidRDefault="41FEF111" w:rsidP="41FEF111">
            <w:pPr>
              <w:spacing w:before="120" w:after="120"/>
              <w:jc w:val="center"/>
              <w:rPr>
                <w:rFonts w:eastAsia="Verdana" w:cs="Verdana"/>
                <w:color w:val="000000" w:themeColor="text1"/>
              </w:rPr>
            </w:pPr>
          </w:p>
        </w:tc>
      </w:tr>
      <w:tr w:rsidR="41FEF111" w14:paraId="476402A9" w14:textId="77777777" w:rsidTr="08B24650">
        <w:trPr>
          <w:trHeight w:val="885"/>
        </w:trPr>
        <w:tc>
          <w:tcPr>
            <w:tcW w:w="1485" w:type="dxa"/>
          </w:tcPr>
          <w:p w14:paraId="7B0D63A2" w14:textId="318B547D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Application/Interview</w:t>
            </w:r>
          </w:p>
          <w:p w14:paraId="010F7EEB" w14:textId="410E9F55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6465" w:type="dxa"/>
          </w:tcPr>
          <w:p w14:paraId="680F1641" w14:textId="38D1A3E6" w:rsidR="41FEF111" w:rsidRDefault="41FEF111" w:rsidP="41FEF111">
            <w:pPr>
              <w:spacing w:before="120" w:after="120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>Demonstrate understanding of multi-agency working to impact on outcomes for children and young people</w:t>
            </w:r>
          </w:p>
        </w:tc>
        <w:tc>
          <w:tcPr>
            <w:tcW w:w="1260" w:type="dxa"/>
          </w:tcPr>
          <w:p w14:paraId="0E920216" w14:textId="14145846" w:rsidR="41FEF111" w:rsidRDefault="41FEF111" w:rsidP="41FEF111">
            <w:pPr>
              <w:spacing w:before="120" w:after="120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41FEF111">
              <w:rPr>
                <w:rFonts w:ascii="Wingdings" w:eastAsia="Wingdings" w:hAnsi="Wingdings" w:cs="Wingdings"/>
                <w:b/>
                <w:bCs/>
                <w:color w:val="000000" w:themeColor="text1"/>
              </w:rPr>
              <w:t>ü</w:t>
            </w:r>
          </w:p>
        </w:tc>
        <w:tc>
          <w:tcPr>
            <w:tcW w:w="1230" w:type="dxa"/>
          </w:tcPr>
          <w:p w14:paraId="497EED5A" w14:textId="73A01BC5" w:rsidR="41FEF111" w:rsidRDefault="41FEF111" w:rsidP="41FEF111">
            <w:pPr>
              <w:spacing w:before="120" w:after="120"/>
              <w:jc w:val="center"/>
              <w:rPr>
                <w:rFonts w:eastAsia="Verdana" w:cs="Verdana"/>
                <w:color w:val="000000" w:themeColor="text1"/>
              </w:rPr>
            </w:pPr>
          </w:p>
        </w:tc>
      </w:tr>
      <w:tr w:rsidR="41FEF111" w14:paraId="0BA6CC67" w14:textId="77777777" w:rsidTr="08B24650">
        <w:trPr>
          <w:trHeight w:val="885"/>
        </w:trPr>
        <w:tc>
          <w:tcPr>
            <w:tcW w:w="1485" w:type="dxa"/>
          </w:tcPr>
          <w:p w14:paraId="17BD34B1" w14:textId="7EC95140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Application/Interview</w:t>
            </w:r>
          </w:p>
          <w:p w14:paraId="5072122E" w14:textId="0CD86637" w:rsidR="41FEF111" w:rsidRDefault="41FEF111" w:rsidP="41FEF111">
            <w:pPr>
              <w:rPr>
                <w:rFonts w:eastAsia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6465" w:type="dxa"/>
          </w:tcPr>
          <w:p w14:paraId="27F9637A" w14:textId="45AE883F" w:rsidR="41FEF111" w:rsidRDefault="41FEF111" w:rsidP="41FEF111">
            <w:pPr>
              <w:spacing w:before="200" w:after="0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>Proven ability to work with a range of agencies to meet the needs of children and young people</w:t>
            </w:r>
          </w:p>
        </w:tc>
        <w:tc>
          <w:tcPr>
            <w:tcW w:w="1260" w:type="dxa"/>
          </w:tcPr>
          <w:p w14:paraId="1FC9E0AF" w14:textId="2A058E4C" w:rsidR="41FEF111" w:rsidRDefault="41FEF111" w:rsidP="41FEF111">
            <w:pPr>
              <w:spacing w:before="120" w:after="120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41FEF111">
              <w:rPr>
                <w:rFonts w:ascii="Wingdings" w:eastAsia="Wingdings" w:hAnsi="Wingdings" w:cs="Wingdings"/>
                <w:b/>
                <w:bCs/>
                <w:color w:val="000000" w:themeColor="text1"/>
              </w:rPr>
              <w:t>ü</w:t>
            </w:r>
          </w:p>
        </w:tc>
        <w:tc>
          <w:tcPr>
            <w:tcW w:w="1230" w:type="dxa"/>
          </w:tcPr>
          <w:p w14:paraId="28D30FC5" w14:textId="69B1481E" w:rsidR="41FEF111" w:rsidRDefault="41FEF111" w:rsidP="41FEF111">
            <w:pPr>
              <w:spacing w:before="120" w:after="120"/>
              <w:jc w:val="center"/>
              <w:rPr>
                <w:rFonts w:eastAsia="Verdana" w:cs="Verdana"/>
                <w:color w:val="000000" w:themeColor="text1"/>
              </w:rPr>
            </w:pPr>
          </w:p>
        </w:tc>
      </w:tr>
    </w:tbl>
    <w:p w14:paraId="0562CB0E" w14:textId="4BC3AFAA" w:rsidR="000413A2" w:rsidRPr="00877538" w:rsidRDefault="000413A2" w:rsidP="41FEF111">
      <w:pPr>
        <w:rPr>
          <w:sz w:val="6"/>
          <w:szCs w:val="6"/>
        </w:rPr>
      </w:pPr>
    </w:p>
    <w:p w14:paraId="12A93F6D" w14:textId="77777777" w:rsidR="009F7288" w:rsidRPr="000B3F15" w:rsidRDefault="009F7288" w:rsidP="009F7288">
      <w:pPr>
        <w:jc w:val="center"/>
        <w:rPr>
          <w:rFonts w:cs="Arial"/>
          <w:b/>
        </w:rPr>
      </w:pPr>
      <w:r w:rsidRPr="000B3F15">
        <w:rPr>
          <w:rFonts w:cs="Arial"/>
          <w:b/>
        </w:rPr>
        <w:t>CRITERIA FOR INTERVIEW AND OTHER ASSESSMENT METHODS</w:t>
      </w:r>
    </w:p>
    <w:p w14:paraId="6E5219B6" w14:textId="77777777" w:rsidR="009F7288" w:rsidRPr="000B3F15" w:rsidRDefault="009F7288" w:rsidP="009F7288">
      <w:pPr>
        <w:jc w:val="center"/>
        <w:rPr>
          <w:b/>
        </w:rPr>
      </w:pPr>
      <w:r w:rsidRPr="41FEF111">
        <w:rPr>
          <w:rFonts w:cs="Arial"/>
          <w:b/>
          <w:bCs/>
        </w:rPr>
        <w:t>The short-listing criteria listed plus the following: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80"/>
        <w:gridCol w:w="8160"/>
      </w:tblGrid>
      <w:tr w:rsidR="41FEF111" w14:paraId="4CCF631F" w14:textId="77777777" w:rsidTr="41FEF111">
        <w:trPr>
          <w:trHeight w:val="34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FF9F" w14:textId="061B94C8" w:rsidR="41FEF111" w:rsidRDefault="41FEF111" w:rsidP="41FEF111">
            <w:pPr>
              <w:spacing w:after="0" w:line="240" w:lineRule="auto"/>
              <w:jc w:val="center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ASSESSMENT</w:t>
            </w:r>
          </w:p>
          <w:p w14:paraId="7FCA0AC6" w14:textId="7D973720" w:rsidR="41FEF111" w:rsidRDefault="41FEF111" w:rsidP="41FEF111">
            <w:pPr>
              <w:spacing w:after="0" w:line="240" w:lineRule="auto"/>
              <w:jc w:val="center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METHOD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D740" w14:textId="5A26F3DB" w:rsidR="41FEF111" w:rsidRDefault="41FEF111" w:rsidP="41FEF111">
            <w:pPr>
              <w:spacing w:after="0" w:line="240" w:lineRule="auto"/>
              <w:jc w:val="center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CRITERIA</w:t>
            </w:r>
          </w:p>
        </w:tc>
      </w:tr>
      <w:tr w:rsidR="41FEF111" w14:paraId="0BA80686" w14:textId="77777777" w:rsidTr="41FEF111">
        <w:trPr>
          <w:trHeight w:val="55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9156" w14:textId="379A88E5" w:rsidR="41FEF111" w:rsidRDefault="41FEF111" w:rsidP="41FEF111">
            <w:pPr>
              <w:spacing w:before="120" w:line="240" w:lineRule="auto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Interview / Assessment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B08E4" w14:textId="2C4CC755" w:rsidR="41FEF111" w:rsidRDefault="41FEF111" w:rsidP="41FEF111">
            <w:pPr>
              <w:spacing w:after="0" w:line="240" w:lineRule="auto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>Ability to effectively communicate key and complex information to all levels of staff</w:t>
            </w:r>
          </w:p>
        </w:tc>
      </w:tr>
      <w:tr w:rsidR="41FEF111" w14:paraId="68D4A15F" w14:textId="77777777" w:rsidTr="41FEF111">
        <w:trPr>
          <w:trHeight w:val="55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71FC" w14:textId="7A87829F" w:rsidR="41FEF111" w:rsidRDefault="41FEF111" w:rsidP="41FEF111">
            <w:pPr>
              <w:spacing w:before="120" w:line="240" w:lineRule="auto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Interview / Assessment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6B1DD" w14:textId="14599F56" w:rsidR="41FEF111" w:rsidRDefault="41FEF111" w:rsidP="41FEF111">
            <w:pPr>
              <w:spacing w:after="0" w:line="240" w:lineRule="auto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Ability to provide creative solutions to problems </w:t>
            </w:r>
          </w:p>
        </w:tc>
      </w:tr>
      <w:tr w:rsidR="41FEF111" w14:paraId="6E15711A" w14:textId="77777777" w:rsidTr="41FEF111">
        <w:trPr>
          <w:trHeight w:val="55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A48B" w14:textId="18522414" w:rsidR="41FEF111" w:rsidRDefault="41FEF111" w:rsidP="41FEF111">
            <w:pPr>
              <w:spacing w:before="120" w:line="240" w:lineRule="auto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Interview / Assessment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6EF8" w14:textId="551C9DB9" w:rsidR="41FEF111" w:rsidRDefault="41FEF111" w:rsidP="41FEF111">
            <w:pPr>
              <w:spacing w:after="0" w:line="240" w:lineRule="auto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Ability to organise and prioritise work to meet tight </w:t>
            </w:r>
            <w:proofErr w:type="gramStart"/>
            <w:r w:rsidRPr="41FEF111">
              <w:rPr>
                <w:rFonts w:eastAsia="Verdana" w:cs="Verdana"/>
                <w:color w:val="000000" w:themeColor="text1"/>
                <w:sz w:val="20"/>
                <w:szCs w:val="20"/>
              </w:rPr>
              <w:t>deadlines</w:t>
            </w:r>
            <w:proofErr w:type="gramEnd"/>
          </w:p>
          <w:p w14:paraId="60F89A60" w14:textId="067425F1" w:rsidR="41FEF111" w:rsidRDefault="41FEF111" w:rsidP="41FEF111">
            <w:pPr>
              <w:spacing w:after="0" w:line="240" w:lineRule="auto"/>
              <w:ind w:left="-17"/>
              <w:rPr>
                <w:rFonts w:eastAsia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4F8C4EB7" w14:textId="13A826A4" w:rsidR="41FEF111" w:rsidRDefault="41FEF111" w:rsidP="41FEF111"/>
    <w:sectPr w:rsidR="41FEF111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QpGsnyt" int2:invalidationBookmarkName="" int2:hashCode="wauZJOzaG+r4u6" int2:id="eTWPmsDL">
      <int2:state int2:value="Rejected" int2:type="AugLoop_Text_Critique"/>
    </int2:bookmark>
    <int2:bookmark int2:bookmarkName="_Int_HtnIhjRy" int2:invalidationBookmarkName="" int2:hashCode="qoUwXLDR45QbRn" int2:id="siJ0DziK">
      <int2:state int2:value="Rejected" int2:type="AugLoop_Text_Critique"/>
    </int2:bookmark>
    <int2:bookmark int2:bookmarkName="_Int_Qxo7g2JP" int2:invalidationBookmarkName="" int2:hashCode="MqKi+oYQwIA1A3" int2:id="1bLafk92">
      <int2:state int2:value="Rejected" int2:type="AugLoop_Text_Critique"/>
    </int2:bookmark>
    <int2:bookmark int2:bookmarkName="_Int_Jo4qv6AK" int2:invalidationBookmarkName="" int2:hashCode="qzzMjboqDPehzk" int2:id="7AukFOxe">
      <int2:state int2:value="Rejected" int2:type="AugLoop_Text_Critique"/>
    </int2:bookmark>
    <int2:bookmark int2:bookmarkName="_Int_E0eNnc4c" int2:invalidationBookmarkName="" int2:hashCode="pjtg7qRmXwDt2x" int2:id="Icnbkol7">
      <int2:state int2:value="Rejected" int2:type="AugLoop_Text_Critique"/>
    </int2:bookmark>
    <int2:bookmark int2:bookmarkName="_Int_sisVMp2o" int2:invalidationBookmarkName="" int2:hashCode="5RyOQ3gAoK11nt" int2:id="FgwubrZr">
      <int2:state int2:value="Rejected" int2:type="AugLoop_Text_Critique"/>
    </int2:bookmark>
    <int2:bookmark int2:bookmarkName="_Int_JOEg2maq" int2:invalidationBookmarkName="" int2:hashCode="2qAU5dhzAiHCOV" int2:id="kOBCM3EU">
      <int2:state int2:value="Rejected" int2:type="AugLoop_Text_Critique"/>
    </int2:bookmark>
    <int2:bookmark int2:bookmarkName="_Int_VZFSWdBB" int2:invalidationBookmarkName="" int2:hashCode="LIYoc3wKI3LpIM" int2:id="6mtH2CL9">
      <int2:state int2:value="Rejected" int2:type="AugLoop_Acronyms_AcronymsCritique"/>
    </int2:bookmark>
    <int2:bookmark int2:bookmarkName="_Int_08UmVUcr" int2:invalidationBookmarkName="" int2:hashCode="BSpQUEfapLuuE+" int2:id="Tt4dYHoW">
      <int2:state int2:value="Rejected" int2:type="AugLoop_Acronyms_AcronymsCritique"/>
    </int2:bookmark>
    <int2:bookmark int2:bookmarkName="_Int_iqfUnAWT" int2:invalidationBookmarkName="" int2:hashCode="q9Xcz6o4KFwb4x" int2:id="E9ZMLjUX">
      <int2:state int2:value="Rejected" int2:type="AugLoop_Acronyms_AcronymsCritique"/>
    </int2:bookmark>
    <int2:bookmark int2:bookmarkName="_Int_QTBgyv6p" int2:invalidationBookmarkName="" int2:hashCode="YXVEu3Deeavy9p" int2:id="PNaPWVBm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E46C"/>
    <w:multiLevelType w:val="hybridMultilevel"/>
    <w:tmpl w:val="7A1CF570"/>
    <w:lvl w:ilvl="0" w:tplc="93826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A08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6E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82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B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64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4D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6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E5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32F0"/>
    <w:multiLevelType w:val="hybridMultilevel"/>
    <w:tmpl w:val="9280D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67736B"/>
    <w:multiLevelType w:val="hybridMultilevel"/>
    <w:tmpl w:val="3F422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85710">
    <w:abstractNumId w:val="0"/>
  </w:num>
  <w:num w:numId="2" w16cid:durableId="2012751953">
    <w:abstractNumId w:val="1"/>
  </w:num>
  <w:num w:numId="3" w16cid:durableId="104144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8"/>
    <w:rsid w:val="00016F3F"/>
    <w:rsid w:val="000413A2"/>
    <w:rsid w:val="0004291F"/>
    <w:rsid w:val="0004329F"/>
    <w:rsid w:val="00051D3D"/>
    <w:rsid w:val="00062734"/>
    <w:rsid w:val="00064CDE"/>
    <w:rsid w:val="00073685"/>
    <w:rsid w:val="000817E9"/>
    <w:rsid w:val="0008181F"/>
    <w:rsid w:val="0008649D"/>
    <w:rsid w:val="0008728A"/>
    <w:rsid w:val="0008784F"/>
    <w:rsid w:val="000A77DF"/>
    <w:rsid w:val="000A7B22"/>
    <w:rsid w:val="000B2975"/>
    <w:rsid w:val="000B65D6"/>
    <w:rsid w:val="000B6703"/>
    <w:rsid w:val="000C0030"/>
    <w:rsid w:val="000C194C"/>
    <w:rsid w:val="000D4301"/>
    <w:rsid w:val="000F1BBE"/>
    <w:rsid w:val="000F7892"/>
    <w:rsid w:val="00100D91"/>
    <w:rsid w:val="00113051"/>
    <w:rsid w:val="001207E6"/>
    <w:rsid w:val="00121A86"/>
    <w:rsid w:val="00125F46"/>
    <w:rsid w:val="00131A7F"/>
    <w:rsid w:val="00141396"/>
    <w:rsid w:val="0014202A"/>
    <w:rsid w:val="00153383"/>
    <w:rsid w:val="00153FB9"/>
    <w:rsid w:val="0015452C"/>
    <w:rsid w:val="001613A2"/>
    <w:rsid w:val="00162BC8"/>
    <w:rsid w:val="00166A4D"/>
    <w:rsid w:val="00166C3C"/>
    <w:rsid w:val="00167F73"/>
    <w:rsid w:val="00171577"/>
    <w:rsid w:val="001739CD"/>
    <w:rsid w:val="001741A5"/>
    <w:rsid w:val="0017607B"/>
    <w:rsid w:val="00176B4E"/>
    <w:rsid w:val="00176E1F"/>
    <w:rsid w:val="00186B8A"/>
    <w:rsid w:val="00190E22"/>
    <w:rsid w:val="001D6441"/>
    <w:rsid w:val="001E0972"/>
    <w:rsid w:val="001F2A82"/>
    <w:rsid w:val="001F4870"/>
    <w:rsid w:val="001F68BC"/>
    <w:rsid w:val="00203802"/>
    <w:rsid w:val="00210BE5"/>
    <w:rsid w:val="0022693C"/>
    <w:rsid w:val="00230452"/>
    <w:rsid w:val="002511FC"/>
    <w:rsid w:val="00293FCE"/>
    <w:rsid w:val="002A157D"/>
    <w:rsid w:val="002A61B9"/>
    <w:rsid w:val="002B2640"/>
    <w:rsid w:val="002B5112"/>
    <w:rsid w:val="002B7199"/>
    <w:rsid w:val="002E0E82"/>
    <w:rsid w:val="002E7B2F"/>
    <w:rsid w:val="002F3294"/>
    <w:rsid w:val="002F69B2"/>
    <w:rsid w:val="00310019"/>
    <w:rsid w:val="0033205A"/>
    <w:rsid w:val="003505F2"/>
    <w:rsid w:val="00365769"/>
    <w:rsid w:val="003847B5"/>
    <w:rsid w:val="003928DC"/>
    <w:rsid w:val="003950C5"/>
    <w:rsid w:val="0039577E"/>
    <w:rsid w:val="00395E3D"/>
    <w:rsid w:val="003A4EF9"/>
    <w:rsid w:val="003B5E68"/>
    <w:rsid w:val="003C6CE4"/>
    <w:rsid w:val="003D558C"/>
    <w:rsid w:val="003D577E"/>
    <w:rsid w:val="003F3E2C"/>
    <w:rsid w:val="003F3E5F"/>
    <w:rsid w:val="003F4531"/>
    <w:rsid w:val="003F7100"/>
    <w:rsid w:val="0040222D"/>
    <w:rsid w:val="004101B8"/>
    <w:rsid w:val="004132FF"/>
    <w:rsid w:val="0042178E"/>
    <w:rsid w:val="0043227B"/>
    <w:rsid w:val="00450564"/>
    <w:rsid w:val="00455E57"/>
    <w:rsid w:val="004617AD"/>
    <w:rsid w:val="004863C6"/>
    <w:rsid w:val="004A6DF5"/>
    <w:rsid w:val="004A79DD"/>
    <w:rsid w:val="004C31CB"/>
    <w:rsid w:val="004C5A0A"/>
    <w:rsid w:val="004E48EB"/>
    <w:rsid w:val="004F07F5"/>
    <w:rsid w:val="004F7C1F"/>
    <w:rsid w:val="0050117F"/>
    <w:rsid w:val="0051653E"/>
    <w:rsid w:val="00522AB7"/>
    <w:rsid w:val="00524D7D"/>
    <w:rsid w:val="005259D3"/>
    <w:rsid w:val="00537E7F"/>
    <w:rsid w:val="0057740A"/>
    <w:rsid w:val="0058027E"/>
    <w:rsid w:val="00583660"/>
    <w:rsid w:val="00584866"/>
    <w:rsid w:val="00591A24"/>
    <w:rsid w:val="0059518F"/>
    <w:rsid w:val="005A27D1"/>
    <w:rsid w:val="005A6912"/>
    <w:rsid w:val="005B0711"/>
    <w:rsid w:val="005C092E"/>
    <w:rsid w:val="005C7715"/>
    <w:rsid w:val="005E128B"/>
    <w:rsid w:val="00636E2B"/>
    <w:rsid w:val="00637557"/>
    <w:rsid w:val="00637987"/>
    <w:rsid w:val="00644267"/>
    <w:rsid w:val="00654FAF"/>
    <w:rsid w:val="00660567"/>
    <w:rsid w:val="0066587E"/>
    <w:rsid w:val="00671047"/>
    <w:rsid w:val="00674A60"/>
    <w:rsid w:val="006848B2"/>
    <w:rsid w:val="00690996"/>
    <w:rsid w:val="00691CB3"/>
    <w:rsid w:val="00692D38"/>
    <w:rsid w:val="00695633"/>
    <w:rsid w:val="00697F3D"/>
    <w:rsid w:val="006B459B"/>
    <w:rsid w:val="006C2652"/>
    <w:rsid w:val="006C60BF"/>
    <w:rsid w:val="006C6692"/>
    <w:rsid w:val="006C77D6"/>
    <w:rsid w:val="006E12C3"/>
    <w:rsid w:val="006E4DDE"/>
    <w:rsid w:val="00701A83"/>
    <w:rsid w:val="007047E0"/>
    <w:rsid w:val="00705F18"/>
    <w:rsid w:val="00706B12"/>
    <w:rsid w:val="00710947"/>
    <w:rsid w:val="00732CFF"/>
    <w:rsid w:val="00733B64"/>
    <w:rsid w:val="00752E00"/>
    <w:rsid w:val="007677C8"/>
    <w:rsid w:val="0077496F"/>
    <w:rsid w:val="00780944"/>
    <w:rsid w:val="007926F5"/>
    <w:rsid w:val="0079534E"/>
    <w:rsid w:val="007A3FB2"/>
    <w:rsid w:val="007C15A1"/>
    <w:rsid w:val="007C3E92"/>
    <w:rsid w:val="007D5634"/>
    <w:rsid w:val="007E4743"/>
    <w:rsid w:val="007F6317"/>
    <w:rsid w:val="0080268D"/>
    <w:rsid w:val="0080458B"/>
    <w:rsid w:val="00806837"/>
    <w:rsid w:val="008159CC"/>
    <w:rsid w:val="00821A78"/>
    <w:rsid w:val="008316C6"/>
    <w:rsid w:val="0083172F"/>
    <w:rsid w:val="008429CC"/>
    <w:rsid w:val="008467F5"/>
    <w:rsid w:val="0084779B"/>
    <w:rsid w:val="0085690B"/>
    <w:rsid w:val="00863BFA"/>
    <w:rsid w:val="00872E6C"/>
    <w:rsid w:val="00877538"/>
    <w:rsid w:val="00882EE1"/>
    <w:rsid w:val="00890372"/>
    <w:rsid w:val="008C4B19"/>
    <w:rsid w:val="008D0DB9"/>
    <w:rsid w:val="008D6CE3"/>
    <w:rsid w:val="008D6D4F"/>
    <w:rsid w:val="008D73DB"/>
    <w:rsid w:val="008D7D9B"/>
    <w:rsid w:val="008E156A"/>
    <w:rsid w:val="008E63E5"/>
    <w:rsid w:val="008F1774"/>
    <w:rsid w:val="00900EAB"/>
    <w:rsid w:val="00902571"/>
    <w:rsid w:val="00907DF1"/>
    <w:rsid w:val="009125B9"/>
    <w:rsid w:val="00915113"/>
    <w:rsid w:val="00920509"/>
    <w:rsid w:val="00925589"/>
    <w:rsid w:val="00930A47"/>
    <w:rsid w:val="00953401"/>
    <w:rsid w:val="0095556A"/>
    <w:rsid w:val="00970971"/>
    <w:rsid w:val="00975537"/>
    <w:rsid w:val="00984608"/>
    <w:rsid w:val="00984EFB"/>
    <w:rsid w:val="00994C1F"/>
    <w:rsid w:val="00996D07"/>
    <w:rsid w:val="009A3A7F"/>
    <w:rsid w:val="009B2099"/>
    <w:rsid w:val="009C2126"/>
    <w:rsid w:val="009C276F"/>
    <w:rsid w:val="009C6CFF"/>
    <w:rsid w:val="009E22CD"/>
    <w:rsid w:val="009E26E6"/>
    <w:rsid w:val="009F5EF8"/>
    <w:rsid w:val="009F7288"/>
    <w:rsid w:val="00A0521B"/>
    <w:rsid w:val="00A17CA7"/>
    <w:rsid w:val="00A25984"/>
    <w:rsid w:val="00A276B4"/>
    <w:rsid w:val="00A34418"/>
    <w:rsid w:val="00A34AD6"/>
    <w:rsid w:val="00A37AE5"/>
    <w:rsid w:val="00A40619"/>
    <w:rsid w:val="00A4597E"/>
    <w:rsid w:val="00A5065D"/>
    <w:rsid w:val="00A64A4E"/>
    <w:rsid w:val="00A7259B"/>
    <w:rsid w:val="00A769A2"/>
    <w:rsid w:val="00A80524"/>
    <w:rsid w:val="00A84B60"/>
    <w:rsid w:val="00A8590B"/>
    <w:rsid w:val="00AA5597"/>
    <w:rsid w:val="00AC3E58"/>
    <w:rsid w:val="00AC7720"/>
    <w:rsid w:val="00AD2C13"/>
    <w:rsid w:val="00AF60D4"/>
    <w:rsid w:val="00B12EB2"/>
    <w:rsid w:val="00B16920"/>
    <w:rsid w:val="00B447E7"/>
    <w:rsid w:val="00B65B8E"/>
    <w:rsid w:val="00B94BBC"/>
    <w:rsid w:val="00BB7456"/>
    <w:rsid w:val="00BD0FE0"/>
    <w:rsid w:val="00BD3DBB"/>
    <w:rsid w:val="00BD5416"/>
    <w:rsid w:val="00BD73DF"/>
    <w:rsid w:val="00BF1696"/>
    <w:rsid w:val="00BF1AF1"/>
    <w:rsid w:val="00BF648C"/>
    <w:rsid w:val="00BF6526"/>
    <w:rsid w:val="00BF78BE"/>
    <w:rsid w:val="00C22803"/>
    <w:rsid w:val="00C52A22"/>
    <w:rsid w:val="00C53690"/>
    <w:rsid w:val="00C61588"/>
    <w:rsid w:val="00C63FAB"/>
    <w:rsid w:val="00C70377"/>
    <w:rsid w:val="00C759BA"/>
    <w:rsid w:val="00CA48C3"/>
    <w:rsid w:val="00CA4ADE"/>
    <w:rsid w:val="00CB4393"/>
    <w:rsid w:val="00CC11B2"/>
    <w:rsid w:val="00CC7F2F"/>
    <w:rsid w:val="00CD7529"/>
    <w:rsid w:val="00CE18E0"/>
    <w:rsid w:val="00CE3F97"/>
    <w:rsid w:val="00CE519B"/>
    <w:rsid w:val="00CE6A10"/>
    <w:rsid w:val="00D12FCA"/>
    <w:rsid w:val="00D16C93"/>
    <w:rsid w:val="00D21B97"/>
    <w:rsid w:val="00D27F05"/>
    <w:rsid w:val="00D3061C"/>
    <w:rsid w:val="00D318E2"/>
    <w:rsid w:val="00D51C38"/>
    <w:rsid w:val="00D557FE"/>
    <w:rsid w:val="00D62F1D"/>
    <w:rsid w:val="00D66EAB"/>
    <w:rsid w:val="00D80453"/>
    <w:rsid w:val="00D93E4E"/>
    <w:rsid w:val="00D955AF"/>
    <w:rsid w:val="00D95E04"/>
    <w:rsid w:val="00DA0CA7"/>
    <w:rsid w:val="00DA66C1"/>
    <w:rsid w:val="00DB428F"/>
    <w:rsid w:val="00DB7039"/>
    <w:rsid w:val="00DC3318"/>
    <w:rsid w:val="00DD3769"/>
    <w:rsid w:val="00DD698E"/>
    <w:rsid w:val="00DE03A0"/>
    <w:rsid w:val="00DE1647"/>
    <w:rsid w:val="00DE78FE"/>
    <w:rsid w:val="00DF38E5"/>
    <w:rsid w:val="00E024CF"/>
    <w:rsid w:val="00E0608C"/>
    <w:rsid w:val="00E06EC3"/>
    <w:rsid w:val="00E2486B"/>
    <w:rsid w:val="00E30DF1"/>
    <w:rsid w:val="00E31453"/>
    <w:rsid w:val="00E36105"/>
    <w:rsid w:val="00E37114"/>
    <w:rsid w:val="00E41718"/>
    <w:rsid w:val="00E4175C"/>
    <w:rsid w:val="00E43657"/>
    <w:rsid w:val="00E44628"/>
    <w:rsid w:val="00E92559"/>
    <w:rsid w:val="00E9561C"/>
    <w:rsid w:val="00E97C0A"/>
    <w:rsid w:val="00EB5635"/>
    <w:rsid w:val="00EB650F"/>
    <w:rsid w:val="00EC1E41"/>
    <w:rsid w:val="00EC484A"/>
    <w:rsid w:val="00EC67C8"/>
    <w:rsid w:val="00ED3945"/>
    <w:rsid w:val="00ED4FC1"/>
    <w:rsid w:val="00ED7590"/>
    <w:rsid w:val="00EE04FA"/>
    <w:rsid w:val="00EE0FCB"/>
    <w:rsid w:val="00EE3AE0"/>
    <w:rsid w:val="00EE5DAF"/>
    <w:rsid w:val="00EE799A"/>
    <w:rsid w:val="00EF43D4"/>
    <w:rsid w:val="00F0067F"/>
    <w:rsid w:val="00F02B1B"/>
    <w:rsid w:val="00F03461"/>
    <w:rsid w:val="00F0792F"/>
    <w:rsid w:val="00F07DD2"/>
    <w:rsid w:val="00F07FDD"/>
    <w:rsid w:val="00F13B6F"/>
    <w:rsid w:val="00F16EFB"/>
    <w:rsid w:val="00F175B2"/>
    <w:rsid w:val="00F17A84"/>
    <w:rsid w:val="00F204D6"/>
    <w:rsid w:val="00F21E7E"/>
    <w:rsid w:val="00F275EF"/>
    <w:rsid w:val="00F3073D"/>
    <w:rsid w:val="00F35547"/>
    <w:rsid w:val="00F374AA"/>
    <w:rsid w:val="00F41A42"/>
    <w:rsid w:val="00F45946"/>
    <w:rsid w:val="00F472DC"/>
    <w:rsid w:val="00F61B4E"/>
    <w:rsid w:val="00F64F8E"/>
    <w:rsid w:val="00F6663B"/>
    <w:rsid w:val="00F8129D"/>
    <w:rsid w:val="00F81B64"/>
    <w:rsid w:val="00F86D79"/>
    <w:rsid w:val="00FA10E5"/>
    <w:rsid w:val="00FB4282"/>
    <w:rsid w:val="00FB55C2"/>
    <w:rsid w:val="00FC5F61"/>
    <w:rsid w:val="00FD1146"/>
    <w:rsid w:val="00FD6473"/>
    <w:rsid w:val="00FE4613"/>
    <w:rsid w:val="00FF17F1"/>
    <w:rsid w:val="0467373B"/>
    <w:rsid w:val="04EF11F7"/>
    <w:rsid w:val="04FA236E"/>
    <w:rsid w:val="0754EB58"/>
    <w:rsid w:val="07CC5742"/>
    <w:rsid w:val="08B24650"/>
    <w:rsid w:val="08D23DED"/>
    <w:rsid w:val="09137848"/>
    <w:rsid w:val="09CD9491"/>
    <w:rsid w:val="0A6324C2"/>
    <w:rsid w:val="0AAF48A9"/>
    <w:rsid w:val="0ADA5EE1"/>
    <w:rsid w:val="0CEC0CF6"/>
    <w:rsid w:val="0E87DD57"/>
    <w:rsid w:val="0EBC3D7E"/>
    <w:rsid w:val="0F12780C"/>
    <w:rsid w:val="0F190E29"/>
    <w:rsid w:val="0F6B392C"/>
    <w:rsid w:val="1004E396"/>
    <w:rsid w:val="100BEBBC"/>
    <w:rsid w:val="10FB40B6"/>
    <w:rsid w:val="11EDF9FE"/>
    <w:rsid w:val="1250AEEB"/>
    <w:rsid w:val="1296223B"/>
    <w:rsid w:val="12EBD787"/>
    <w:rsid w:val="13438C7E"/>
    <w:rsid w:val="13EC7F4C"/>
    <w:rsid w:val="13FA435C"/>
    <w:rsid w:val="15742503"/>
    <w:rsid w:val="15884FAD"/>
    <w:rsid w:val="15C0DCBF"/>
    <w:rsid w:val="16929623"/>
    <w:rsid w:val="176811A9"/>
    <w:rsid w:val="176A54FE"/>
    <w:rsid w:val="1A05EAE8"/>
    <w:rsid w:val="1C3A0E09"/>
    <w:rsid w:val="1D8AEFAE"/>
    <w:rsid w:val="1E4B6F3D"/>
    <w:rsid w:val="1E7AF63D"/>
    <w:rsid w:val="1ED7A7CB"/>
    <w:rsid w:val="1F71AECB"/>
    <w:rsid w:val="1FB6EB8D"/>
    <w:rsid w:val="209B5A2F"/>
    <w:rsid w:val="20BF8346"/>
    <w:rsid w:val="212D9475"/>
    <w:rsid w:val="213C9B7D"/>
    <w:rsid w:val="21830FFF"/>
    <w:rsid w:val="23AAD1C0"/>
    <w:rsid w:val="23AF4C84"/>
    <w:rsid w:val="25C1A5C0"/>
    <w:rsid w:val="25CB800A"/>
    <w:rsid w:val="25CC9FE9"/>
    <w:rsid w:val="262D4C2A"/>
    <w:rsid w:val="2669823C"/>
    <w:rsid w:val="26B39D5F"/>
    <w:rsid w:val="2767506B"/>
    <w:rsid w:val="276C5535"/>
    <w:rsid w:val="2A3C661E"/>
    <w:rsid w:val="2A422DBF"/>
    <w:rsid w:val="2D1263B8"/>
    <w:rsid w:val="2DD4511D"/>
    <w:rsid w:val="2F581249"/>
    <w:rsid w:val="2FE10BD4"/>
    <w:rsid w:val="3080D3F4"/>
    <w:rsid w:val="317EE921"/>
    <w:rsid w:val="31AA8681"/>
    <w:rsid w:val="31BBC0B4"/>
    <w:rsid w:val="31BD32A6"/>
    <w:rsid w:val="33D0AB6C"/>
    <w:rsid w:val="33F14A7D"/>
    <w:rsid w:val="341A7043"/>
    <w:rsid w:val="34919283"/>
    <w:rsid w:val="34C79214"/>
    <w:rsid w:val="34D8C211"/>
    <w:rsid w:val="35DB1C2C"/>
    <w:rsid w:val="3678A7EF"/>
    <w:rsid w:val="3776EC8D"/>
    <w:rsid w:val="37ECCAA0"/>
    <w:rsid w:val="3C5D6E13"/>
    <w:rsid w:val="3DF5C0D0"/>
    <w:rsid w:val="3E3C8EBA"/>
    <w:rsid w:val="3F4EBF5A"/>
    <w:rsid w:val="3F950ED5"/>
    <w:rsid w:val="3FACD0D1"/>
    <w:rsid w:val="40012F2F"/>
    <w:rsid w:val="41131BA4"/>
    <w:rsid w:val="41E1283F"/>
    <w:rsid w:val="41FEF111"/>
    <w:rsid w:val="441CFA0E"/>
    <w:rsid w:val="4AD75CD5"/>
    <w:rsid w:val="4AFDC5E9"/>
    <w:rsid w:val="4CC0BE7B"/>
    <w:rsid w:val="4EF2EACE"/>
    <w:rsid w:val="4F1A4BE9"/>
    <w:rsid w:val="51B70EF7"/>
    <w:rsid w:val="522C8E17"/>
    <w:rsid w:val="5248669A"/>
    <w:rsid w:val="52524A73"/>
    <w:rsid w:val="52F0244E"/>
    <w:rsid w:val="545A5888"/>
    <w:rsid w:val="55EFAAF7"/>
    <w:rsid w:val="5606BC4B"/>
    <w:rsid w:val="56AEBF3E"/>
    <w:rsid w:val="56ECBB6C"/>
    <w:rsid w:val="5791F095"/>
    <w:rsid w:val="5971E9A5"/>
    <w:rsid w:val="59C9A544"/>
    <w:rsid w:val="5A0B14A9"/>
    <w:rsid w:val="5A245C2E"/>
    <w:rsid w:val="5AB7A832"/>
    <w:rsid w:val="5C88CBDF"/>
    <w:rsid w:val="5F544DE7"/>
    <w:rsid w:val="5FB3E272"/>
    <w:rsid w:val="604FD6D3"/>
    <w:rsid w:val="607F4D4C"/>
    <w:rsid w:val="60B4D4FA"/>
    <w:rsid w:val="60DF15FB"/>
    <w:rsid w:val="61059C78"/>
    <w:rsid w:val="6144E3CD"/>
    <w:rsid w:val="628EB5A6"/>
    <w:rsid w:val="62E0B42E"/>
    <w:rsid w:val="64CA8775"/>
    <w:rsid w:val="6539F5E6"/>
    <w:rsid w:val="67E07044"/>
    <w:rsid w:val="69233E2F"/>
    <w:rsid w:val="697C40A5"/>
    <w:rsid w:val="6B1350F0"/>
    <w:rsid w:val="6C2F994A"/>
    <w:rsid w:val="6ECD1DA6"/>
    <w:rsid w:val="7099D1CC"/>
    <w:rsid w:val="70A62492"/>
    <w:rsid w:val="711A0C90"/>
    <w:rsid w:val="71F42B69"/>
    <w:rsid w:val="71FE816A"/>
    <w:rsid w:val="72962FAE"/>
    <w:rsid w:val="72F67E3D"/>
    <w:rsid w:val="7311A9B8"/>
    <w:rsid w:val="74ED0DF9"/>
    <w:rsid w:val="77C984F4"/>
    <w:rsid w:val="785CE54E"/>
    <w:rsid w:val="786598B6"/>
    <w:rsid w:val="78EE5A01"/>
    <w:rsid w:val="791591CF"/>
    <w:rsid w:val="792BCA55"/>
    <w:rsid w:val="7A84A5AD"/>
    <w:rsid w:val="7BF16C0E"/>
    <w:rsid w:val="7C4E1D9C"/>
    <w:rsid w:val="7CCAB7A7"/>
    <w:rsid w:val="7DBA4489"/>
    <w:rsid w:val="7E4AA629"/>
    <w:rsid w:val="7F4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83E1"/>
  <w15:chartTrackingRefBased/>
  <w15:docId w15:val="{B7C1803F-7F1A-464F-B3AD-B9A09A82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8"/>
    <w:pPr>
      <w:spacing w:after="200" w:line="276" w:lineRule="auto"/>
    </w:pPr>
    <w:rPr>
      <w:rFonts w:cs="Vrinda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288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9F7288"/>
    <w:rPr>
      <w:rFonts w:ascii="Franklin Gothic Demi" w:eastAsia="Times New Roman" w:hAnsi="Franklin Gothic Demi" w:cs="Vrinda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2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8D0DB9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41FEF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12" Type="http://schemas.microsoft.com/office/2020/10/relationships/intelligence" Target="intelligence2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image" Target="media/image2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6378</Characters>
  <Application>Microsoft Office Word</Application>
  <DocSecurity>0</DocSecurity>
  <Lines>53</Lines>
  <Paragraphs>14</Paragraphs>
  <ScaleCrop>false</ScaleCrop>
  <Company>Bury MBC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1 - Job Description &amp; Person Specification WORD Template</dc:title>
  <dc:subject/>
  <dc:creator>Bury Council</dc:creator>
  <cp:keywords/>
  <dc:description>Appendix 1 - Job Description &amp; Person Specification WORD Template (with stmts as amended 10.16))</dc:description>
  <cp:lastModifiedBy>Lloyd, Janet</cp:lastModifiedBy>
  <cp:revision>2</cp:revision>
  <dcterms:created xsi:type="dcterms:W3CDTF">2023-10-20T11:23:00Z</dcterms:created>
  <dcterms:modified xsi:type="dcterms:W3CDTF">2023-10-20T11:23:00Z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0x010100F3FD887915A50345A6763ED8604CBFE6</vt:lpwstr>
  </property>
</Properties>
</file>